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DAKOTA</w:t>
      </w:r>
      <w:r>
        <w:t xml:space="preserve"> </w:t>
      </w:r>
      <w:r>
        <w:t xml:space="preserve">TRAINING</w:t>
      </w:r>
      <w:r>
        <w:t xml:space="preserve"> </w:t>
      </w:r>
      <w:r>
        <w:t xml:space="preserve">COLLEGE</w:t>
      </w:r>
    </w:p>
    <w:p>
      <w:pPr>
        <w:pStyle w:val="Subtitle"/>
      </w:pPr>
      <w:r>
        <w:t xml:space="preserve">Digital</w:t>
      </w:r>
      <w:r>
        <w:t xml:space="preserve"> </w:t>
      </w:r>
      <w:r>
        <w:t xml:space="preserve">Platform:</w:t>
      </w:r>
      <w:r>
        <w:t xml:space="preserve"> </w:t>
      </w:r>
      <w:r>
        <w:t xml:space="preserve">Requirements,</w:t>
      </w:r>
      <w:r>
        <w:t xml:space="preserve"> </w:t>
      </w:r>
      <w:r>
        <w:t xml:space="preserve">Architecture</w:t>
      </w:r>
      <w:r>
        <w:t xml:space="preserve"> </w:t>
      </w:r>
      <w:r>
        <w:t xml:space="preserve">and</w:t>
      </w:r>
      <w:r>
        <w:t xml:space="preserve"> </w:t>
      </w:r>
      <w:r>
        <w:t xml:space="preserve">Delivery</w:t>
      </w:r>
      <w:r>
        <w:t xml:space="preserve"> </w:t>
      </w:r>
      <w:r>
        <w:t xml:space="preserve">Brief.</w:t>
      </w:r>
      <w:r>
        <w:t xml:space="preserve"> </w:t>
      </w:r>
      <w:r>
        <w:t xml:space="preserve">Version</w:t>
      </w:r>
      <w:r>
        <w:t xml:space="preserve"> </w:t>
      </w:r>
      <w:r>
        <w:t xml:space="preserve">1.0</w:t>
      </w:r>
    </w:p>
    <w:p>
      <w:pPr>
        <w:pStyle w:val="FirstParagraph"/>
      </w:pPr>
      <w:r>
        <w:rPr>
          <w:iCs/>
          <w:i/>
        </w:rPr>
        <w:t xml:space="preserve">Source-of-truth document for planning and for the staged Claude Code build. Version 1.0, prepared 22 October 2026. Working specification, not a signed client contract.</w:t>
      </w:r>
    </w:p>
    <w:tbl>
      <w:tblPr>
        <w:tblStyle w:val="Table"/>
        <w:tblW w:type="pct" w:w="5000"/>
        <w:tblLayout w:type="fixed"/>
        <w:tblLook w:firstRow="0" w:lastRow="0" w:firstColumn="0" w:lastColumn="0" w:noHBand="0" w:noVBand="0" w:val="000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rPr>
        <w:tc>
          <w:tcPr>
            <w:tcW w:type="dxa" w:w="1814"/>
            <w:shd w:val="clear" w:fill="0A1F4D"/>
          </w:tcPr>
          <w:p>
            <w:pPr>
              <w:pStyle w:val="Compact"/>
              <w:jc w:val="left"/>
            </w:pPr>
            <w:r>
              <w:rPr>
                <w:bCs/>
                <w:b/>
                <w:color w:val="FFFFFF"/>
              </w:rPr>
              <w:t xml:space="preserve">Client</w:t>
            </w:r>
          </w:p>
        </w:tc>
        <w:tc>
          <w:tcPr>
            <w:tcW w:type="dxa" w:w="7824"/>
            <w:shd w:val="clear" w:fill="0A1F4D"/>
          </w:tcPr>
          <w:p>
            <w:pPr>
              <w:pStyle w:val="Compact"/>
              <w:jc w:val="left"/>
            </w:pPr>
            <w:r>
              <w:rPr>
                <w:b/>
                <w:color w:val="FFFFFF"/>
              </w:rPr>
              <w:t xml:space="preserve">Dakota Training College, a private training college with one campus, in Makueni, Kenya.</w:t>
            </w:r>
          </w:p>
        </w:tc>
      </w:tr>
      <w:tr>
        <w:tc>
          <w:tcPr>
            <w:tcW w:type="dxa" w:w="1814"/>
          </w:tcPr>
          <w:p>
            <w:pPr>
              <w:pStyle w:val="Compact"/>
              <w:jc w:val="left"/>
            </w:pPr>
            <w:r>
              <w:rPr>
                <w:bCs/>
                <w:b/>
                <w:sz w:val="19"/>
              </w:rPr>
              <w:t xml:space="preserve">Schools</w:t>
            </w:r>
          </w:p>
        </w:tc>
        <w:tc>
          <w:tcPr>
            <w:tcW w:type="dxa" w:w="7824"/>
          </w:tcPr>
          <w:p>
            <w:pPr>
              <w:pStyle w:val="Compact"/>
              <w:jc w:val="left"/>
            </w:pPr>
            <w:r>
              <w:rPr>
                <w:sz w:val="19"/>
              </w:rPr>
              <w:t xml:space="preserve">School of Medical and Health Sciences; School of Hospitality and Tourism; School of ICT; School of Business; School of Pool Management (exact meaning to be confirmed, see DQ-02).</w:t>
            </w:r>
          </w:p>
        </w:tc>
      </w:tr>
      <w:tr>
        <w:tc>
          <w:tcPr>
            <w:tcW w:type="dxa" w:w="1814"/>
          </w:tcPr>
          <w:p>
            <w:pPr>
              <w:pStyle w:val="Compact"/>
              <w:jc w:val="left"/>
            </w:pPr>
            <w:r>
              <w:rPr>
                <w:bCs/>
                <w:b/>
                <w:sz w:val="19"/>
              </w:rPr>
              <w:t xml:space="preserve">Deliverables</w:t>
            </w:r>
          </w:p>
        </w:tc>
        <w:tc>
          <w:tcPr>
            <w:tcW w:type="dxa" w:w="7824"/>
          </w:tcPr>
          <w:p>
            <w:pPr>
              <w:pStyle w:val="Compact"/>
              <w:jc w:val="left"/>
            </w:pPr>
            <w:r>
              <w:rPr>
                <w:sz w:val="19"/>
              </w:rPr>
              <w:t xml:space="preserve">(1) Public marketing and admissions website. (2) Online application system. (3) Student portal. (4) Staff portal with content management. (5) Backend API and database.</w:t>
            </w:r>
          </w:p>
        </w:tc>
      </w:tr>
      <w:tr>
        <w:tc>
          <w:tcPr>
            <w:tcW w:type="dxa" w:w="1814"/>
          </w:tcPr>
          <w:p>
            <w:pPr>
              <w:pStyle w:val="Compact"/>
              <w:jc w:val="left"/>
            </w:pPr>
            <w:r>
              <w:rPr>
                <w:bCs/>
                <w:b/>
                <w:sz w:val="19"/>
              </w:rPr>
              <w:t xml:space="preserve">Stack</w:t>
            </w:r>
          </w:p>
        </w:tc>
        <w:tc>
          <w:tcPr>
            <w:tcW w:type="dxa" w:w="7824"/>
          </w:tcPr>
          <w:p>
            <w:pPr>
              <w:pStyle w:val="Compact"/>
              <w:jc w:val="left"/>
            </w:pPr>
            <w:r>
              <w:rPr>
                <w:sz w:val="19"/>
              </w:rPr>
              <w:t xml:space="preserve">Next.js, React, TypeScript (frontend). Go, Gin, pgx, sqlc (backend). Supabase PostgreSQL. Docker and Docker Compose for the backend. Cloudflare for DNS. Free tiers while building, paid tiers for production.</w:t>
            </w:r>
          </w:p>
        </w:tc>
      </w:tr>
      <w:tr>
        <w:tc>
          <w:tcPr>
            <w:tcW w:type="dxa" w:w="1814"/>
          </w:tcPr>
          <w:p>
            <w:pPr>
              <w:pStyle w:val="Compact"/>
              <w:jc w:val="left"/>
            </w:pPr>
            <w:r>
              <w:rPr>
                <w:bCs/>
                <w:b/>
                <w:sz w:val="19"/>
              </w:rPr>
              <w:t xml:space="preserve">Inspiration</w:t>
            </w:r>
          </w:p>
        </w:tc>
        <w:tc>
          <w:tcPr>
            <w:tcW w:type="dxa" w:w="7824"/>
          </w:tcPr>
          <w:p>
            <w:pPr>
              <w:pStyle w:val="Compact"/>
              <w:jc w:val="left"/>
            </w:pPr>
            <w:r>
              <w:rPr>
                <w:sz w:val="19"/>
              </w:rPr>
              <w:t xml:space="preserve">The client likes the structure and feel of icmhs.co.ke. It is a reference for patterns only. No text, images, brand elements or code may be copied.</w:t>
            </w:r>
          </w:p>
        </w:tc>
      </w:tr>
    </w:tbl>
    <w:p>
      <w:pPr>
        <w:pStyle w:val="BlockText"/>
      </w:pPr>
      <w:r>
        <w:rPr>
          <w:bCs/>
          <w:b/>
        </w:rPr>
        <w:t xml:space="preserve">Rule for reading this document.</w:t>
      </w:r>
      <w:r>
        <w:t xml:space="preserve"> </w:t>
      </w:r>
      <w:r>
        <w:t xml:space="preserve">Never silently turn an open question into a fact. Open items carry an ID (DQ-xx) and a proposed default. A default lets the build continue; it is logged as an assumption and must be confirmed with the client before go-live. Anything about accreditation, results, fees, statistics or legal status must come from the client and be verified, never invented. Payment and messaging integrations are decision gates (DG-xx): nothing is built or claimed until verified.</w:t>
      </w:r>
    </w:p>
    <w:bookmarkStart w:id="20" w:name="executive-summary"/>
    <w:p>
      <w:pPr>
        <w:pStyle w:val="Heading1"/>
      </w:pPr>
      <w:r>
        <w:t xml:space="preserve">1. Executive summary</w:t>
      </w:r>
    </w:p>
    <w:p>
      <w:pPr>
        <w:pStyle w:val="FirstParagraph"/>
      </w:pPr>
      <w:r>
        <w:t xml:space="preserve">Dakota Training College needs a credible, fast, mobile-first web presence that turns visitors into applicants, and an operations backbone that lets the college run admissions, student records, fees and communication online. The first release is the public website plus online applications. Student and staff portals follow in stages, so the college can launch early and add capability as it is ready.</w:t>
      </w:r>
    </w:p>
    <w:p>
      <w:pPr>
        <w:pStyle w:val="BodyText"/>
      </w:pPr>
      <w:r>
        <w:t xml:space="preserve">The product has four design goals:</w:t>
      </w:r>
    </w:p>
    <w:p>
      <w:pPr>
        <w:numPr>
          <w:ilvl w:val="0"/>
          <w:numId w:val="1001"/>
        </w:numPr>
        <w:pStyle w:val="Compact"/>
      </w:pPr>
      <w:r>
        <w:rPr>
          <w:bCs/>
          <w:b/>
        </w:rPr>
        <w:t xml:space="preserve">Trust first.</w:t>
      </w:r>
      <w:r>
        <w:t xml:space="preserve"> </w:t>
      </w:r>
      <w:r>
        <w:t xml:space="preserve">Prospective students and parents must see clearly who the college is, what it offers, what it costs, what the entry requirements are, and how to apply. Claims on the site are limited to facts the college can prove.</w:t>
      </w:r>
    </w:p>
    <w:p>
      <w:pPr>
        <w:numPr>
          <w:ilvl w:val="0"/>
          <w:numId w:val="1001"/>
        </w:numPr>
        <w:pStyle w:val="Compact"/>
      </w:pPr>
      <w:r>
        <w:rPr>
          <w:bCs/>
          <w:b/>
        </w:rPr>
        <w:t xml:space="preserve">Mobile and low bandwidth first.</w:t>
      </w:r>
      <w:r>
        <w:t xml:space="preserve"> </w:t>
      </w:r>
      <w:r>
        <w:t xml:space="preserve">Most Kenyan visitors arrive on a phone, often on mobile data. Pages must be light, fast and thumb-friendly.</w:t>
      </w:r>
    </w:p>
    <w:p>
      <w:pPr>
        <w:numPr>
          <w:ilvl w:val="0"/>
          <w:numId w:val="1001"/>
        </w:numPr>
        <w:pStyle w:val="Compact"/>
      </w:pPr>
      <w:r>
        <w:rPr>
          <w:bCs/>
          <w:b/>
        </w:rPr>
        <w:t xml:space="preserve">Staff can run it themselves.</w:t>
      </w:r>
      <w:r>
        <w:t xml:space="preserve"> </w:t>
      </w:r>
      <w:r>
        <w:t xml:space="preserve">Programmes, intakes, fees, news, events and FAQs are edited in the staff portal, not by a developer.</w:t>
      </w:r>
    </w:p>
    <w:p>
      <w:pPr>
        <w:numPr>
          <w:ilvl w:val="0"/>
          <w:numId w:val="1001"/>
        </w:numPr>
        <w:pStyle w:val="Compact"/>
      </w:pPr>
      <w:r>
        <w:rPr>
          <w:bCs/>
          <w:b/>
        </w:rPr>
        <w:t xml:space="preserve">Safe with people’s data.</w:t>
      </w:r>
      <w:r>
        <w:t xml:space="preserve"> </w:t>
      </w:r>
      <w:r>
        <w:t xml:space="preserve">The platform holds personal data of applicants, many of them young. It must follow the Kenya Data Protection Act, 2019 and keep access, consent and audit under control.</w:t>
      </w:r>
    </w:p>
    <w:bookmarkEnd w:id="20"/>
    <w:bookmarkStart w:id="21" w:name="what-is-confirmed-and-what-is-not"/>
    <w:p>
      <w:pPr>
        <w:pStyle w:val="Heading1"/>
      </w:pPr>
      <w:r>
        <w:t xml:space="preserve">2. What is confirmed and what is not</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Topic</w:t>
            </w:r>
          </w:p>
        </w:tc>
        <w:tc>
          <w:tcPr>
            <w:tcW w:type="dxa" w:w="7824"/>
            <w:shd w:val="clear" w:fill="0A1F4D"/>
          </w:tcPr>
          <w:p>
            <w:pPr>
              <w:pStyle w:val="Compact"/>
              <w:jc w:val="left"/>
            </w:pPr>
            <w:r>
              <w:rPr>
                <w:b/>
                <w:color w:val="FFFFFF"/>
              </w:rPr>
              <w:t xml:space="preserve">Status</w:t>
            </w:r>
          </w:p>
        </w:tc>
      </w:tr>
      <w:tr>
        <w:tc>
          <w:tcPr>
            <w:tcW w:type="dxa" w:w="1814"/>
          </w:tcPr>
          <w:p>
            <w:pPr>
              <w:pStyle w:val="Compact"/>
              <w:jc w:val="left"/>
            </w:pPr>
            <w:r>
              <w:rPr>
                <w:sz w:val="19"/>
              </w:rPr>
              <w:t xml:space="preserve">College name, five schools, one campus in Makueni</w:t>
            </w:r>
          </w:p>
        </w:tc>
        <w:tc>
          <w:tcPr>
            <w:tcW w:type="dxa" w:w="7824"/>
          </w:tcPr>
          <w:p>
            <w:pPr>
              <w:pStyle w:val="Compact"/>
              <w:jc w:val="left"/>
            </w:pPr>
            <w:r>
              <w:rPr>
                <w:sz w:val="19"/>
              </w:rPr>
              <w:t xml:space="preserve">Confirmed by the owner of the project.</w:t>
            </w:r>
          </w:p>
        </w:tc>
      </w:tr>
      <w:tr>
        <w:tc>
          <w:tcPr>
            <w:tcW w:type="dxa" w:w="1814"/>
          </w:tcPr>
          <w:p>
            <w:pPr>
              <w:pStyle w:val="Compact"/>
              <w:jc w:val="left"/>
            </w:pPr>
            <w:r>
              <w:rPr>
                <w:sz w:val="19"/>
              </w:rPr>
              <w:t xml:space="preserve">Wants a website in the style of icmhs.co.ke, with a staff portal and a student portal</w:t>
            </w:r>
          </w:p>
        </w:tc>
        <w:tc>
          <w:tcPr>
            <w:tcW w:type="dxa" w:w="7824"/>
          </w:tcPr>
          <w:p>
            <w:pPr>
              <w:pStyle w:val="Compact"/>
              <w:jc w:val="left"/>
            </w:pPr>
            <w:r>
              <w:rPr>
                <w:sz w:val="19"/>
              </w:rPr>
              <w:t xml:space="preserve">Confirmed.</w:t>
            </w:r>
          </w:p>
        </w:tc>
      </w:tr>
      <w:tr>
        <w:tc>
          <w:tcPr>
            <w:tcW w:type="dxa" w:w="1814"/>
          </w:tcPr>
          <w:p>
            <w:pPr>
              <w:pStyle w:val="Compact"/>
              <w:jc w:val="left"/>
            </w:pPr>
            <w:r>
              <w:rPr>
                <w:sz w:val="19"/>
              </w:rPr>
              <w:t xml:space="preserve">Stack: Next.js, Go/Gin, Supabase PostgreSQL, Docker (backend), Render, Vercel, Cloudflare</w:t>
            </w:r>
          </w:p>
        </w:tc>
        <w:tc>
          <w:tcPr>
            <w:tcW w:type="dxa" w:w="7824"/>
          </w:tcPr>
          <w:p>
            <w:pPr>
              <w:pStyle w:val="Compact"/>
              <w:jc w:val="left"/>
            </w:pPr>
            <w:r>
              <w:rPr>
                <w:sz w:val="19"/>
              </w:rPr>
              <w:t xml:space="preserve">Chosen by the developer. Hosting plans are reviewed in section 12.</w:t>
            </w:r>
          </w:p>
        </w:tc>
      </w:tr>
      <w:tr>
        <w:tc>
          <w:tcPr>
            <w:tcW w:type="dxa" w:w="1814"/>
          </w:tcPr>
          <w:p>
            <w:pPr>
              <w:pStyle w:val="Compact"/>
              <w:jc w:val="left"/>
            </w:pPr>
            <w:r>
              <w:rPr>
                <w:sz w:val="19"/>
              </w:rPr>
              <w:t xml:space="preserve">Sample logo supplied by the client</w:t>
            </w:r>
          </w:p>
        </w:tc>
        <w:tc>
          <w:tcPr>
            <w:tcW w:type="dxa" w:w="7824"/>
          </w:tcPr>
          <w:p>
            <w:pPr>
              <w:pStyle w:val="Compact"/>
              <w:jc w:val="left"/>
            </w:pPr>
            <w:r>
              <w:rPr>
                <w:sz w:val="19"/>
              </w:rPr>
              <w:t xml:space="preserve">Received. It is a low-resolution image and needs a clean vector rebuild (section 14.1).</w:t>
            </w:r>
          </w:p>
        </w:tc>
      </w:tr>
      <w:tr>
        <w:tc>
          <w:tcPr>
            <w:tcW w:type="dxa" w:w="1814"/>
          </w:tcPr>
          <w:p>
            <w:pPr>
              <w:pStyle w:val="Compact"/>
              <w:jc w:val="left"/>
            </w:pPr>
            <w:r>
              <w:rPr>
                <w:sz w:val="19"/>
              </w:rPr>
              <w:t xml:space="preserve">Programme list, entry requirements, fees, intakes, accreditation numbers, contacts, leadership, photos</w:t>
            </w:r>
          </w:p>
        </w:tc>
        <w:tc>
          <w:tcPr>
            <w:tcW w:type="dxa" w:w="7824"/>
          </w:tcPr>
          <w:p>
            <w:pPr>
              <w:pStyle w:val="Compact"/>
              <w:jc w:val="left"/>
            </w:pPr>
            <w:r>
              <w:rPr>
                <w:bCs/>
                <w:b/>
                <w:sz w:val="19"/>
              </w:rPr>
              <w:t xml:space="preserve">Not supplied.</w:t>
            </w:r>
            <w:r>
              <w:rPr>
                <w:sz w:val="19"/>
              </w:rPr>
              <w:t xml:space="preserve"> </w:t>
            </w:r>
            <w:r>
              <w:rPr>
                <w:sz w:val="19"/>
              </w:rPr>
              <w:t xml:space="preserve">Public search found no independent information on the college, so none may be assumed.</w:t>
            </w:r>
          </w:p>
        </w:tc>
      </w:tr>
      <w:tr>
        <w:tc>
          <w:tcPr>
            <w:tcW w:type="dxa" w:w="1814"/>
          </w:tcPr>
          <w:p>
            <w:pPr>
              <w:pStyle w:val="Compact"/>
              <w:jc w:val="left"/>
            </w:pPr>
            <w:r>
              <w:rPr>
                <w:sz w:val="19"/>
              </w:rPr>
              <w:t xml:space="preserve">Meaning of</w:t>
            </w:r>
            <w:r>
              <w:rPr>
                <w:sz w:val="19"/>
              </w:rPr>
              <w:t xml:space="preserve"> </w:t>
            </w:r>
            <w:r>
              <w:rPr>
                <w:sz w:val="19"/>
              </w:rPr>
              <w:t xml:space="preserve">“</w:t>
            </w:r>
            <w:r>
              <w:rPr>
                <w:sz w:val="19"/>
              </w:rPr>
              <w:t xml:space="preserve">School of Pool Management</w:t>
            </w:r>
            <w:r>
              <w:rPr>
                <w:sz w:val="19"/>
              </w:rPr>
              <w:t xml:space="preserve">”</w:t>
            </w:r>
          </w:p>
        </w:tc>
        <w:tc>
          <w:tcPr>
            <w:tcW w:type="dxa" w:w="7824"/>
          </w:tcPr>
          <w:p>
            <w:pPr>
              <w:pStyle w:val="Compact"/>
              <w:jc w:val="left"/>
            </w:pPr>
            <w:r>
              <w:rPr>
                <w:bCs/>
                <w:b/>
                <w:sz w:val="19"/>
              </w:rPr>
              <w:t xml:space="preserve">Unclear.</w:t>
            </w:r>
            <w:r>
              <w:rPr>
                <w:sz w:val="19"/>
              </w:rPr>
              <w:t xml:space="preserve"> </w:t>
            </w:r>
            <w:r>
              <w:rPr>
                <w:sz w:val="19"/>
              </w:rPr>
              <w:t xml:space="preserve">See DQ-02.</w:t>
            </w:r>
          </w:p>
        </w:tc>
      </w:tr>
      <w:tr>
        <w:tc>
          <w:tcPr>
            <w:tcW w:type="dxa" w:w="1814"/>
          </w:tcPr>
          <w:p>
            <w:pPr>
              <w:pStyle w:val="Compact"/>
              <w:jc w:val="left"/>
            </w:pPr>
            <w:r>
              <w:rPr>
                <w:sz w:val="19"/>
              </w:rPr>
              <w:t xml:space="preserve">Grading and assessment model (marks, grades or competency-based)</w:t>
            </w:r>
          </w:p>
        </w:tc>
        <w:tc>
          <w:tcPr>
            <w:tcW w:type="dxa" w:w="7824"/>
          </w:tcPr>
          <w:p>
            <w:pPr>
              <w:pStyle w:val="Compact"/>
              <w:jc w:val="left"/>
            </w:pPr>
            <w:r>
              <w:rPr>
                <w:bCs/>
                <w:b/>
                <w:sz w:val="19"/>
              </w:rPr>
              <w:t xml:space="preserve">Unknown.</w:t>
            </w:r>
            <w:r>
              <w:rPr>
                <w:sz w:val="19"/>
              </w:rPr>
              <w:t xml:space="preserve"> </w:t>
            </w:r>
            <w:r>
              <w:rPr>
                <w:sz w:val="19"/>
              </w:rPr>
              <w:t xml:space="preserve">See DQ-07.</w:t>
            </w:r>
          </w:p>
        </w:tc>
      </w:tr>
      <w:tr>
        <w:tc>
          <w:tcPr>
            <w:tcW w:type="dxa" w:w="1814"/>
          </w:tcPr>
          <w:p>
            <w:pPr>
              <w:pStyle w:val="Compact"/>
              <w:jc w:val="left"/>
            </w:pPr>
            <w:r>
              <w:rPr>
                <w:sz w:val="19"/>
              </w:rPr>
              <w:t xml:space="preserve">Fee collection method (Paybill, Till, bank)</w:t>
            </w:r>
          </w:p>
        </w:tc>
        <w:tc>
          <w:tcPr>
            <w:tcW w:type="dxa" w:w="7824"/>
          </w:tcPr>
          <w:p>
            <w:pPr>
              <w:pStyle w:val="Compact"/>
              <w:jc w:val="left"/>
            </w:pPr>
            <w:r>
              <w:rPr>
                <w:bCs/>
                <w:b/>
                <w:sz w:val="19"/>
              </w:rPr>
              <w:t xml:space="preserve">Unknown.</w:t>
            </w:r>
            <w:r>
              <w:rPr>
                <w:sz w:val="19"/>
              </w:rPr>
              <w:t xml:space="preserve"> </w:t>
            </w:r>
            <w:r>
              <w:rPr>
                <w:sz w:val="19"/>
              </w:rPr>
              <w:t xml:space="preserve">See DQ-09 and DG-02.</w:t>
            </w:r>
          </w:p>
        </w:tc>
      </w:tr>
    </w:tbl>
    <w:bookmarkEnd w:id="21"/>
    <w:bookmarkStart w:id="25" w:name="goals-non-goals-and-priorities"/>
    <w:p>
      <w:pPr>
        <w:pStyle w:val="Heading1"/>
      </w:pPr>
      <w:r>
        <w:t xml:space="preserve">3. Goals, non-goals and priorities</w:t>
      </w:r>
    </w:p>
    <w:bookmarkStart w:id="22" w:name="goals"/>
    <w:p>
      <w:pPr>
        <w:pStyle w:val="Heading2"/>
      </w:pPr>
      <w:r>
        <w:t xml:space="preserve">3.1 Goals</w:t>
      </w:r>
    </w:p>
    <w:p>
      <w:pPr>
        <w:numPr>
          <w:ilvl w:val="0"/>
          <w:numId w:val="1002"/>
        </w:numPr>
        <w:pStyle w:val="Compact"/>
      </w:pPr>
      <w:r>
        <w:t xml:space="preserve">Generate qualified applications online, with a clear path from interest to enrolment.</w:t>
      </w:r>
    </w:p>
    <w:p>
      <w:pPr>
        <w:numPr>
          <w:ilvl w:val="0"/>
          <w:numId w:val="1002"/>
        </w:numPr>
        <w:pStyle w:val="Compact"/>
      </w:pPr>
      <w:r>
        <w:t xml:space="preserve">Present every school and programme with duration, level, entry requirements, fees, intake dates and career outcomes.</w:t>
      </w:r>
    </w:p>
    <w:p>
      <w:pPr>
        <w:numPr>
          <w:ilvl w:val="0"/>
          <w:numId w:val="1002"/>
        </w:numPr>
        <w:pStyle w:val="Compact"/>
      </w:pPr>
      <w:r>
        <w:t xml:space="preserve">Run the applicant journey end to end: enquiry, application, documents, review, offer, acceptance, enrolment.</w:t>
      </w:r>
    </w:p>
    <w:p>
      <w:pPr>
        <w:numPr>
          <w:ilvl w:val="0"/>
          <w:numId w:val="1002"/>
        </w:numPr>
        <w:pStyle w:val="Compact"/>
      </w:pPr>
      <w:r>
        <w:t xml:space="preserve">Give students one place for registration, units, timetable, results, fee statements and requests.</w:t>
      </w:r>
    </w:p>
    <w:p>
      <w:pPr>
        <w:numPr>
          <w:ilvl w:val="0"/>
          <w:numId w:val="1002"/>
        </w:numPr>
        <w:pStyle w:val="Compact"/>
      </w:pPr>
      <w:r>
        <w:t xml:space="preserve">Give staff role-based tools for admissions, records, finance, academics and content.</w:t>
      </w:r>
    </w:p>
    <w:p>
      <w:pPr>
        <w:numPr>
          <w:ilvl w:val="0"/>
          <w:numId w:val="1002"/>
        </w:numPr>
        <w:pStyle w:val="Compact"/>
      </w:pPr>
      <w:r>
        <w:t xml:space="preserve">Keep a full audit trail for sensitive actions.</w:t>
      </w:r>
    </w:p>
    <w:p>
      <w:pPr>
        <w:numPr>
          <w:ilvl w:val="0"/>
          <w:numId w:val="1002"/>
        </w:numPr>
        <w:pStyle w:val="Compact"/>
      </w:pPr>
      <w:r>
        <w:t xml:space="preserve">Be cheap enough to run on modest hosting and robust enough to be trusted with real student data.</w:t>
      </w:r>
    </w:p>
    <w:bookmarkEnd w:id="22"/>
    <w:bookmarkStart w:id="23" w:name="non-goals-for-the-first-versions"/>
    <w:p>
      <w:pPr>
        <w:pStyle w:val="Heading2"/>
      </w:pPr>
      <w:r>
        <w:t xml:space="preserve">3.2 Non-goals for the first versions</w:t>
      </w:r>
    </w:p>
    <w:p>
      <w:pPr>
        <w:numPr>
          <w:ilvl w:val="0"/>
          <w:numId w:val="1003"/>
        </w:numPr>
        <w:pStyle w:val="Compact"/>
      </w:pPr>
      <w:r>
        <w:t xml:space="preserve">Multi-campus or multi-tenant support. One college, one campus. The data model should not make a second campus impossible, but it is not built.</w:t>
      </w:r>
    </w:p>
    <w:p>
      <w:pPr>
        <w:numPr>
          <w:ilvl w:val="0"/>
          <w:numId w:val="1003"/>
        </w:numPr>
        <w:pStyle w:val="Compact"/>
      </w:pPr>
      <w:r>
        <w:t xml:space="preserve">Native mobile apps. The student portal is a responsive web app that can be installed to the home screen (PWA) later.</w:t>
      </w:r>
    </w:p>
    <w:p>
      <w:pPr>
        <w:numPr>
          <w:ilvl w:val="0"/>
          <w:numId w:val="1003"/>
        </w:numPr>
        <w:pStyle w:val="Compact"/>
      </w:pPr>
      <w:r>
        <w:t xml:space="preserve">A full learning management system (video classes, quizzes). Out of scope. Links to external tools are allowed.</w:t>
      </w:r>
    </w:p>
    <w:p>
      <w:pPr>
        <w:numPr>
          <w:ilvl w:val="0"/>
          <w:numId w:val="1003"/>
        </w:numPr>
        <w:pStyle w:val="Compact"/>
      </w:pPr>
      <w:r>
        <w:t xml:space="preserve">Full accounting or payroll.</w:t>
      </w:r>
    </w:p>
    <w:p>
      <w:pPr>
        <w:numPr>
          <w:ilvl w:val="0"/>
          <w:numId w:val="1003"/>
        </w:numPr>
        <w:pStyle w:val="Compact"/>
      </w:pPr>
      <w:r>
        <w:t xml:space="preserve">Any claim of accreditation, ranking or outcome statistics that the college has not supplied and verified.</w:t>
      </w:r>
    </w:p>
    <w:p>
      <w:pPr>
        <w:numPr>
          <w:ilvl w:val="0"/>
          <w:numId w:val="1003"/>
        </w:numPr>
        <w:pStyle w:val="Compact"/>
      </w:pPr>
      <w:r>
        <w:t xml:space="preserve">AI features that touch student records.</w:t>
      </w:r>
    </w:p>
    <w:bookmarkEnd w:id="23"/>
    <w:bookmarkStart w:id="24" w:name="priorities-moscow"/>
    <w:p>
      <w:pPr>
        <w:pStyle w:val="Heading2"/>
      </w:pPr>
      <w:r>
        <w:t xml:space="preserve">3.3 Priorities (MoSCoW)</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Priority</w:t>
            </w:r>
          </w:p>
        </w:tc>
        <w:tc>
          <w:tcPr>
            <w:tcW w:type="dxa" w:w="7824"/>
            <w:shd w:val="clear" w:fill="0A1F4D"/>
          </w:tcPr>
          <w:p>
            <w:pPr>
              <w:pStyle w:val="Compact"/>
              <w:jc w:val="left"/>
            </w:pPr>
            <w:r>
              <w:rPr>
                <w:b/>
                <w:color w:val="FFFFFF"/>
              </w:rPr>
              <w:t xml:space="preserve">Scope</w:t>
            </w:r>
          </w:p>
        </w:tc>
      </w:tr>
      <w:tr>
        <w:tc>
          <w:tcPr>
            <w:tcW w:type="dxa" w:w="1814"/>
          </w:tcPr>
          <w:p>
            <w:pPr>
              <w:pStyle w:val="Compact"/>
              <w:jc w:val="left"/>
            </w:pPr>
            <w:r>
              <w:rPr>
                <w:bCs/>
                <w:b/>
                <w:sz w:val="19"/>
              </w:rPr>
              <w:t xml:space="preserve">Must</w:t>
            </w:r>
          </w:p>
        </w:tc>
        <w:tc>
          <w:tcPr>
            <w:tcW w:type="dxa" w:w="7824"/>
          </w:tcPr>
          <w:p>
            <w:pPr>
              <w:pStyle w:val="Compact"/>
              <w:jc w:val="left"/>
            </w:pPr>
            <w:r>
              <w:rPr>
                <w:sz w:val="19"/>
              </w:rPr>
              <w:t xml:space="preserve">Public website (home, about, schools, programmes, admissions, fees, FAQs, news, contact), online application with document upload and status tracking, staff admissions review, content management for programmes, intakes, news and FAQs, staff and student login, roles and audit, backups and runbooks.</w:t>
            </w:r>
          </w:p>
        </w:tc>
      </w:tr>
      <w:tr>
        <w:tc>
          <w:tcPr>
            <w:tcW w:type="dxa" w:w="1814"/>
          </w:tcPr>
          <w:p>
            <w:pPr>
              <w:pStyle w:val="Compact"/>
              <w:jc w:val="left"/>
            </w:pPr>
            <w:r>
              <w:rPr>
                <w:bCs/>
                <w:b/>
                <w:sz w:val="19"/>
              </w:rPr>
              <w:t xml:space="preserve">Should</w:t>
            </w:r>
          </w:p>
        </w:tc>
        <w:tc>
          <w:tcPr>
            <w:tcW w:type="dxa" w:w="7824"/>
          </w:tcPr>
          <w:p>
            <w:pPr>
              <w:pStyle w:val="Compact"/>
              <w:jc w:val="left"/>
            </w:pPr>
            <w:r>
              <w:rPr>
                <w:sz w:val="19"/>
              </w:rPr>
              <w:t xml:space="preserve">Student portal (profile, units, timetable, results, fee statement, requests), fee structures, invoices and receipts, results entry and approval, notifications (email, SMS), enquiry management, WhatsApp click-to-chat, Kiswahili toggle for key pages.</w:t>
            </w:r>
          </w:p>
        </w:tc>
      </w:tr>
      <w:tr>
        <w:tc>
          <w:tcPr>
            <w:tcW w:type="dxa" w:w="1814"/>
          </w:tcPr>
          <w:p>
            <w:pPr>
              <w:pStyle w:val="Compact"/>
              <w:jc w:val="left"/>
            </w:pPr>
            <w:r>
              <w:rPr>
                <w:bCs/>
                <w:b/>
                <w:sz w:val="19"/>
              </w:rPr>
              <w:t xml:space="preserve">Could</w:t>
            </w:r>
          </w:p>
        </w:tc>
        <w:tc>
          <w:tcPr>
            <w:tcW w:type="dxa" w:w="7824"/>
          </w:tcPr>
          <w:p>
            <w:pPr>
              <w:pStyle w:val="Compact"/>
              <w:jc w:val="left"/>
            </w:pPr>
            <w:r>
              <w:rPr>
                <w:sz w:val="19"/>
              </w:rPr>
              <w:t xml:space="preserve">PWA install, attendance, alumni directory, event registration, staff leave, online application fee payment, CSV import of historic students.</w:t>
            </w:r>
          </w:p>
        </w:tc>
      </w:tr>
      <w:tr>
        <w:tc>
          <w:tcPr>
            <w:tcW w:type="dxa" w:w="1814"/>
          </w:tcPr>
          <w:p>
            <w:pPr>
              <w:pStyle w:val="Compact"/>
              <w:jc w:val="left"/>
            </w:pPr>
            <w:r>
              <w:rPr>
                <w:bCs/>
                <w:b/>
                <w:sz w:val="19"/>
              </w:rPr>
              <w:t xml:space="preserve">Gated</w:t>
            </w:r>
          </w:p>
        </w:tc>
        <w:tc>
          <w:tcPr>
            <w:tcW w:type="dxa" w:w="7824"/>
          </w:tcPr>
          <w:p>
            <w:pPr>
              <w:pStyle w:val="Compact"/>
              <w:jc w:val="left"/>
            </w:pPr>
            <w:r>
              <w:rPr>
                <w:sz w:val="19"/>
              </w:rPr>
              <w:t xml:space="preserve">M-Pesa payments and reconciliation (DG-02). SMS provider (DG-03). Any official integration with TVETA, KNEC, CDACC or HELB systems (DG-05).</w:t>
            </w:r>
          </w:p>
        </w:tc>
      </w:tr>
    </w:tbl>
    <w:bookmarkEnd w:id="24"/>
    <w:bookmarkEnd w:id="25"/>
    <w:bookmarkStart w:id="26" w:name="users-and-roles"/>
    <w:p>
      <w:pPr>
        <w:pStyle w:val="Heading1"/>
      </w:pPr>
      <w:r>
        <w:t xml:space="preserve">4. Users and roles</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User</w:t>
            </w:r>
          </w:p>
        </w:tc>
        <w:tc>
          <w:tcPr>
            <w:tcW w:type="dxa" w:w="7824"/>
            <w:shd w:val="clear" w:fill="0A1F4D"/>
          </w:tcPr>
          <w:p>
            <w:pPr>
              <w:pStyle w:val="Compact"/>
              <w:jc w:val="left"/>
            </w:pPr>
            <w:r>
              <w:rPr>
                <w:b/>
                <w:color w:val="FFFFFF"/>
              </w:rPr>
              <w:t xml:space="preserve">What they need</w:t>
            </w:r>
          </w:p>
        </w:tc>
      </w:tr>
      <w:tr>
        <w:tc>
          <w:tcPr>
            <w:tcW w:type="dxa" w:w="1814"/>
          </w:tcPr>
          <w:p>
            <w:pPr>
              <w:pStyle w:val="Compact"/>
              <w:jc w:val="left"/>
            </w:pPr>
            <w:r>
              <w:rPr>
                <w:sz w:val="19"/>
              </w:rPr>
              <w:t xml:space="preserve">Prospective student or parent</w:t>
            </w:r>
          </w:p>
        </w:tc>
        <w:tc>
          <w:tcPr>
            <w:tcW w:type="dxa" w:w="7824"/>
          </w:tcPr>
          <w:p>
            <w:pPr>
              <w:pStyle w:val="Compact"/>
              <w:jc w:val="left"/>
            </w:pPr>
            <w:r>
              <w:rPr>
                <w:sz w:val="19"/>
              </w:rPr>
              <w:t xml:space="preserve">Find a course, understand cost and entry requirements, apply, ask a question on WhatsApp or by form.</w:t>
            </w:r>
          </w:p>
        </w:tc>
      </w:tr>
      <w:tr>
        <w:tc>
          <w:tcPr>
            <w:tcW w:type="dxa" w:w="1814"/>
          </w:tcPr>
          <w:p>
            <w:pPr>
              <w:pStyle w:val="Compact"/>
              <w:jc w:val="left"/>
            </w:pPr>
            <w:r>
              <w:rPr>
                <w:sz w:val="19"/>
              </w:rPr>
              <w:t xml:space="preserve">Applicant</w:t>
            </w:r>
          </w:p>
        </w:tc>
        <w:tc>
          <w:tcPr>
            <w:tcW w:type="dxa" w:w="7824"/>
          </w:tcPr>
          <w:p>
            <w:pPr>
              <w:pStyle w:val="Compact"/>
              <w:jc w:val="left"/>
            </w:pPr>
            <w:r>
              <w:rPr>
                <w:sz w:val="19"/>
              </w:rPr>
              <w:t xml:space="preserve">Complete and save an application, upload documents, track status, accept an offer.</w:t>
            </w:r>
          </w:p>
        </w:tc>
      </w:tr>
      <w:tr>
        <w:tc>
          <w:tcPr>
            <w:tcW w:type="dxa" w:w="1814"/>
          </w:tcPr>
          <w:p>
            <w:pPr>
              <w:pStyle w:val="Compact"/>
              <w:jc w:val="left"/>
            </w:pPr>
            <w:r>
              <w:rPr>
                <w:sz w:val="19"/>
              </w:rPr>
              <w:t xml:space="preserve">Student</w:t>
            </w:r>
          </w:p>
        </w:tc>
        <w:tc>
          <w:tcPr>
            <w:tcW w:type="dxa" w:w="7824"/>
          </w:tcPr>
          <w:p>
            <w:pPr>
              <w:pStyle w:val="Compact"/>
              <w:jc w:val="left"/>
            </w:pPr>
            <w:r>
              <w:rPr>
                <w:sz w:val="19"/>
              </w:rPr>
              <w:t xml:space="preserve">Register for units, view timetable, results and fee balance, request services (transcript, letters), update profile.</w:t>
            </w:r>
          </w:p>
        </w:tc>
      </w:tr>
      <w:tr>
        <w:tc>
          <w:tcPr>
            <w:tcW w:type="dxa" w:w="1814"/>
          </w:tcPr>
          <w:p>
            <w:pPr>
              <w:pStyle w:val="Compact"/>
              <w:jc w:val="left"/>
            </w:pPr>
            <w:r>
              <w:rPr>
                <w:sz w:val="19"/>
              </w:rPr>
              <w:t xml:space="preserve">Alumnus</w:t>
            </w:r>
          </w:p>
        </w:tc>
        <w:tc>
          <w:tcPr>
            <w:tcW w:type="dxa" w:w="7824"/>
          </w:tcPr>
          <w:p>
            <w:pPr>
              <w:pStyle w:val="Compact"/>
              <w:jc w:val="left"/>
            </w:pPr>
            <w:r>
              <w:rPr>
                <w:sz w:val="19"/>
              </w:rPr>
              <w:t xml:space="preserve">Request transcript or certificate copy, stay informed.</w:t>
            </w:r>
          </w:p>
        </w:tc>
      </w:tr>
      <w:tr>
        <w:tc>
          <w:tcPr>
            <w:tcW w:type="dxa" w:w="1814"/>
          </w:tcPr>
          <w:p>
            <w:pPr>
              <w:pStyle w:val="Compact"/>
              <w:jc w:val="left"/>
            </w:pPr>
            <w:r>
              <w:rPr>
                <w:sz w:val="19"/>
              </w:rPr>
              <w:t xml:space="preserve">Trainer</w:t>
            </w:r>
          </w:p>
        </w:tc>
        <w:tc>
          <w:tcPr>
            <w:tcW w:type="dxa" w:w="7824"/>
          </w:tcPr>
          <w:p>
            <w:pPr>
              <w:pStyle w:val="Compact"/>
              <w:jc w:val="left"/>
            </w:pPr>
            <w:r>
              <w:rPr>
                <w:sz w:val="19"/>
              </w:rPr>
              <w:t xml:space="preserve">See assigned units and class lists, enter marks and attendance, post notices.</w:t>
            </w:r>
          </w:p>
        </w:tc>
      </w:tr>
      <w:tr>
        <w:tc>
          <w:tcPr>
            <w:tcW w:type="dxa" w:w="1814"/>
          </w:tcPr>
          <w:p>
            <w:pPr>
              <w:pStyle w:val="Compact"/>
              <w:jc w:val="left"/>
            </w:pPr>
            <w:r>
              <w:rPr>
                <w:sz w:val="19"/>
              </w:rPr>
              <w:t xml:space="preserve">Head of school</w:t>
            </w:r>
          </w:p>
        </w:tc>
        <w:tc>
          <w:tcPr>
            <w:tcW w:type="dxa" w:w="7824"/>
          </w:tcPr>
          <w:p>
            <w:pPr>
              <w:pStyle w:val="Compact"/>
              <w:jc w:val="left"/>
            </w:pPr>
            <w:r>
              <w:rPr>
                <w:sz w:val="19"/>
              </w:rPr>
              <w:t xml:space="preserve">Approve results, see school performance, manage programmes of the school.</w:t>
            </w:r>
          </w:p>
        </w:tc>
      </w:tr>
      <w:tr>
        <w:tc>
          <w:tcPr>
            <w:tcW w:type="dxa" w:w="1814"/>
          </w:tcPr>
          <w:p>
            <w:pPr>
              <w:pStyle w:val="Compact"/>
              <w:jc w:val="left"/>
            </w:pPr>
            <w:r>
              <w:rPr>
                <w:sz w:val="19"/>
              </w:rPr>
              <w:t xml:space="preserve">Registrar / admissions officer</w:t>
            </w:r>
          </w:p>
        </w:tc>
        <w:tc>
          <w:tcPr>
            <w:tcW w:type="dxa" w:w="7824"/>
          </w:tcPr>
          <w:p>
            <w:pPr>
              <w:pStyle w:val="Compact"/>
              <w:jc w:val="left"/>
            </w:pPr>
            <w:r>
              <w:rPr>
                <w:sz w:val="19"/>
              </w:rPr>
              <w:t xml:space="preserve">Review applications, issue offers, enrol students, manage records and cohorts.</w:t>
            </w:r>
          </w:p>
        </w:tc>
      </w:tr>
      <w:tr>
        <w:tc>
          <w:tcPr>
            <w:tcW w:type="dxa" w:w="1814"/>
          </w:tcPr>
          <w:p>
            <w:pPr>
              <w:pStyle w:val="Compact"/>
              <w:jc w:val="left"/>
            </w:pPr>
            <w:r>
              <w:rPr>
                <w:sz w:val="19"/>
              </w:rPr>
              <w:t xml:space="preserve">Finance officer</w:t>
            </w:r>
          </w:p>
        </w:tc>
        <w:tc>
          <w:tcPr>
            <w:tcW w:type="dxa" w:w="7824"/>
          </w:tcPr>
          <w:p>
            <w:pPr>
              <w:pStyle w:val="Compact"/>
              <w:jc w:val="left"/>
            </w:pPr>
            <w:r>
              <w:rPr>
                <w:sz w:val="19"/>
              </w:rPr>
              <w:t xml:space="preserve">Fee structures, invoices, payments, reconciliation, statements, reports.</w:t>
            </w:r>
          </w:p>
        </w:tc>
      </w:tr>
      <w:tr>
        <w:tc>
          <w:tcPr>
            <w:tcW w:type="dxa" w:w="1814"/>
          </w:tcPr>
          <w:p>
            <w:pPr>
              <w:pStyle w:val="Compact"/>
              <w:jc w:val="left"/>
            </w:pPr>
            <w:r>
              <w:rPr>
                <w:sz w:val="19"/>
              </w:rPr>
              <w:t xml:space="preserve">Content editor / marketing</w:t>
            </w:r>
          </w:p>
        </w:tc>
        <w:tc>
          <w:tcPr>
            <w:tcW w:type="dxa" w:w="7824"/>
          </w:tcPr>
          <w:p>
            <w:pPr>
              <w:pStyle w:val="Compact"/>
              <w:jc w:val="left"/>
            </w:pPr>
            <w:r>
              <w:rPr>
                <w:sz w:val="19"/>
              </w:rPr>
              <w:t xml:space="preserve">News, events, gallery, FAQs, intakes, banners, SEO fields.</w:t>
            </w:r>
          </w:p>
        </w:tc>
      </w:tr>
      <w:tr>
        <w:tc>
          <w:tcPr>
            <w:tcW w:type="dxa" w:w="1814"/>
          </w:tcPr>
          <w:p>
            <w:pPr>
              <w:pStyle w:val="Compact"/>
              <w:jc w:val="left"/>
            </w:pPr>
            <w:r>
              <w:rPr>
                <w:sz w:val="19"/>
              </w:rPr>
              <w:t xml:space="preserve">Principal / director</w:t>
            </w:r>
          </w:p>
        </w:tc>
        <w:tc>
          <w:tcPr>
            <w:tcW w:type="dxa" w:w="7824"/>
          </w:tcPr>
          <w:p>
            <w:pPr>
              <w:pStyle w:val="Compact"/>
              <w:jc w:val="left"/>
            </w:pPr>
            <w:r>
              <w:rPr>
                <w:sz w:val="19"/>
              </w:rPr>
              <w:t xml:space="preserve">Dashboards and reports.</w:t>
            </w:r>
          </w:p>
        </w:tc>
      </w:tr>
      <w:tr>
        <w:tc>
          <w:tcPr>
            <w:tcW w:type="dxa" w:w="1814"/>
          </w:tcPr>
          <w:p>
            <w:pPr>
              <w:pStyle w:val="Compact"/>
              <w:jc w:val="left"/>
            </w:pPr>
            <w:r>
              <w:rPr>
                <w:sz w:val="19"/>
              </w:rPr>
              <w:t xml:space="preserve">ICT administrator</w:t>
            </w:r>
          </w:p>
        </w:tc>
        <w:tc>
          <w:tcPr>
            <w:tcW w:type="dxa" w:w="7824"/>
          </w:tcPr>
          <w:p>
            <w:pPr>
              <w:pStyle w:val="Compact"/>
              <w:jc w:val="left"/>
            </w:pPr>
            <w:r>
              <w:rPr>
                <w:sz w:val="19"/>
              </w:rPr>
              <w:t xml:space="preserve">Users, roles, system settings, integrations, audit review.</w:t>
            </w:r>
          </w:p>
        </w:tc>
      </w:tr>
      <w:tr>
        <w:tc>
          <w:tcPr>
            <w:tcW w:type="dxa" w:w="1814"/>
          </w:tcPr>
          <w:p>
            <w:pPr>
              <w:pStyle w:val="Compact"/>
              <w:jc w:val="left"/>
            </w:pPr>
            <w:r>
              <w:rPr>
                <w:sz w:val="19"/>
              </w:rPr>
              <w:t xml:space="preserve">Super admin</w:t>
            </w:r>
          </w:p>
        </w:tc>
        <w:tc>
          <w:tcPr>
            <w:tcW w:type="dxa" w:w="7824"/>
          </w:tcPr>
          <w:p>
            <w:pPr>
              <w:pStyle w:val="Compact"/>
              <w:jc w:val="left"/>
            </w:pPr>
            <w:r>
              <w:rPr>
                <w:sz w:val="19"/>
              </w:rPr>
              <w:t xml:space="preserve">Protected owner capability. Not grantable through ordinary role configuration.</w:t>
            </w:r>
          </w:p>
        </w:tc>
      </w:tr>
    </w:tbl>
    <w:bookmarkEnd w:id="26"/>
    <w:bookmarkStart w:id="30" w:name="research-notes"/>
    <w:p>
      <w:pPr>
        <w:pStyle w:val="Heading1"/>
      </w:pPr>
      <w:r>
        <w:t xml:space="preserve">5. Research notes</w:t>
      </w:r>
    </w:p>
    <w:bookmarkStart w:id="27" w:name="Xa212963fea26c26fcdda4a6ae9755f7cb099b7c"/>
    <w:p>
      <w:pPr>
        <w:pStyle w:val="Heading2"/>
      </w:pPr>
      <w:r>
        <w:t xml:space="preserve">5.1 Reference site (icmhs.co.ke): what to keep, what to improve</w:t>
      </w:r>
    </w:p>
    <w:p>
      <w:pPr>
        <w:pStyle w:val="FirstParagraph"/>
      </w:pPr>
      <w:r>
        <w:t xml:space="preserve">The client likes this site. Screenshots were reviewed. Patterns worth keeping and ways to do better:</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Observed on the reference</w:t>
            </w:r>
          </w:p>
        </w:tc>
        <w:tc>
          <w:tcPr>
            <w:tcW w:type="dxa" w:w="7824"/>
            <w:shd w:val="clear" w:fill="0A1F4D"/>
          </w:tcPr>
          <w:p>
            <w:pPr>
              <w:pStyle w:val="Compact"/>
              <w:jc w:val="left"/>
            </w:pPr>
            <w:r>
              <w:rPr>
                <w:b/>
                <w:color w:val="FFFFFF"/>
              </w:rPr>
              <w:t xml:space="preserve">Decision for Dakota</w:t>
            </w:r>
          </w:p>
        </w:tc>
      </w:tr>
      <w:tr>
        <w:tc>
          <w:tcPr>
            <w:tcW w:type="dxa" w:w="1814"/>
          </w:tcPr>
          <w:p>
            <w:pPr>
              <w:pStyle w:val="Compact"/>
              <w:jc w:val="left"/>
            </w:pPr>
            <w:r>
              <w:rPr>
                <w:sz w:val="19"/>
              </w:rPr>
              <w:t xml:space="preserve">Announcement bar (</w:t>
            </w:r>
            <w:r>
              <w:rPr>
                <w:sz w:val="19"/>
              </w:rPr>
              <w:t xml:space="preserve">“</w:t>
            </w:r>
            <w:r>
              <w:rPr>
                <w:sz w:val="19"/>
              </w:rPr>
              <w:t xml:space="preserve">Admission open</w:t>
            </w:r>
            <w:r>
              <w:rPr>
                <w:sz w:val="19"/>
              </w:rPr>
              <w:t xml:space="preserve">”</w:t>
            </w:r>
            <w:r>
              <w:rPr>
                <w:sz w:val="19"/>
              </w:rPr>
              <w:t xml:space="preserve">) above a utility bar (Contact, Alumni, Staff Portal, Student Portal) above the main menu with a red</w:t>
            </w:r>
            <w:r>
              <w:rPr>
                <w:sz w:val="19"/>
              </w:rPr>
              <w:t xml:space="preserve"> </w:t>
            </w:r>
            <w:r>
              <w:rPr>
                <w:sz w:val="19"/>
              </w:rPr>
              <w:t xml:space="preserve">“</w:t>
            </w:r>
            <w:r>
              <w:rPr>
                <w:sz w:val="19"/>
              </w:rPr>
              <w:t xml:space="preserve">Apply Now</w:t>
            </w:r>
            <w:r>
              <w:rPr>
                <w:sz w:val="19"/>
              </w:rPr>
              <w:t xml:space="preserve">”</w:t>
            </w:r>
            <w:r>
              <w:rPr>
                <w:sz w:val="19"/>
              </w:rPr>
              <w:t xml:space="preserve"> </w:t>
            </w:r>
            <w:r>
              <w:rPr>
                <w:sz w:val="19"/>
              </w:rPr>
              <w:t xml:space="preserve">button</w:t>
            </w:r>
          </w:p>
        </w:tc>
        <w:tc>
          <w:tcPr>
            <w:tcW w:type="dxa" w:w="7824"/>
          </w:tcPr>
          <w:p>
            <w:pPr>
              <w:pStyle w:val="Compact"/>
              <w:jc w:val="left"/>
            </w:pPr>
            <w:r>
              <w:rPr>
                <w:bCs/>
                <w:b/>
                <w:sz w:val="19"/>
              </w:rPr>
              <w:t xml:space="preserve">Keep</w:t>
            </w:r>
            <w:r>
              <w:rPr>
                <w:sz w:val="19"/>
              </w:rPr>
              <w:t xml:space="preserve"> </w:t>
            </w:r>
            <w:r>
              <w:rPr>
                <w:sz w:val="19"/>
              </w:rPr>
              <w:t xml:space="preserve">the three-layer header. Use a gold</w:t>
            </w:r>
            <w:r>
              <w:rPr>
                <w:sz w:val="19"/>
              </w:rPr>
              <w:t xml:space="preserve"> </w:t>
            </w:r>
            <w:r>
              <w:rPr>
                <w:sz w:val="19"/>
              </w:rPr>
              <w:t xml:space="preserve">“</w:t>
            </w:r>
            <w:r>
              <w:rPr>
                <w:sz w:val="19"/>
              </w:rPr>
              <w:t xml:space="preserve">Apply Now</w:t>
            </w:r>
            <w:r>
              <w:rPr>
                <w:sz w:val="19"/>
              </w:rPr>
              <w:t xml:space="preserve">”</w:t>
            </w:r>
            <w:r>
              <w:rPr>
                <w:sz w:val="19"/>
              </w:rPr>
              <w:t xml:space="preserve"> </w:t>
            </w:r>
            <w:r>
              <w:rPr>
                <w:sz w:val="19"/>
              </w:rPr>
              <w:t xml:space="preserve">button with navy text for contrast. Announcement bar is editable and expires by date.</w:t>
            </w:r>
          </w:p>
        </w:tc>
      </w:tr>
      <w:tr>
        <w:tc>
          <w:tcPr>
            <w:tcW w:type="dxa" w:w="1814"/>
          </w:tcPr>
          <w:p>
            <w:pPr>
              <w:pStyle w:val="Compact"/>
              <w:jc w:val="left"/>
            </w:pPr>
            <w:r>
              <w:rPr>
                <w:sz w:val="19"/>
              </w:rPr>
              <w:t xml:space="preserve">Full-screen hero photo under a strong blue wash, with logo and title</w:t>
            </w:r>
          </w:p>
        </w:tc>
        <w:tc>
          <w:tcPr>
            <w:tcW w:type="dxa" w:w="7824"/>
          </w:tcPr>
          <w:p>
            <w:pPr>
              <w:pStyle w:val="Compact"/>
              <w:jc w:val="left"/>
            </w:pPr>
            <w:r>
              <w:rPr>
                <w:bCs/>
                <w:b/>
                <w:sz w:val="19"/>
              </w:rPr>
              <w:t xml:space="preserve">Improve.</w:t>
            </w:r>
            <w:r>
              <w:rPr>
                <w:sz w:val="19"/>
              </w:rPr>
              <w:t xml:space="preserve"> </w:t>
            </w:r>
            <w:r>
              <w:rPr>
                <w:sz w:val="19"/>
              </w:rPr>
              <w:t xml:space="preserve">A heavy colour wash flattens the photo and hurts legibility. Use a clean split hero: headline, two buttons (Apply now, Find a course), intake date, and a real photo without a heavy overlay.</w:t>
            </w:r>
          </w:p>
        </w:tc>
      </w:tr>
      <w:tr>
        <w:tc>
          <w:tcPr>
            <w:tcW w:type="dxa" w:w="1814"/>
          </w:tcPr>
          <w:p>
            <w:pPr>
              <w:pStyle w:val="Compact"/>
              <w:jc w:val="left"/>
            </w:pPr>
            <w:r>
              <w:rPr>
                <w:sz w:val="19"/>
              </w:rPr>
              <w:t xml:space="preserve">Statistics row (80%, 10000+, 26+, 70+) and superlatives such as</w:t>
            </w:r>
            <w:r>
              <w:rPr>
                <w:sz w:val="19"/>
              </w:rPr>
              <w:t xml:space="preserve"> </w:t>
            </w:r>
            <w:r>
              <w:rPr>
                <w:sz w:val="19"/>
              </w:rPr>
              <w:t xml:space="preserve">“</w:t>
            </w:r>
            <w:r>
              <w:rPr>
                <w:sz w:val="19"/>
              </w:rPr>
              <w:t xml:space="preserve">Best Medical Training College in Kenya</w:t>
            </w:r>
            <w:r>
              <w:rPr>
                <w:sz w:val="19"/>
              </w:rPr>
              <w:t xml:space="preserve">”</w:t>
            </w:r>
          </w:p>
        </w:tc>
        <w:tc>
          <w:tcPr>
            <w:tcW w:type="dxa" w:w="7824"/>
          </w:tcPr>
          <w:p>
            <w:pPr>
              <w:pStyle w:val="Compact"/>
              <w:jc w:val="left"/>
            </w:pPr>
            <w:r>
              <w:rPr>
                <w:bCs/>
                <w:b/>
                <w:sz w:val="19"/>
              </w:rPr>
              <w:t xml:space="preserve">Do not copy.</w:t>
            </w:r>
            <w:r>
              <w:rPr>
                <w:sz w:val="19"/>
              </w:rPr>
              <w:t xml:space="preserve"> </w:t>
            </w:r>
            <w:r>
              <w:rPr>
                <w:sz w:val="19"/>
              </w:rPr>
              <w:t xml:space="preserve">Superlatives and statistics are shown only if the college supplies evidence. Each statistic has a</w:t>
            </w:r>
            <w:r>
              <w:rPr>
                <w:sz w:val="19"/>
              </w:rPr>
              <w:t xml:space="preserve"> </w:t>
            </w:r>
            <w:r>
              <w:rPr>
                <w:sz w:val="19"/>
              </w:rPr>
              <w:t xml:space="preserve">“</w:t>
            </w:r>
            <w:r>
              <w:rPr>
                <w:sz w:val="19"/>
              </w:rPr>
              <w:t xml:space="preserve">last verified</w:t>
            </w:r>
            <w:r>
              <w:rPr>
                <w:sz w:val="19"/>
              </w:rPr>
              <w:t xml:space="preserve">”</w:t>
            </w:r>
            <w:r>
              <w:rPr>
                <w:sz w:val="19"/>
              </w:rPr>
              <w:t xml:space="preserve"> </w:t>
            </w:r>
            <w:r>
              <w:rPr>
                <w:sz w:val="19"/>
              </w:rPr>
              <w:t xml:space="preserve">date in the admin. Empty means hidden.</w:t>
            </w:r>
          </w:p>
        </w:tc>
      </w:tr>
      <w:tr>
        <w:tc>
          <w:tcPr>
            <w:tcW w:type="dxa" w:w="1814"/>
          </w:tcPr>
          <w:p>
            <w:pPr>
              <w:pStyle w:val="Compact"/>
              <w:jc w:val="left"/>
            </w:pPr>
            <w:r>
              <w:rPr>
                <w:sz w:val="19"/>
              </w:rPr>
              <w:t xml:space="preserve">Motto, mission, vision cards</w:t>
            </w:r>
          </w:p>
        </w:tc>
        <w:tc>
          <w:tcPr>
            <w:tcW w:type="dxa" w:w="7824"/>
          </w:tcPr>
          <w:p>
            <w:pPr>
              <w:pStyle w:val="Compact"/>
              <w:jc w:val="left"/>
            </w:pPr>
            <w:r>
              <w:rPr>
                <w:bCs/>
                <w:b/>
                <w:sz w:val="19"/>
              </w:rPr>
              <w:t xml:space="preserve">Keep</w:t>
            </w:r>
            <w:r>
              <w:rPr>
                <w:sz w:val="19"/>
              </w:rPr>
              <w:t xml:space="preserve">, as a calm values section with real wording from the college.</w:t>
            </w:r>
          </w:p>
        </w:tc>
      </w:tr>
      <w:tr>
        <w:tc>
          <w:tcPr>
            <w:tcW w:type="dxa" w:w="1814"/>
          </w:tcPr>
          <w:p>
            <w:pPr>
              <w:pStyle w:val="Compact"/>
              <w:jc w:val="left"/>
            </w:pPr>
            <w:r>
              <w:rPr>
                <w:sz w:val="19"/>
              </w:rPr>
              <w:t xml:space="preserve">Campus tabs (Thika, Nakuru)</w:t>
            </w:r>
          </w:p>
        </w:tc>
        <w:tc>
          <w:tcPr>
            <w:tcW w:type="dxa" w:w="7824"/>
          </w:tcPr>
          <w:p>
            <w:pPr>
              <w:pStyle w:val="Compact"/>
              <w:jc w:val="left"/>
            </w:pPr>
            <w:r>
              <w:rPr>
                <w:bCs/>
                <w:b/>
                <w:sz w:val="19"/>
              </w:rPr>
              <w:t xml:space="preserve">Adapt.</w:t>
            </w:r>
            <w:r>
              <w:rPr>
                <w:sz w:val="19"/>
              </w:rPr>
              <w:t xml:space="preserve"> </w:t>
            </w:r>
            <w:r>
              <w:rPr>
                <w:sz w:val="19"/>
              </w:rPr>
              <w:t xml:space="preserve">One campus, so show a campus section with facilities, location, map, directions and visiting hours instead of tabs.</w:t>
            </w:r>
          </w:p>
        </w:tc>
      </w:tr>
      <w:tr>
        <w:tc>
          <w:tcPr>
            <w:tcW w:type="dxa" w:w="1814"/>
          </w:tcPr>
          <w:p>
            <w:pPr>
              <w:pStyle w:val="Compact"/>
              <w:jc w:val="left"/>
            </w:pPr>
            <w:r>
              <w:rPr>
                <w:sz w:val="19"/>
              </w:rPr>
              <w:t xml:space="preserve">Programme tabs (Diploma, Certificate, Short courses) with one big feature card</w:t>
            </w:r>
          </w:p>
        </w:tc>
        <w:tc>
          <w:tcPr>
            <w:tcW w:type="dxa" w:w="7824"/>
          </w:tcPr>
          <w:p>
            <w:pPr>
              <w:pStyle w:val="Compact"/>
              <w:jc w:val="left"/>
            </w:pPr>
            <w:r>
              <w:rPr>
                <w:bCs/>
                <w:b/>
                <w:sz w:val="19"/>
              </w:rPr>
              <w:t xml:space="preserve">Improve.</w:t>
            </w:r>
            <w:r>
              <w:rPr>
                <w:sz w:val="19"/>
              </w:rPr>
              <w:t xml:space="preserve"> </w:t>
            </w:r>
            <w:r>
              <w:rPr>
                <w:sz w:val="19"/>
              </w:rPr>
              <w:t xml:space="preserve">Add a</w:t>
            </w:r>
            <w:r>
              <w:rPr>
                <w:sz w:val="19"/>
              </w:rPr>
              <w:t xml:space="preserve"> </w:t>
            </w:r>
            <w:r>
              <w:rPr>
                <w:bCs/>
                <w:b/>
                <w:sz w:val="19"/>
              </w:rPr>
              <w:t xml:space="preserve">course finder</w:t>
            </w:r>
            <w:r>
              <w:rPr>
                <w:sz w:val="19"/>
              </w:rPr>
              <w:t xml:space="preserve">: filter by school, level, duration and entry grade, with search. Every programme has its own page with fees and requirements.</w:t>
            </w:r>
          </w:p>
        </w:tc>
      </w:tr>
      <w:tr>
        <w:tc>
          <w:tcPr>
            <w:tcW w:type="dxa" w:w="1814"/>
          </w:tcPr>
          <w:p>
            <w:pPr>
              <w:pStyle w:val="Compact"/>
              <w:jc w:val="left"/>
            </w:pPr>
            <w:r>
              <w:rPr>
                <w:sz w:val="19"/>
              </w:rPr>
              <w:t xml:space="preserve">Intake banner (January, March, May, September)</w:t>
            </w:r>
          </w:p>
        </w:tc>
        <w:tc>
          <w:tcPr>
            <w:tcW w:type="dxa" w:w="7824"/>
          </w:tcPr>
          <w:p>
            <w:pPr>
              <w:pStyle w:val="Compact"/>
              <w:jc w:val="left"/>
            </w:pPr>
            <w:r>
              <w:rPr>
                <w:bCs/>
                <w:b/>
                <w:sz w:val="19"/>
              </w:rPr>
              <w:t xml:space="preserve">Keep</w:t>
            </w:r>
            <w:r>
              <w:rPr>
                <w:sz w:val="19"/>
              </w:rPr>
              <w:t xml:space="preserve"> </w:t>
            </w:r>
            <w:r>
              <w:rPr>
                <w:sz w:val="19"/>
              </w:rPr>
              <w:t xml:space="preserve">as an intake calendar tied to real dates and an</w:t>
            </w:r>
            <w:r>
              <w:rPr>
                <w:sz w:val="19"/>
              </w:rPr>
              <w:t xml:space="preserve"> </w:t>
            </w:r>
            <w:r>
              <w:rPr>
                <w:sz w:val="19"/>
              </w:rPr>
              <w:t xml:space="preserve">“</w:t>
            </w:r>
            <w:r>
              <w:rPr>
                <w:sz w:val="19"/>
              </w:rPr>
              <w:t xml:space="preserve">Apply for this intake</w:t>
            </w:r>
            <w:r>
              <w:rPr>
                <w:sz w:val="19"/>
              </w:rPr>
              <w:t xml:space="preserve">”</w:t>
            </w:r>
            <w:r>
              <w:rPr>
                <w:sz w:val="19"/>
              </w:rPr>
              <w:t xml:space="preserve"> </w:t>
            </w:r>
            <w:r>
              <w:rPr>
                <w:sz w:val="19"/>
              </w:rPr>
              <w:t xml:space="preserve">link.</w:t>
            </w:r>
          </w:p>
        </w:tc>
      </w:tr>
      <w:tr>
        <w:tc>
          <w:tcPr>
            <w:tcW w:type="dxa" w:w="1814"/>
          </w:tcPr>
          <w:p>
            <w:pPr>
              <w:pStyle w:val="Compact"/>
              <w:jc w:val="left"/>
            </w:pPr>
            <w:r>
              <w:rPr>
                <w:sz w:val="19"/>
              </w:rPr>
              <w:t xml:space="preserve">Facilities carousel, Life section with photo collage, Knowledge Centre (blog)</w:t>
            </w:r>
          </w:p>
        </w:tc>
        <w:tc>
          <w:tcPr>
            <w:tcW w:type="dxa" w:w="7824"/>
          </w:tcPr>
          <w:p>
            <w:pPr>
              <w:pStyle w:val="Compact"/>
              <w:jc w:val="left"/>
            </w:pPr>
            <w:r>
              <w:rPr>
                <w:bCs/>
                <w:b/>
                <w:sz w:val="19"/>
              </w:rPr>
              <w:t xml:space="preserve">Keep</w:t>
            </w:r>
            <w:r>
              <w:rPr>
                <w:sz w:val="19"/>
              </w:rPr>
              <w:t xml:space="preserve"> </w:t>
            </w:r>
            <w:r>
              <w:rPr>
                <w:sz w:val="19"/>
              </w:rPr>
              <w:t xml:space="preserve">in lighter form. Blog and news are written in the staff portal. Photo galleries use compressed images and captions with consent.</w:t>
            </w:r>
          </w:p>
        </w:tc>
      </w:tr>
      <w:tr>
        <w:tc>
          <w:tcPr>
            <w:tcW w:type="dxa" w:w="1814"/>
          </w:tcPr>
          <w:p>
            <w:pPr>
              <w:pStyle w:val="Compact"/>
              <w:jc w:val="left"/>
            </w:pPr>
            <w:r>
              <w:rPr>
                <w:sz w:val="19"/>
              </w:rPr>
              <w:t xml:space="preserve">FAQ cards by category,</w:t>
            </w:r>
            <w:r>
              <w:rPr>
                <w:sz w:val="19"/>
              </w:rPr>
              <w:t xml:space="preserve"> </w:t>
            </w:r>
            <w:r>
              <w:rPr>
                <w:sz w:val="19"/>
              </w:rPr>
              <w:t xml:space="preserve">“</w:t>
            </w:r>
            <w:r>
              <w:rPr>
                <w:sz w:val="19"/>
              </w:rPr>
              <w:t xml:space="preserve">View all</w:t>
            </w:r>
            <w:r>
              <w:rPr>
                <w:sz w:val="19"/>
              </w:rPr>
              <w:t xml:space="preserve">”</w:t>
            </w:r>
            <w:r>
              <w:rPr>
                <w:sz w:val="19"/>
              </w:rPr>
              <w:t xml:space="preserve"> </w:t>
            </w:r>
            <w:r>
              <w:rPr>
                <w:sz w:val="19"/>
              </w:rPr>
              <w:t xml:space="preserve">pages with accordions, then a contact form with campus and query type</w:t>
            </w:r>
          </w:p>
        </w:tc>
        <w:tc>
          <w:tcPr>
            <w:tcW w:type="dxa" w:w="7824"/>
          </w:tcPr>
          <w:p>
            <w:pPr>
              <w:pStyle w:val="Compact"/>
              <w:jc w:val="left"/>
            </w:pPr>
            <w:r>
              <w:rPr>
                <w:bCs/>
                <w:b/>
                <w:sz w:val="19"/>
              </w:rPr>
              <w:t xml:space="preserve">Keep</w:t>
            </w:r>
            <w:r>
              <w:rPr>
                <w:sz w:val="19"/>
              </w:rPr>
              <w:t xml:space="preserve"> </w:t>
            </w:r>
            <w:r>
              <w:rPr>
                <w:sz w:val="19"/>
              </w:rPr>
              <w:t xml:space="preserve">and make the FAQ searchable. Fix the form copy (the reference has typos) and add spam protection.</w:t>
            </w:r>
          </w:p>
        </w:tc>
      </w:tr>
      <w:tr>
        <w:tc>
          <w:tcPr>
            <w:tcW w:type="dxa" w:w="1814"/>
          </w:tcPr>
          <w:p>
            <w:pPr>
              <w:pStyle w:val="Compact"/>
              <w:jc w:val="left"/>
            </w:pPr>
            <w:r>
              <w:rPr>
                <w:sz w:val="19"/>
              </w:rPr>
              <w:t xml:space="preserve">Two-step apply form on the home page (name, email, phone, Continue)</w:t>
            </w:r>
          </w:p>
        </w:tc>
        <w:tc>
          <w:tcPr>
            <w:tcW w:type="dxa" w:w="7824"/>
          </w:tcPr>
          <w:p>
            <w:pPr>
              <w:pStyle w:val="Compact"/>
              <w:jc w:val="left"/>
            </w:pPr>
            <w:r>
              <w:rPr>
                <w:bCs/>
                <w:b/>
                <w:sz w:val="19"/>
              </w:rPr>
              <w:t xml:space="preserve">Improve.</w:t>
            </w:r>
            <w:r>
              <w:rPr>
                <w:sz w:val="19"/>
              </w:rPr>
              <w:t xml:space="preserve"> </w:t>
            </w:r>
            <w:r>
              <w:rPr>
                <w:sz w:val="19"/>
              </w:rPr>
              <w:t xml:space="preserve">A short lead form on the home page, plus a proper multi-step application that saves progress and can be resumed with a link or reference number.</w:t>
            </w:r>
          </w:p>
        </w:tc>
      </w:tr>
      <w:tr>
        <w:tc>
          <w:tcPr>
            <w:tcW w:type="dxa" w:w="1814"/>
          </w:tcPr>
          <w:p>
            <w:pPr>
              <w:pStyle w:val="Compact"/>
              <w:jc w:val="left"/>
            </w:pPr>
            <w:r>
              <w:rPr>
                <w:sz w:val="19"/>
              </w:rPr>
              <w:t xml:space="preserve">Floating WhatsApp button</w:t>
            </w:r>
          </w:p>
        </w:tc>
        <w:tc>
          <w:tcPr>
            <w:tcW w:type="dxa" w:w="7824"/>
          </w:tcPr>
          <w:p>
            <w:pPr>
              <w:pStyle w:val="Compact"/>
              <w:jc w:val="left"/>
            </w:pPr>
            <w:r>
              <w:rPr>
                <w:bCs/>
                <w:b/>
                <w:sz w:val="19"/>
              </w:rPr>
              <w:t xml:space="preserve">Keep</w:t>
            </w:r>
            <w:r>
              <w:rPr>
                <w:sz w:val="19"/>
              </w:rPr>
              <w:t xml:space="preserve">, with a prefilled message and a note on office hours.</w:t>
            </w:r>
          </w:p>
        </w:tc>
      </w:tr>
      <w:tr>
        <w:tc>
          <w:tcPr>
            <w:tcW w:type="dxa" w:w="1814"/>
          </w:tcPr>
          <w:p>
            <w:pPr>
              <w:pStyle w:val="Compact"/>
              <w:jc w:val="left"/>
            </w:pPr>
            <w:r>
              <w:rPr>
                <w:sz w:val="19"/>
              </w:rPr>
              <w:t xml:space="preserve">Student portal login with student number and password, three benefit bullets, red button</w:t>
            </w:r>
          </w:p>
        </w:tc>
        <w:tc>
          <w:tcPr>
            <w:tcW w:type="dxa" w:w="7824"/>
          </w:tcPr>
          <w:p>
            <w:pPr>
              <w:pStyle w:val="Compact"/>
              <w:jc w:val="left"/>
            </w:pPr>
            <w:r>
              <w:rPr>
                <w:bCs/>
                <w:b/>
                <w:sz w:val="19"/>
              </w:rPr>
              <w:t xml:space="preserve">Keep</w:t>
            </w:r>
            <w:r>
              <w:rPr>
                <w:sz w:val="19"/>
              </w:rPr>
              <w:t xml:space="preserve"> </w:t>
            </w:r>
            <w:r>
              <w:rPr>
                <w:sz w:val="19"/>
              </w:rPr>
              <w:t xml:space="preserve">the split layout. Add forgot-password by email or SMS, lockout, and clear error messages.</w:t>
            </w:r>
          </w:p>
        </w:tc>
      </w:tr>
      <w:tr>
        <w:tc>
          <w:tcPr>
            <w:tcW w:type="dxa" w:w="1814"/>
          </w:tcPr>
          <w:p>
            <w:pPr>
              <w:pStyle w:val="Compact"/>
              <w:jc w:val="left"/>
            </w:pPr>
            <w:r>
              <w:rPr>
                <w:sz w:val="19"/>
              </w:rPr>
              <w:t xml:space="preserve">Footer with quick links, portal links, contact, socials,</w:t>
            </w:r>
            <w:r>
              <w:rPr>
                <w:sz w:val="19"/>
              </w:rPr>
              <w:t xml:space="preserve"> </w:t>
            </w:r>
            <w:r>
              <w:rPr>
                <w:sz w:val="19"/>
              </w:rPr>
              <w:t xml:space="preserve">“</w:t>
            </w:r>
            <w:r>
              <w:rPr>
                <w:sz w:val="19"/>
              </w:rPr>
              <w:t xml:space="preserve">growth tech partner</w:t>
            </w:r>
            <w:r>
              <w:rPr>
                <w:sz w:val="19"/>
              </w:rPr>
              <w:t xml:space="preserve">”</w:t>
            </w:r>
            <w:r>
              <w:rPr>
                <w:sz w:val="19"/>
              </w:rPr>
              <w:t xml:space="preserve"> </w:t>
            </w:r>
            <w:r>
              <w:rPr>
                <w:sz w:val="19"/>
              </w:rPr>
              <w:t xml:space="preserve">logos</w:t>
            </w:r>
          </w:p>
        </w:tc>
        <w:tc>
          <w:tcPr>
            <w:tcW w:type="dxa" w:w="7824"/>
          </w:tcPr>
          <w:p>
            <w:pPr>
              <w:pStyle w:val="Compact"/>
              <w:jc w:val="left"/>
            </w:pPr>
            <w:r>
              <w:rPr>
                <w:bCs/>
                <w:b/>
                <w:sz w:val="19"/>
              </w:rPr>
              <w:t xml:space="preserve">Keep</w:t>
            </w:r>
            <w:r>
              <w:rPr>
                <w:sz w:val="19"/>
              </w:rPr>
              <w:t xml:space="preserve"> </w:t>
            </w:r>
            <w:r>
              <w:rPr>
                <w:sz w:val="19"/>
              </w:rPr>
              <w:t xml:space="preserve">the structure. Add registration details and policy links. Remove partner logos unless they are ours to show.</w:t>
            </w:r>
          </w:p>
        </w:tc>
      </w:tr>
    </w:tbl>
    <w:bookmarkEnd w:id="27"/>
    <w:bookmarkStart w:id="28" w:name="competitive-and-local-context"/>
    <w:p>
      <w:pPr>
        <w:pStyle w:val="Heading2"/>
      </w:pPr>
      <w:r>
        <w:t xml:space="preserve">5.2 Competitive and local context</w:t>
      </w:r>
    </w:p>
    <w:p>
      <w:pPr>
        <w:numPr>
          <w:ilvl w:val="0"/>
          <w:numId w:val="1004"/>
        </w:numPr>
        <w:pStyle w:val="Compact"/>
      </w:pPr>
      <w:r>
        <w:t xml:space="preserve">Makueni County runs its own vocational training centres and a vocational training management portal that already offers online scholarship applications. Families in the area are used to applying online, so a paper-first process will feel dated.</w:t>
      </w:r>
    </w:p>
    <w:p>
      <w:pPr>
        <w:numPr>
          <w:ilvl w:val="0"/>
          <w:numId w:val="1004"/>
        </w:numPr>
        <w:pStyle w:val="Compact"/>
      </w:pPr>
      <w:r>
        <w:t xml:space="preserve">Private colleges compete on clarity: published fees, entry requirements, intake dates and fast replies. Those are the first things this site must answer.</w:t>
      </w:r>
    </w:p>
    <w:p>
      <w:pPr>
        <w:numPr>
          <w:ilvl w:val="0"/>
          <w:numId w:val="1004"/>
        </w:numPr>
        <w:pStyle w:val="Compact"/>
      </w:pPr>
      <w:r>
        <w:t xml:space="preserve">Public search found no independent information on Dakota Training College itself. The client must supply facts. Nothing about accreditation, results or history is assumed.</w:t>
      </w:r>
    </w:p>
    <w:bookmarkEnd w:id="28"/>
    <w:bookmarkStart w:id="29" w:name="X6228ec705ce1b8a5cb0109c3a0be39407b9f6b8"/>
    <w:p>
      <w:pPr>
        <w:pStyle w:val="Heading2"/>
      </w:pPr>
      <w:r>
        <w:t xml:space="preserve">5.3 Regulatory context (to verify with the client and a lawyer)</w:t>
      </w:r>
    </w:p>
    <w:p>
      <w:pPr>
        <w:numPr>
          <w:ilvl w:val="0"/>
          <w:numId w:val="1005"/>
        </w:numPr>
        <w:pStyle w:val="Compact"/>
      </w:pPr>
      <w:r>
        <w:t xml:space="preserve">Training institutions in Kenya are regulated by TVETA (registration and accreditation). Programme assessment and certification may involve CDACC or KNEC depending on the programme. Confirm the college’s exact status and show registration or accreditation numbers only when verified.</w:t>
      </w:r>
    </w:p>
    <w:p>
      <w:pPr>
        <w:numPr>
          <w:ilvl w:val="0"/>
          <w:numId w:val="1005"/>
        </w:numPr>
        <w:pStyle w:val="Compact"/>
      </w:pPr>
      <w:r>
        <w:t xml:space="preserve">Student and applicant data is personal data under the Data Protection Act, 2019. The college is a data controller and probably needs to register with the Office of the Data Protection Commissioner. Many applicants are under 18, so parental consent and extra care apply.</w:t>
      </w:r>
    </w:p>
    <w:p>
      <w:pPr>
        <w:numPr>
          <w:ilvl w:val="0"/>
          <w:numId w:val="1005"/>
        </w:numPr>
        <w:pStyle w:val="Compact"/>
      </w:pPr>
      <w:r>
        <w:t xml:space="preserve">Photos of students must be used with consent. Some images on the reference site look synthetic. Dakota’s site must use real, consented photos, or neutral illustrations, never fake people presented as students.</w:t>
      </w:r>
    </w:p>
    <w:bookmarkEnd w:id="29"/>
    <w:bookmarkEnd w:id="30"/>
    <w:bookmarkStart w:id="33" w:name="public-website"/>
    <w:p>
      <w:pPr>
        <w:pStyle w:val="Heading1"/>
      </w:pPr>
      <w:r>
        <w:t xml:space="preserve">6. Public website</w:t>
      </w:r>
    </w:p>
    <w:bookmarkStart w:id="31" w:name="sitemap"/>
    <w:p>
      <w:pPr>
        <w:pStyle w:val="Heading2"/>
      </w:pPr>
      <w:r>
        <w:t xml:space="preserve">6.1 Sitemap</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Section</w:t>
            </w:r>
          </w:p>
        </w:tc>
        <w:tc>
          <w:tcPr>
            <w:tcW w:type="dxa" w:w="7824"/>
            <w:shd w:val="clear" w:fill="0A1F4D"/>
          </w:tcPr>
          <w:p>
            <w:pPr>
              <w:pStyle w:val="Compact"/>
              <w:jc w:val="left"/>
            </w:pPr>
            <w:r>
              <w:rPr>
                <w:b/>
                <w:color w:val="FFFFFF"/>
              </w:rPr>
              <w:t xml:space="preserve">Pages</w:t>
            </w:r>
          </w:p>
        </w:tc>
      </w:tr>
      <w:tr>
        <w:tc>
          <w:tcPr>
            <w:tcW w:type="dxa" w:w="1814"/>
          </w:tcPr>
          <w:p>
            <w:pPr>
              <w:pStyle w:val="Compact"/>
              <w:jc w:val="left"/>
            </w:pPr>
            <w:r>
              <w:rPr>
                <w:sz w:val="19"/>
              </w:rPr>
              <w:t xml:space="preserve">Home</w:t>
            </w:r>
          </w:p>
        </w:tc>
        <w:tc>
          <w:tcPr>
            <w:tcW w:type="dxa" w:w="7824"/>
          </w:tcPr>
          <w:p>
            <w:pPr>
              <w:pStyle w:val="Compact"/>
              <w:jc w:val="left"/>
            </w:pPr>
            <w:r>
              <w:rPr>
                <w:sz w:val="19"/>
              </w:rPr>
              <w:t xml:space="preserve">Hero, intake bar, course finder, five schools, why Dakota (verified facts only), campus, upcoming events, latest news, FAQ highlights, apply strip.</w:t>
            </w:r>
          </w:p>
        </w:tc>
      </w:tr>
      <w:tr>
        <w:tc>
          <w:tcPr>
            <w:tcW w:type="dxa" w:w="1814"/>
          </w:tcPr>
          <w:p>
            <w:pPr>
              <w:pStyle w:val="Compact"/>
              <w:jc w:val="left"/>
            </w:pPr>
            <w:r>
              <w:rPr>
                <w:sz w:val="19"/>
              </w:rPr>
              <w:t xml:space="preserve">About</w:t>
            </w:r>
          </w:p>
        </w:tc>
        <w:tc>
          <w:tcPr>
            <w:tcW w:type="dxa" w:w="7824"/>
          </w:tcPr>
          <w:p>
            <w:pPr>
              <w:pStyle w:val="Compact"/>
              <w:jc w:val="left"/>
            </w:pPr>
            <w:r>
              <w:rPr>
                <w:sz w:val="19"/>
              </w:rPr>
              <w:t xml:space="preserve">Our story, mission and values, leadership, accreditation and registration, campus and facilities, partnerships and clinical or industry placements, policies.</w:t>
            </w:r>
          </w:p>
        </w:tc>
      </w:tr>
      <w:tr>
        <w:tc>
          <w:tcPr>
            <w:tcW w:type="dxa" w:w="1814"/>
          </w:tcPr>
          <w:p>
            <w:pPr>
              <w:pStyle w:val="Compact"/>
              <w:jc w:val="left"/>
            </w:pPr>
            <w:r>
              <w:rPr>
                <w:sz w:val="19"/>
              </w:rPr>
              <w:t xml:space="preserve">Schools</w:t>
            </w:r>
          </w:p>
        </w:tc>
        <w:tc>
          <w:tcPr>
            <w:tcW w:type="dxa" w:w="7824"/>
          </w:tcPr>
          <w:p>
            <w:pPr>
              <w:pStyle w:val="Compact"/>
              <w:jc w:val="left"/>
            </w:pPr>
            <w:r>
              <w:rPr>
                <w:sz w:val="19"/>
              </w:rPr>
              <w:t xml:space="preserve">Index of five schools. Each school page: overview, programmes, head of school message, facilities, career paths, apply button.</w:t>
            </w:r>
          </w:p>
        </w:tc>
      </w:tr>
      <w:tr>
        <w:tc>
          <w:tcPr>
            <w:tcW w:type="dxa" w:w="1814"/>
          </w:tcPr>
          <w:p>
            <w:pPr>
              <w:pStyle w:val="Compact"/>
              <w:jc w:val="left"/>
            </w:pPr>
            <w:r>
              <w:rPr>
                <w:sz w:val="19"/>
              </w:rPr>
              <w:t xml:space="preserve">Programmes</w:t>
            </w:r>
          </w:p>
        </w:tc>
        <w:tc>
          <w:tcPr>
            <w:tcW w:type="dxa" w:w="7824"/>
          </w:tcPr>
          <w:p>
            <w:pPr>
              <w:pStyle w:val="Compact"/>
              <w:jc w:val="left"/>
            </w:pPr>
            <w:r>
              <w:rPr>
                <w:sz w:val="19"/>
              </w:rPr>
              <w:t xml:space="preserve">Course finder. Each programme page: level, duration, mode, intakes, entry requirements, units overview, fees, career outcomes, FAQs, apply button, structured data for search engines.</w:t>
            </w:r>
          </w:p>
        </w:tc>
      </w:tr>
      <w:tr>
        <w:tc>
          <w:tcPr>
            <w:tcW w:type="dxa" w:w="1814"/>
          </w:tcPr>
          <w:p>
            <w:pPr>
              <w:pStyle w:val="Compact"/>
              <w:jc w:val="left"/>
            </w:pPr>
            <w:r>
              <w:rPr>
                <w:sz w:val="19"/>
              </w:rPr>
              <w:t xml:space="preserve">Admissions</w:t>
            </w:r>
          </w:p>
        </w:tc>
        <w:tc>
          <w:tcPr>
            <w:tcW w:type="dxa" w:w="7824"/>
          </w:tcPr>
          <w:p>
            <w:pPr>
              <w:pStyle w:val="Compact"/>
              <w:jc w:val="left"/>
            </w:pPr>
            <w:r>
              <w:rPr>
                <w:sz w:val="19"/>
              </w:rPr>
              <w:t xml:space="preserve">How to apply, entry requirements by level, fees and payment options, intake calendar, scholarships and sponsorship (if any), international students, downloads, application form, track application.</w:t>
            </w:r>
          </w:p>
        </w:tc>
      </w:tr>
      <w:tr>
        <w:tc>
          <w:tcPr>
            <w:tcW w:type="dxa" w:w="1814"/>
          </w:tcPr>
          <w:p>
            <w:pPr>
              <w:pStyle w:val="Compact"/>
              <w:jc w:val="left"/>
            </w:pPr>
            <w:r>
              <w:rPr>
                <w:sz w:val="19"/>
              </w:rPr>
              <w:t xml:space="preserve">Student life</w:t>
            </w:r>
          </w:p>
        </w:tc>
        <w:tc>
          <w:tcPr>
            <w:tcW w:type="dxa" w:w="7824"/>
          </w:tcPr>
          <w:p>
            <w:pPr>
              <w:pStyle w:val="Compact"/>
              <w:jc w:val="left"/>
            </w:pPr>
            <w:r>
              <w:rPr>
                <w:sz w:val="19"/>
              </w:rPr>
              <w:t xml:space="preserve">Clubs, sports, accommodation guidance, health and safety, student support, gallery.</w:t>
            </w:r>
          </w:p>
        </w:tc>
      </w:tr>
      <w:tr>
        <w:tc>
          <w:tcPr>
            <w:tcW w:type="dxa" w:w="1814"/>
          </w:tcPr>
          <w:p>
            <w:pPr>
              <w:pStyle w:val="Compact"/>
              <w:jc w:val="left"/>
            </w:pPr>
            <w:r>
              <w:rPr>
                <w:sz w:val="19"/>
              </w:rPr>
              <w:t xml:space="preserve">News and events</w:t>
            </w:r>
          </w:p>
        </w:tc>
        <w:tc>
          <w:tcPr>
            <w:tcW w:type="dxa" w:w="7824"/>
          </w:tcPr>
          <w:p>
            <w:pPr>
              <w:pStyle w:val="Compact"/>
              <w:jc w:val="left"/>
            </w:pPr>
            <w:r>
              <w:rPr>
                <w:sz w:val="19"/>
              </w:rPr>
              <w:t xml:space="preserve">News list and article, events calendar, event detail.</w:t>
            </w:r>
          </w:p>
        </w:tc>
      </w:tr>
      <w:tr>
        <w:tc>
          <w:tcPr>
            <w:tcW w:type="dxa" w:w="1814"/>
          </w:tcPr>
          <w:p>
            <w:pPr>
              <w:pStyle w:val="Compact"/>
              <w:jc w:val="left"/>
            </w:pPr>
            <w:r>
              <w:rPr>
                <w:sz w:val="19"/>
              </w:rPr>
              <w:t xml:space="preserve">Alumni</w:t>
            </w:r>
          </w:p>
        </w:tc>
        <w:tc>
          <w:tcPr>
            <w:tcW w:type="dxa" w:w="7824"/>
          </w:tcPr>
          <w:p>
            <w:pPr>
              <w:pStyle w:val="Compact"/>
              <w:jc w:val="left"/>
            </w:pPr>
            <w:r>
              <w:rPr>
                <w:sz w:val="19"/>
              </w:rPr>
              <w:t xml:space="preserve">Alumni page, transcript and certificate requests.</w:t>
            </w:r>
          </w:p>
        </w:tc>
      </w:tr>
      <w:tr>
        <w:tc>
          <w:tcPr>
            <w:tcW w:type="dxa" w:w="1814"/>
          </w:tcPr>
          <w:p>
            <w:pPr>
              <w:pStyle w:val="Compact"/>
              <w:jc w:val="left"/>
            </w:pPr>
            <w:r>
              <w:rPr>
                <w:sz w:val="19"/>
              </w:rPr>
              <w:t xml:space="preserve">Contact</w:t>
            </w:r>
          </w:p>
        </w:tc>
        <w:tc>
          <w:tcPr>
            <w:tcW w:type="dxa" w:w="7824"/>
          </w:tcPr>
          <w:p>
            <w:pPr>
              <w:pStyle w:val="Compact"/>
              <w:jc w:val="left"/>
            </w:pPr>
            <w:r>
              <w:rPr>
                <w:sz w:val="19"/>
              </w:rPr>
              <w:t xml:space="preserve">Form, phones, email, WhatsApp, map, office hours, directions.</w:t>
            </w:r>
          </w:p>
        </w:tc>
      </w:tr>
      <w:tr>
        <w:tc>
          <w:tcPr>
            <w:tcW w:type="dxa" w:w="1814"/>
          </w:tcPr>
          <w:p>
            <w:pPr>
              <w:pStyle w:val="Compact"/>
              <w:jc w:val="left"/>
            </w:pPr>
            <w:r>
              <w:rPr>
                <w:sz w:val="19"/>
              </w:rPr>
              <w:t xml:space="preserve">FAQs</w:t>
            </w:r>
          </w:p>
        </w:tc>
        <w:tc>
          <w:tcPr>
            <w:tcW w:type="dxa" w:w="7824"/>
          </w:tcPr>
          <w:p>
            <w:pPr>
              <w:pStyle w:val="Compact"/>
              <w:jc w:val="left"/>
            </w:pPr>
            <w:r>
              <w:rPr>
                <w:sz w:val="19"/>
              </w:rPr>
              <w:t xml:space="preserve">Categories with accordions and search.</w:t>
            </w:r>
          </w:p>
        </w:tc>
      </w:tr>
      <w:tr>
        <w:tc>
          <w:tcPr>
            <w:tcW w:type="dxa" w:w="1814"/>
          </w:tcPr>
          <w:p>
            <w:pPr>
              <w:pStyle w:val="Compact"/>
              <w:jc w:val="left"/>
            </w:pPr>
            <w:r>
              <w:rPr>
                <w:sz w:val="19"/>
              </w:rPr>
              <w:t xml:space="preserve">Legal</w:t>
            </w:r>
          </w:p>
        </w:tc>
        <w:tc>
          <w:tcPr>
            <w:tcW w:type="dxa" w:w="7824"/>
          </w:tcPr>
          <w:p>
            <w:pPr>
              <w:pStyle w:val="Compact"/>
              <w:jc w:val="left"/>
            </w:pPr>
            <w:r>
              <w:rPr>
                <w:sz w:val="19"/>
              </w:rPr>
              <w:t xml:space="preserve">Privacy notice, cookie notice, terms, accessibility statement.</w:t>
            </w:r>
          </w:p>
        </w:tc>
      </w:tr>
      <w:tr>
        <w:tc>
          <w:tcPr>
            <w:tcW w:type="dxa" w:w="1814"/>
          </w:tcPr>
          <w:p>
            <w:pPr>
              <w:pStyle w:val="Compact"/>
              <w:jc w:val="left"/>
            </w:pPr>
            <w:r>
              <w:rPr>
                <w:sz w:val="19"/>
              </w:rPr>
              <w:t xml:space="preserve">Portals</w:t>
            </w:r>
          </w:p>
        </w:tc>
        <w:tc>
          <w:tcPr>
            <w:tcW w:type="dxa" w:w="7824"/>
          </w:tcPr>
          <w:p>
            <w:pPr>
              <w:pStyle w:val="Compact"/>
              <w:jc w:val="left"/>
            </w:pPr>
            <w:r>
              <w:rPr>
                <w:sz w:val="19"/>
              </w:rPr>
              <w:t xml:space="preserve">Links to Student Portal and Staff Portal login.</w:t>
            </w:r>
          </w:p>
        </w:tc>
      </w:tr>
    </w:tbl>
    <w:bookmarkEnd w:id="31"/>
    <w:bookmarkStart w:id="32" w:name="cross-cutting-features"/>
    <w:p>
      <w:pPr>
        <w:pStyle w:val="Heading2"/>
      </w:pPr>
      <w:r>
        <w:t xml:space="preserve">6.2 Cross-cutting features</w:t>
      </w:r>
    </w:p>
    <w:p>
      <w:pPr>
        <w:numPr>
          <w:ilvl w:val="0"/>
          <w:numId w:val="1006"/>
        </w:numPr>
        <w:pStyle w:val="Compact"/>
      </w:pPr>
      <w:r>
        <w:t xml:space="preserve">Editable announcement bar with expiry date.</w:t>
      </w:r>
    </w:p>
    <w:p>
      <w:pPr>
        <w:numPr>
          <w:ilvl w:val="0"/>
          <w:numId w:val="1006"/>
        </w:numPr>
        <w:pStyle w:val="Compact"/>
      </w:pPr>
      <w:r>
        <w:t xml:space="preserve">Course finder with search and filters.</w:t>
      </w:r>
    </w:p>
    <w:p>
      <w:pPr>
        <w:numPr>
          <w:ilvl w:val="0"/>
          <w:numId w:val="1006"/>
        </w:numPr>
        <w:pStyle w:val="Compact"/>
      </w:pPr>
      <w:r>
        <w:t xml:space="preserve">WhatsApp click-to-chat with prefilled text.</w:t>
      </w:r>
    </w:p>
    <w:p>
      <w:pPr>
        <w:numPr>
          <w:ilvl w:val="0"/>
          <w:numId w:val="1006"/>
        </w:numPr>
        <w:pStyle w:val="Compact"/>
      </w:pPr>
      <w:r>
        <w:t xml:space="preserve">Enquiry form with spam protection, saved to the database and emailed to the right office.</w:t>
      </w:r>
    </w:p>
    <w:p>
      <w:pPr>
        <w:numPr>
          <w:ilvl w:val="0"/>
          <w:numId w:val="1006"/>
        </w:numPr>
        <w:pStyle w:val="Compact"/>
      </w:pPr>
      <w:r>
        <w:t xml:space="preserve">Application wizard (section 8).</w:t>
      </w:r>
    </w:p>
    <w:p>
      <w:pPr>
        <w:numPr>
          <w:ilvl w:val="0"/>
          <w:numId w:val="1006"/>
        </w:numPr>
        <w:pStyle w:val="Compact"/>
      </w:pPr>
      <w:r>
        <w:t xml:space="preserve">SEO: titles, descriptions, Open Graph, sitemap, structured data (Organization, EducationalOrganization, Course), clean URLs.</w:t>
      </w:r>
    </w:p>
    <w:p>
      <w:pPr>
        <w:numPr>
          <w:ilvl w:val="0"/>
          <w:numId w:val="1006"/>
        </w:numPr>
        <w:pStyle w:val="Compact"/>
      </w:pPr>
      <w:r>
        <w:t xml:space="preserve">Performance: server rendering with cached pages, optimised images, small JavaScript, bundled fonts. Public pages keep working from cached content even if the API is asleep.</w:t>
      </w:r>
    </w:p>
    <w:p>
      <w:pPr>
        <w:numPr>
          <w:ilvl w:val="0"/>
          <w:numId w:val="1006"/>
        </w:numPr>
        <w:pStyle w:val="Compact"/>
      </w:pPr>
      <w:r>
        <w:t xml:space="preserve">Accessibility: WCAG 2.1 AA.</w:t>
      </w:r>
    </w:p>
    <w:p>
      <w:pPr>
        <w:numPr>
          <w:ilvl w:val="0"/>
          <w:numId w:val="1006"/>
        </w:numPr>
        <w:pStyle w:val="Compact"/>
      </w:pPr>
      <w:r>
        <w:t xml:space="preserve">Language: English first; Kiswahili for key admissions pages as a Should.</w:t>
      </w:r>
    </w:p>
    <w:bookmarkEnd w:id="32"/>
    <w:bookmarkEnd w:id="33"/>
    <w:bookmarkStart w:id="36" w:name="portals"/>
    <w:p>
      <w:pPr>
        <w:pStyle w:val="Heading1"/>
      </w:pPr>
      <w:r>
        <w:t xml:space="preserve">7. Portals</w:t>
      </w:r>
    </w:p>
    <w:bookmarkStart w:id="34" w:name="student-portal"/>
    <w:p>
      <w:pPr>
        <w:pStyle w:val="Heading2"/>
      </w:pPr>
      <w:r>
        <w:t xml:space="preserve">7.1 Student portal</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Module</w:t>
            </w:r>
          </w:p>
        </w:tc>
        <w:tc>
          <w:tcPr>
            <w:tcW w:type="dxa" w:w="7824"/>
            <w:shd w:val="clear" w:fill="0A1F4D"/>
          </w:tcPr>
          <w:p>
            <w:pPr>
              <w:pStyle w:val="Compact"/>
              <w:jc w:val="left"/>
            </w:pPr>
            <w:r>
              <w:rPr>
                <w:b/>
                <w:color w:val="FFFFFF"/>
              </w:rPr>
              <w:t xml:space="preserve">Content</w:t>
            </w:r>
          </w:p>
        </w:tc>
      </w:tr>
      <w:tr>
        <w:tc>
          <w:tcPr>
            <w:tcW w:type="dxa" w:w="1814"/>
          </w:tcPr>
          <w:p>
            <w:pPr>
              <w:pStyle w:val="Compact"/>
              <w:jc w:val="left"/>
            </w:pPr>
            <w:r>
              <w:rPr>
                <w:sz w:val="19"/>
              </w:rPr>
              <w:t xml:space="preserve">Login</w:t>
            </w:r>
          </w:p>
        </w:tc>
        <w:tc>
          <w:tcPr>
            <w:tcW w:type="dxa" w:w="7824"/>
          </w:tcPr>
          <w:p>
            <w:pPr>
              <w:pStyle w:val="Compact"/>
              <w:jc w:val="left"/>
            </w:pPr>
            <w:r>
              <w:rPr>
                <w:sz w:val="19"/>
              </w:rPr>
              <w:t xml:space="preserve">Student number and password, forgot password, lockout, session timeout.</w:t>
            </w:r>
          </w:p>
        </w:tc>
      </w:tr>
      <w:tr>
        <w:tc>
          <w:tcPr>
            <w:tcW w:type="dxa" w:w="1814"/>
          </w:tcPr>
          <w:p>
            <w:pPr>
              <w:pStyle w:val="Compact"/>
              <w:jc w:val="left"/>
            </w:pPr>
            <w:r>
              <w:rPr>
                <w:sz w:val="19"/>
              </w:rPr>
              <w:t xml:space="preserve">Dashboard</w:t>
            </w:r>
          </w:p>
        </w:tc>
        <w:tc>
          <w:tcPr>
            <w:tcW w:type="dxa" w:w="7824"/>
          </w:tcPr>
          <w:p>
            <w:pPr>
              <w:pStyle w:val="Compact"/>
              <w:jc w:val="left"/>
            </w:pPr>
            <w:r>
              <w:rPr>
                <w:sz w:val="19"/>
              </w:rPr>
              <w:t xml:space="preserve">Notices, next classes, fee balance, pending actions.</w:t>
            </w:r>
          </w:p>
        </w:tc>
      </w:tr>
      <w:tr>
        <w:tc>
          <w:tcPr>
            <w:tcW w:type="dxa" w:w="1814"/>
          </w:tcPr>
          <w:p>
            <w:pPr>
              <w:pStyle w:val="Compact"/>
              <w:jc w:val="left"/>
            </w:pPr>
            <w:r>
              <w:rPr>
                <w:sz w:val="19"/>
              </w:rPr>
              <w:t xml:space="preserve">Profile</w:t>
            </w:r>
          </w:p>
        </w:tc>
        <w:tc>
          <w:tcPr>
            <w:tcW w:type="dxa" w:w="7824"/>
          </w:tcPr>
          <w:p>
            <w:pPr>
              <w:pStyle w:val="Compact"/>
              <w:jc w:val="left"/>
            </w:pPr>
            <w:r>
              <w:rPr>
                <w:sz w:val="19"/>
              </w:rPr>
              <w:t xml:space="preserve">Personal details, next of kin, contact updates (with approval for sensitive fields).</w:t>
            </w:r>
          </w:p>
        </w:tc>
      </w:tr>
      <w:tr>
        <w:tc>
          <w:tcPr>
            <w:tcW w:type="dxa" w:w="1814"/>
          </w:tcPr>
          <w:p>
            <w:pPr>
              <w:pStyle w:val="Compact"/>
              <w:jc w:val="left"/>
            </w:pPr>
            <w:r>
              <w:rPr>
                <w:sz w:val="19"/>
              </w:rPr>
              <w:t xml:space="preserve">Registration</w:t>
            </w:r>
          </w:p>
        </w:tc>
        <w:tc>
          <w:tcPr>
            <w:tcW w:type="dxa" w:w="7824"/>
          </w:tcPr>
          <w:p>
            <w:pPr>
              <w:pStyle w:val="Compact"/>
              <w:jc w:val="left"/>
            </w:pPr>
            <w:r>
              <w:rPr>
                <w:sz w:val="19"/>
              </w:rPr>
              <w:t xml:space="preserve">Register for semester or term and units within rules set by the registrar.</w:t>
            </w:r>
          </w:p>
        </w:tc>
      </w:tr>
      <w:tr>
        <w:tc>
          <w:tcPr>
            <w:tcW w:type="dxa" w:w="1814"/>
          </w:tcPr>
          <w:p>
            <w:pPr>
              <w:pStyle w:val="Compact"/>
              <w:jc w:val="left"/>
            </w:pPr>
            <w:r>
              <w:rPr>
                <w:sz w:val="19"/>
              </w:rPr>
              <w:t xml:space="preserve">Timetable</w:t>
            </w:r>
          </w:p>
        </w:tc>
        <w:tc>
          <w:tcPr>
            <w:tcW w:type="dxa" w:w="7824"/>
          </w:tcPr>
          <w:p>
            <w:pPr>
              <w:pStyle w:val="Compact"/>
              <w:jc w:val="left"/>
            </w:pPr>
            <w:r>
              <w:rPr>
                <w:sz w:val="19"/>
              </w:rPr>
              <w:t xml:space="preserve">Class and exam timetable.</w:t>
            </w:r>
          </w:p>
        </w:tc>
      </w:tr>
      <w:tr>
        <w:tc>
          <w:tcPr>
            <w:tcW w:type="dxa" w:w="1814"/>
          </w:tcPr>
          <w:p>
            <w:pPr>
              <w:pStyle w:val="Compact"/>
              <w:jc w:val="left"/>
            </w:pPr>
            <w:r>
              <w:rPr>
                <w:sz w:val="19"/>
              </w:rPr>
              <w:t xml:space="preserve">Results</w:t>
            </w:r>
          </w:p>
        </w:tc>
        <w:tc>
          <w:tcPr>
            <w:tcW w:type="dxa" w:w="7824"/>
          </w:tcPr>
          <w:p>
            <w:pPr>
              <w:pStyle w:val="Compact"/>
              <w:jc w:val="left"/>
            </w:pPr>
            <w:r>
              <w:rPr>
                <w:sz w:val="19"/>
              </w:rPr>
              <w:t xml:space="preserve">Released results, transcripts view, request official transcript.</w:t>
            </w:r>
          </w:p>
        </w:tc>
      </w:tr>
      <w:tr>
        <w:tc>
          <w:tcPr>
            <w:tcW w:type="dxa" w:w="1814"/>
          </w:tcPr>
          <w:p>
            <w:pPr>
              <w:pStyle w:val="Compact"/>
              <w:jc w:val="left"/>
            </w:pPr>
            <w:r>
              <w:rPr>
                <w:sz w:val="19"/>
              </w:rPr>
              <w:t xml:space="preserve">Fees</w:t>
            </w:r>
          </w:p>
        </w:tc>
        <w:tc>
          <w:tcPr>
            <w:tcW w:type="dxa" w:w="7824"/>
          </w:tcPr>
          <w:p>
            <w:pPr>
              <w:pStyle w:val="Compact"/>
              <w:jc w:val="left"/>
            </w:pPr>
            <w:r>
              <w:rPr>
                <w:sz w:val="19"/>
              </w:rPr>
              <w:t xml:space="preserve">Fee structure, invoices, payments, statement, receipts. Pay by M-Pesa when enabled (DG-02).</w:t>
            </w:r>
          </w:p>
        </w:tc>
      </w:tr>
      <w:tr>
        <w:tc>
          <w:tcPr>
            <w:tcW w:type="dxa" w:w="1814"/>
          </w:tcPr>
          <w:p>
            <w:pPr>
              <w:pStyle w:val="Compact"/>
              <w:jc w:val="left"/>
            </w:pPr>
            <w:r>
              <w:rPr>
                <w:sz w:val="19"/>
              </w:rPr>
              <w:t xml:space="preserve">Requests</w:t>
            </w:r>
          </w:p>
        </w:tc>
        <w:tc>
          <w:tcPr>
            <w:tcW w:type="dxa" w:w="7824"/>
          </w:tcPr>
          <w:p>
            <w:pPr>
              <w:pStyle w:val="Compact"/>
              <w:jc w:val="left"/>
            </w:pPr>
            <w:r>
              <w:rPr>
                <w:sz w:val="19"/>
              </w:rPr>
              <w:t xml:space="preserve">Service requests (letters, transcript, deferment, change of course) with status tracking.</w:t>
            </w:r>
          </w:p>
        </w:tc>
      </w:tr>
      <w:tr>
        <w:tc>
          <w:tcPr>
            <w:tcW w:type="dxa" w:w="1814"/>
          </w:tcPr>
          <w:p>
            <w:pPr>
              <w:pStyle w:val="Compact"/>
              <w:jc w:val="left"/>
            </w:pPr>
            <w:r>
              <w:rPr>
                <w:sz w:val="19"/>
              </w:rPr>
              <w:t xml:space="preserve">Notices</w:t>
            </w:r>
          </w:p>
        </w:tc>
        <w:tc>
          <w:tcPr>
            <w:tcW w:type="dxa" w:w="7824"/>
          </w:tcPr>
          <w:p>
            <w:pPr>
              <w:pStyle w:val="Compact"/>
              <w:jc w:val="left"/>
            </w:pPr>
            <w:r>
              <w:rPr>
                <w:sz w:val="19"/>
              </w:rPr>
              <w:t xml:space="preserve">Announcements per school or cohort.</w:t>
            </w:r>
          </w:p>
        </w:tc>
      </w:tr>
    </w:tbl>
    <w:bookmarkEnd w:id="34"/>
    <w:bookmarkStart w:id="35" w:name="staff-portal"/>
    <w:p>
      <w:pPr>
        <w:pStyle w:val="Heading2"/>
      </w:pPr>
      <w:r>
        <w:t xml:space="preserve">7.2 Staff portal</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Module</w:t>
            </w:r>
          </w:p>
        </w:tc>
        <w:tc>
          <w:tcPr>
            <w:tcW w:type="dxa" w:w="7824"/>
            <w:shd w:val="clear" w:fill="0A1F4D"/>
          </w:tcPr>
          <w:p>
            <w:pPr>
              <w:pStyle w:val="Compact"/>
              <w:jc w:val="left"/>
            </w:pPr>
            <w:r>
              <w:rPr>
                <w:b/>
                <w:color w:val="FFFFFF"/>
              </w:rPr>
              <w:t xml:space="preserve">Content</w:t>
            </w:r>
          </w:p>
        </w:tc>
      </w:tr>
      <w:tr>
        <w:tc>
          <w:tcPr>
            <w:tcW w:type="dxa" w:w="1814"/>
          </w:tcPr>
          <w:p>
            <w:pPr>
              <w:pStyle w:val="Compact"/>
              <w:jc w:val="left"/>
            </w:pPr>
            <w:r>
              <w:rPr>
                <w:sz w:val="19"/>
              </w:rPr>
              <w:t xml:space="preserve">Admissions</w:t>
            </w:r>
          </w:p>
        </w:tc>
        <w:tc>
          <w:tcPr>
            <w:tcW w:type="dxa" w:w="7824"/>
          </w:tcPr>
          <w:p>
            <w:pPr>
              <w:pStyle w:val="Compact"/>
              <w:jc w:val="left"/>
            </w:pPr>
            <w:r>
              <w:rPr>
                <w:sz w:val="19"/>
              </w:rPr>
              <w:t xml:space="preserve">Applications inbox, review, request more information, offer, enrol, reports.</w:t>
            </w:r>
          </w:p>
        </w:tc>
      </w:tr>
      <w:tr>
        <w:tc>
          <w:tcPr>
            <w:tcW w:type="dxa" w:w="1814"/>
          </w:tcPr>
          <w:p>
            <w:pPr>
              <w:pStyle w:val="Compact"/>
              <w:jc w:val="left"/>
            </w:pPr>
            <w:r>
              <w:rPr>
                <w:sz w:val="19"/>
              </w:rPr>
              <w:t xml:space="preserve">Enquiries</w:t>
            </w:r>
          </w:p>
        </w:tc>
        <w:tc>
          <w:tcPr>
            <w:tcW w:type="dxa" w:w="7824"/>
          </w:tcPr>
          <w:p>
            <w:pPr>
              <w:pStyle w:val="Compact"/>
              <w:jc w:val="left"/>
            </w:pPr>
            <w:r>
              <w:rPr>
                <w:sz w:val="19"/>
              </w:rPr>
              <w:t xml:space="preserve">Website and WhatsApp-sourced enquiries, assignment, follow-up status.</w:t>
            </w:r>
          </w:p>
        </w:tc>
      </w:tr>
      <w:tr>
        <w:tc>
          <w:tcPr>
            <w:tcW w:type="dxa" w:w="1814"/>
          </w:tcPr>
          <w:p>
            <w:pPr>
              <w:pStyle w:val="Compact"/>
              <w:jc w:val="left"/>
            </w:pPr>
            <w:r>
              <w:rPr>
                <w:sz w:val="19"/>
              </w:rPr>
              <w:t xml:space="preserve">Students</w:t>
            </w:r>
          </w:p>
        </w:tc>
        <w:tc>
          <w:tcPr>
            <w:tcW w:type="dxa" w:w="7824"/>
          </w:tcPr>
          <w:p>
            <w:pPr>
              <w:pStyle w:val="Compact"/>
              <w:jc w:val="left"/>
            </w:pPr>
            <w:r>
              <w:rPr>
                <w:sz w:val="19"/>
              </w:rPr>
              <w:t xml:space="preserve">Records, cohorts, enrolment, status changes, bulk actions.</w:t>
            </w:r>
          </w:p>
        </w:tc>
      </w:tr>
      <w:tr>
        <w:tc>
          <w:tcPr>
            <w:tcW w:type="dxa" w:w="1814"/>
          </w:tcPr>
          <w:p>
            <w:pPr>
              <w:pStyle w:val="Compact"/>
              <w:jc w:val="left"/>
            </w:pPr>
            <w:r>
              <w:rPr>
                <w:sz w:val="19"/>
              </w:rPr>
              <w:t xml:space="preserve">Academics</w:t>
            </w:r>
          </w:p>
        </w:tc>
        <w:tc>
          <w:tcPr>
            <w:tcW w:type="dxa" w:w="7824"/>
          </w:tcPr>
          <w:p>
            <w:pPr>
              <w:pStyle w:val="Compact"/>
              <w:jc w:val="left"/>
            </w:pPr>
            <w:r>
              <w:rPr>
                <w:sz w:val="19"/>
              </w:rPr>
              <w:t xml:space="preserve">Programmes, units, trainers, timetable, marks entry, results approval and release, transcripts.</w:t>
            </w:r>
          </w:p>
        </w:tc>
      </w:tr>
      <w:tr>
        <w:tc>
          <w:tcPr>
            <w:tcW w:type="dxa" w:w="1814"/>
          </w:tcPr>
          <w:p>
            <w:pPr>
              <w:pStyle w:val="Compact"/>
              <w:jc w:val="left"/>
            </w:pPr>
            <w:r>
              <w:rPr>
                <w:sz w:val="19"/>
              </w:rPr>
              <w:t xml:space="preserve">Finance</w:t>
            </w:r>
          </w:p>
        </w:tc>
        <w:tc>
          <w:tcPr>
            <w:tcW w:type="dxa" w:w="7824"/>
          </w:tcPr>
          <w:p>
            <w:pPr>
              <w:pStyle w:val="Compact"/>
              <w:jc w:val="left"/>
            </w:pPr>
            <w:r>
              <w:rPr>
                <w:sz w:val="19"/>
              </w:rPr>
              <w:t xml:space="preserve">Fee structures, invoices, payments, reconciliation, arrears, statements.</w:t>
            </w:r>
          </w:p>
        </w:tc>
      </w:tr>
      <w:tr>
        <w:tc>
          <w:tcPr>
            <w:tcW w:type="dxa" w:w="1814"/>
          </w:tcPr>
          <w:p>
            <w:pPr>
              <w:pStyle w:val="Compact"/>
              <w:jc w:val="left"/>
            </w:pPr>
            <w:r>
              <w:rPr>
                <w:sz w:val="19"/>
              </w:rPr>
              <w:t xml:space="preserve">Content</w:t>
            </w:r>
          </w:p>
        </w:tc>
        <w:tc>
          <w:tcPr>
            <w:tcW w:type="dxa" w:w="7824"/>
          </w:tcPr>
          <w:p>
            <w:pPr>
              <w:pStyle w:val="Compact"/>
              <w:jc w:val="left"/>
            </w:pPr>
            <w:r>
              <w:rPr>
                <w:sz w:val="19"/>
              </w:rPr>
              <w:t xml:space="preserve">Programmes pages, intakes, fees, news, events, gallery, FAQs, banners, SEO fields, statistics with verification dates.</w:t>
            </w:r>
          </w:p>
        </w:tc>
      </w:tr>
      <w:tr>
        <w:tc>
          <w:tcPr>
            <w:tcW w:type="dxa" w:w="1814"/>
          </w:tcPr>
          <w:p>
            <w:pPr>
              <w:pStyle w:val="Compact"/>
              <w:jc w:val="left"/>
            </w:pPr>
            <w:r>
              <w:rPr>
                <w:sz w:val="19"/>
              </w:rPr>
              <w:t xml:space="preserve">Administration</w:t>
            </w:r>
          </w:p>
        </w:tc>
        <w:tc>
          <w:tcPr>
            <w:tcW w:type="dxa" w:w="7824"/>
          </w:tcPr>
          <w:p>
            <w:pPr>
              <w:pStyle w:val="Compact"/>
              <w:jc w:val="left"/>
            </w:pPr>
            <w:r>
              <w:rPr>
                <w:sz w:val="19"/>
              </w:rPr>
              <w:t xml:space="preserve">Users, roles, settings, audit log, data exports with approval.</w:t>
            </w:r>
          </w:p>
        </w:tc>
      </w:tr>
    </w:tbl>
    <w:bookmarkEnd w:id="35"/>
    <w:bookmarkEnd w:id="36"/>
    <w:bookmarkStart w:id="37" w:name="application-and-admissions-workflow"/>
    <w:p>
      <w:pPr>
        <w:pStyle w:val="Heading1"/>
      </w:pPr>
      <w:r>
        <w:t xml:space="preserve">8. Application and admissions workflow</w:t>
      </w:r>
    </w:p>
    <w:p>
      <w:pPr>
        <w:numPr>
          <w:ilvl w:val="0"/>
          <w:numId w:val="1007"/>
        </w:numPr>
        <w:pStyle w:val="Compact"/>
      </w:pPr>
      <w:r>
        <w:t xml:space="preserve">Visitor opens a programme page and selects an intake.</w:t>
      </w:r>
    </w:p>
    <w:p>
      <w:pPr>
        <w:numPr>
          <w:ilvl w:val="0"/>
          <w:numId w:val="1007"/>
        </w:numPr>
        <w:pStyle w:val="Compact"/>
      </w:pPr>
      <w:r>
        <w:t xml:space="preserve">Wizard collects personal details, guardian details if under 18, education history and KCSE or equivalent grades, programme and intake choice, sponsor details, declaration and consent.</w:t>
      </w:r>
    </w:p>
    <w:p>
      <w:pPr>
        <w:numPr>
          <w:ilvl w:val="0"/>
          <w:numId w:val="1007"/>
        </w:numPr>
        <w:pStyle w:val="Compact"/>
      </w:pPr>
      <w:r>
        <w:t xml:space="preserve">Documents are uploaded (ID or birth certificate, certificates, passport photo). Size and type limits apply. Files are scanned and stored privately.</w:t>
      </w:r>
    </w:p>
    <w:p>
      <w:pPr>
        <w:numPr>
          <w:ilvl w:val="0"/>
          <w:numId w:val="1007"/>
        </w:numPr>
        <w:pStyle w:val="Compact"/>
      </w:pPr>
      <w:r>
        <w:t xml:space="preserve">The applicant can save and resume, and receives a reference number by SMS or email.</w:t>
      </w:r>
    </w:p>
    <w:p>
      <w:pPr>
        <w:numPr>
          <w:ilvl w:val="0"/>
          <w:numId w:val="1007"/>
        </w:numPr>
        <w:pStyle w:val="Compact"/>
      </w:pPr>
      <w:r>
        <w:t xml:space="preserve">Submission creates an application record. The admissions officer reviews against entry requirements.</w:t>
      </w:r>
    </w:p>
    <w:p>
      <w:pPr>
        <w:numPr>
          <w:ilvl w:val="0"/>
          <w:numId w:val="1007"/>
        </w:numPr>
        <w:pStyle w:val="Compact"/>
      </w:pPr>
      <w:r>
        <w:t xml:space="preserve">Outcomes: request more information, reject with reason, or offer a place. Offer letters are generated from a template.</w:t>
      </w:r>
    </w:p>
    <w:p>
      <w:pPr>
        <w:numPr>
          <w:ilvl w:val="0"/>
          <w:numId w:val="1007"/>
        </w:numPr>
        <w:pStyle w:val="Compact"/>
      </w:pPr>
      <w:r>
        <w:t xml:space="preserve">Applicant accepts the offer. The registrar enrols the applicant, which creates a student number, a student account and the first fee invoice.</w:t>
      </w:r>
    </w:p>
    <w:p>
      <w:pPr>
        <w:numPr>
          <w:ilvl w:val="0"/>
          <w:numId w:val="1007"/>
        </w:numPr>
        <w:pStyle w:val="Compact"/>
      </w:pPr>
      <w:r>
        <w:t xml:space="preserve">Every status change is logged with who, when and why.</w:t>
      </w:r>
    </w:p>
    <w:tbl>
      <w:tblPr>
        <w:tblStyle w:val="Table"/>
        <w:tblW w:type="auto" w:w="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Application state</w:t>
            </w:r>
          </w:p>
        </w:tc>
        <w:tc>
          <w:tcPr>
            <w:tcW w:type="dxa" w:w="7824"/>
            <w:shd w:val="clear" w:fill="0A1F4D"/>
          </w:tcPr>
          <w:p>
            <w:pPr>
              <w:pStyle w:val="Compact"/>
              <w:jc w:val="left"/>
            </w:pPr>
            <w:r>
              <w:rPr>
                <w:b/>
                <w:color w:val="FFFFFF"/>
              </w:rPr>
              <w:t xml:space="preserve">Meaning</w:t>
            </w:r>
          </w:p>
        </w:tc>
      </w:tr>
      <w:tr>
        <w:tc>
          <w:tcPr>
            <w:tcW w:type="dxa" w:w="1814"/>
          </w:tcPr>
          <w:p>
            <w:pPr>
              <w:pStyle w:val="Compact"/>
              <w:jc w:val="left"/>
            </w:pPr>
            <w:r>
              <w:rPr>
                <w:sz w:val="19"/>
              </w:rPr>
              <w:t xml:space="preserve">draft</w:t>
            </w:r>
          </w:p>
        </w:tc>
        <w:tc>
          <w:tcPr>
            <w:tcW w:type="dxa" w:w="7824"/>
          </w:tcPr>
          <w:p>
            <w:pPr>
              <w:pStyle w:val="Compact"/>
              <w:jc w:val="left"/>
            </w:pPr>
            <w:r>
              <w:rPr>
                <w:sz w:val="19"/>
              </w:rPr>
              <w:t xml:space="preserve">Started, not submitted. Expires after a configurable period.</w:t>
            </w:r>
          </w:p>
        </w:tc>
      </w:tr>
      <w:tr>
        <w:tc>
          <w:tcPr>
            <w:tcW w:type="dxa" w:w="1814"/>
          </w:tcPr>
          <w:p>
            <w:pPr>
              <w:pStyle w:val="Compact"/>
              <w:jc w:val="left"/>
            </w:pPr>
            <w:r>
              <w:rPr>
                <w:sz w:val="19"/>
              </w:rPr>
              <w:t xml:space="preserve">submitted</w:t>
            </w:r>
          </w:p>
        </w:tc>
        <w:tc>
          <w:tcPr>
            <w:tcW w:type="dxa" w:w="7824"/>
          </w:tcPr>
          <w:p>
            <w:pPr>
              <w:pStyle w:val="Compact"/>
              <w:jc w:val="left"/>
            </w:pPr>
            <w:r>
              <w:rPr>
                <w:sz w:val="19"/>
              </w:rPr>
              <w:t xml:space="preserve">Received, awaiting review.</w:t>
            </w:r>
          </w:p>
        </w:tc>
      </w:tr>
      <w:tr>
        <w:tc>
          <w:tcPr>
            <w:tcW w:type="dxa" w:w="1814"/>
          </w:tcPr>
          <w:p>
            <w:pPr>
              <w:pStyle w:val="Compact"/>
              <w:jc w:val="left"/>
            </w:pPr>
            <w:r>
              <w:rPr>
                <w:sz w:val="19"/>
              </w:rPr>
              <w:t xml:space="preserve">under_review</w:t>
            </w:r>
          </w:p>
        </w:tc>
        <w:tc>
          <w:tcPr>
            <w:tcW w:type="dxa" w:w="7824"/>
          </w:tcPr>
          <w:p>
            <w:pPr>
              <w:pStyle w:val="Compact"/>
              <w:jc w:val="left"/>
            </w:pPr>
            <w:r>
              <w:rPr>
                <w:sz w:val="19"/>
              </w:rPr>
              <w:t xml:space="preserve">Assigned to an officer.</w:t>
            </w:r>
          </w:p>
        </w:tc>
      </w:tr>
      <w:tr>
        <w:tc>
          <w:tcPr>
            <w:tcW w:type="dxa" w:w="1814"/>
          </w:tcPr>
          <w:p>
            <w:pPr>
              <w:pStyle w:val="Compact"/>
              <w:jc w:val="left"/>
            </w:pPr>
            <w:r>
              <w:rPr>
                <w:sz w:val="19"/>
              </w:rPr>
              <w:t xml:space="preserve">info_requested</w:t>
            </w:r>
          </w:p>
        </w:tc>
        <w:tc>
          <w:tcPr>
            <w:tcW w:type="dxa" w:w="7824"/>
          </w:tcPr>
          <w:p>
            <w:pPr>
              <w:pStyle w:val="Compact"/>
              <w:jc w:val="left"/>
            </w:pPr>
            <w:r>
              <w:rPr>
                <w:sz w:val="19"/>
              </w:rPr>
              <w:t xml:space="preserve">Applicant must supply more.</w:t>
            </w:r>
          </w:p>
        </w:tc>
      </w:tr>
      <w:tr>
        <w:tc>
          <w:tcPr>
            <w:tcW w:type="dxa" w:w="1814"/>
          </w:tcPr>
          <w:p>
            <w:pPr>
              <w:pStyle w:val="Compact"/>
              <w:jc w:val="left"/>
            </w:pPr>
            <w:r>
              <w:rPr>
                <w:sz w:val="19"/>
              </w:rPr>
              <w:t xml:space="preserve">offered</w:t>
            </w:r>
          </w:p>
        </w:tc>
        <w:tc>
          <w:tcPr>
            <w:tcW w:type="dxa" w:w="7824"/>
          </w:tcPr>
          <w:p>
            <w:pPr>
              <w:pStyle w:val="Compact"/>
              <w:jc w:val="left"/>
            </w:pPr>
            <w:r>
              <w:rPr>
                <w:sz w:val="19"/>
              </w:rPr>
              <w:t xml:space="preserve">Place offered.</w:t>
            </w:r>
          </w:p>
        </w:tc>
      </w:tr>
      <w:tr>
        <w:tc>
          <w:tcPr>
            <w:tcW w:type="dxa" w:w="1814"/>
          </w:tcPr>
          <w:p>
            <w:pPr>
              <w:pStyle w:val="Compact"/>
              <w:jc w:val="left"/>
            </w:pPr>
            <w:r>
              <w:rPr>
                <w:sz w:val="19"/>
              </w:rPr>
              <w:t xml:space="preserve">offer_accepted</w:t>
            </w:r>
          </w:p>
        </w:tc>
        <w:tc>
          <w:tcPr>
            <w:tcW w:type="dxa" w:w="7824"/>
          </w:tcPr>
          <w:p>
            <w:pPr>
              <w:pStyle w:val="Compact"/>
              <w:jc w:val="left"/>
            </w:pPr>
            <w:r>
              <w:rPr>
                <w:sz w:val="19"/>
              </w:rPr>
              <w:t xml:space="preserve">Applicant accepted.</w:t>
            </w:r>
          </w:p>
        </w:tc>
      </w:tr>
      <w:tr>
        <w:tc>
          <w:tcPr>
            <w:tcW w:type="dxa" w:w="1814"/>
          </w:tcPr>
          <w:p>
            <w:pPr>
              <w:pStyle w:val="Compact"/>
              <w:jc w:val="left"/>
            </w:pPr>
            <w:r>
              <w:rPr>
                <w:sz w:val="19"/>
              </w:rPr>
              <w:t xml:space="preserve">enrolled</w:t>
            </w:r>
          </w:p>
        </w:tc>
        <w:tc>
          <w:tcPr>
            <w:tcW w:type="dxa" w:w="7824"/>
          </w:tcPr>
          <w:p>
            <w:pPr>
              <w:pStyle w:val="Compact"/>
              <w:jc w:val="left"/>
            </w:pPr>
            <w:r>
              <w:rPr>
                <w:sz w:val="19"/>
              </w:rPr>
              <w:t xml:space="preserve">Converted to a student record.</w:t>
            </w:r>
          </w:p>
        </w:tc>
      </w:tr>
      <w:tr>
        <w:tc>
          <w:tcPr>
            <w:tcW w:type="dxa" w:w="1814"/>
          </w:tcPr>
          <w:p>
            <w:pPr>
              <w:pStyle w:val="Compact"/>
              <w:jc w:val="left"/>
            </w:pPr>
            <w:r>
              <w:rPr>
                <w:sz w:val="19"/>
              </w:rPr>
              <w:t xml:space="preserve">rejected</w:t>
            </w:r>
          </w:p>
        </w:tc>
        <w:tc>
          <w:tcPr>
            <w:tcW w:type="dxa" w:w="7824"/>
          </w:tcPr>
          <w:p>
            <w:pPr>
              <w:pStyle w:val="Compact"/>
              <w:jc w:val="left"/>
            </w:pPr>
            <w:r>
              <w:rPr>
                <w:sz w:val="19"/>
              </w:rPr>
              <w:t xml:space="preserve">Not successful, reason recorded.</w:t>
            </w:r>
          </w:p>
        </w:tc>
      </w:tr>
      <w:tr>
        <w:tc>
          <w:tcPr>
            <w:tcW w:type="dxa" w:w="1814"/>
          </w:tcPr>
          <w:p>
            <w:pPr>
              <w:pStyle w:val="Compact"/>
              <w:jc w:val="left"/>
            </w:pPr>
            <w:r>
              <w:rPr>
                <w:sz w:val="19"/>
              </w:rPr>
              <w:t xml:space="preserve">withdrawn</w:t>
            </w:r>
          </w:p>
        </w:tc>
        <w:tc>
          <w:tcPr>
            <w:tcW w:type="dxa" w:w="7824"/>
          </w:tcPr>
          <w:p>
            <w:pPr>
              <w:pStyle w:val="Compact"/>
              <w:jc w:val="left"/>
            </w:pPr>
            <w:r>
              <w:rPr>
                <w:sz w:val="19"/>
              </w:rPr>
              <w:t xml:space="preserve">Applicant withdrew.</w:t>
            </w:r>
          </w:p>
        </w:tc>
      </w:tr>
      <w:tr>
        <w:tc>
          <w:tcPr>
            <w:tcW w:type="dxa" w:w="1814"/>
          </w:tcPr>
          <w:p>
            <w:pPr>
              <w:pStyle w:val="Compact"/>
              <w:jc w:val="left"/>
            </w:pPr>
            <w:r>
              <w:rPr>
                <w:sz w:val="19"/>
              </w:rPr>
              <w:t xml:space="preserve">expired</w:t>
            </w:r>
          </w:p>
        </w:tc>
        <w:tc>
          <w:tcPr>
            <w:tcW w:type="dxa" w:w="7824"/>
          </w:tcPr>
          <w:p>
            <w:pPr>
              <w:pStyle w:val="Compact"/>
              <w:jc w:val="left"/>
            </w:pPr>
            <w:r>
              <w:rPr>
                <w:sz w:val="19"/>
              </w:rPr>
              <w:t xml:space="preserve">Offer or draft expired.</w:t>
            </w:r>
          </w:p>
        </w:tc>
      </w:tr>
    </w:tbl>
    <w:bookmarkEnd w:id="37"/>
    <w:bookmarkStart w:id="38" w:name="fees-and-payments"/>
    <w:p>
      <w:pPr>
        <w:pStyle w:val="Heading1"/>
      </w:pPr>
      <w:r>
        <w:t xml:space="preserve">9. Fees and payments</w:t>
      </w:r>
    </w:p>
    <w:p>
      <w:pPr>
        <w:numPr>
          <w:ilvl w:val="0"/>
          <w:numId w:val="1008"/>
        </w:numPr>
        <w:pStyle w:val="Compact"/>
      </w:pPr>
      <w:r>
        <w:t xml:space="preserve">Fee structures per programme, level and intake, with line items (tuition, registration, assessment, caution, other), configurable instalments and due dates.</w:t>
      </w:r>
    </w:p>
    <w:p>
      <w:pPr>
        <w:numPr>
          <w:ilvl w:val="0"/>
          <w:numId w:val="1008"/>
        </w:numPr>
        <w:pStyle w:val="Compact"/>
      </w:pPr>
      <w:r>
        <w:t xml:space="preserve">Invoices are generated at enrolment and each term. Receipts are numbered and unique.</w:t>
      </w:r>
    </w:p>
    <w:p>
      <w:pPr>
        <w:numPr>
          <w:ilvl w:val="0"/>
          <w:numId w:val="1008"/>
        </w:numPr>
        <w:pStyle w:val="Compact"/>
      </w:pPr>
      <w:r>
        <w:rPr>
          <w:bCs/>
          <w:b/>
        </w:rPr>
        <w:t xml:space="preserve">Money is stored as integer cents of KES</w:t>
      </w:r>
      <w:r>
        <w:t xml:space="preserve"> </w:t>
      </w:r>
      <w:r>
        <w:t xml:space="preserve">(BIGINT). No floating point.</w:t>
      </w:r>
    </w:p>
    <w:p>
      <w:pPr>
        <w:numPr>
          <w:ilvl w:val="0"/>
          <w:numId w:val="1008"/>
        </w:numPr>
        <w:pStyle w:val="Compact"/>
      </w:pPr>
      <w:r>
        <w:t xml:space="preserve">Payment methods recorded: M-Pesa (Paybill or Till), bank, cash at office, sponsor payments. Until DG-02 is resolved, M-Pesa payments are recorded as</w:t>
      </w:r>
      <w:r>
        <w:t xml:space="preserve"> </w:t>
      </w:r>
      <w:r>
        <w:rPr>
          <w:bCs/>
          <w:b/>
        </w:rPr>
        <w:t xml:space="preserve">pending confirmation</w:t>
      </w:r>
      <w:r>
        <w:t xml:space="preserve"> </w:t>
      </w:r>
      <w:r>
        <w:t xml:space="preserve">and a finance officer confirms them against the statement, with audit.</w:t>
      </w:r>
    </w:p>
    <w:p>
      <w:pPr>
        <w:numPr>
          <w:ilvl w:val="0"/>
          <w:numId w:val="1008"/>
        </w:numPr>
        <w:pStyle w:val="Compact"/>
      </w:pPr>
      <w:r>
        <w:t xml:space="preserve">When enabled, M-Pesa collection uses the verified provider flow: callbacks are authenticated, stored first, idempotent, and reconciled against the statement. A typed reference alone is never proof of payment.</w:t>
      </w:r>
    </w:p>
    <w:p>
      <w:pPr>
        <w:numPr>
          <w:ilvl w:val="0"/>
          <w:numId w:val="1008"/>
        </w:numPr>
        <w:pStyle w:val="Compact"/>
      </w:pPr>
      <w:r>
        <w:t xml:space="preserve">Corrections use compensating entries, never destructive edits.</w:t>
      </w:r>
    </w:p>
    <w:p>
      <w:pPr>
        <w:numPr>
          <w:ilvl w:val="0"/>
          <w:numId w:val="1008"/>
        </w:numPr>
        <w:pStyle w:val="Compact"/>
      </w:pPr>
      <w:r>
        <w:t xml:space="preserve">Fee statements show invoices, payments and balance, and reconcile from records.</w:t>
      </w:r>
    </w:p>
    <w:bookmarkEnd w:id="38"/>
    <w:bookmarkStart w:id="39" w:name="data-model-overview"/>
    <w:p>
      <w:pPr>
        <w:pStyle w:val="Heading1"/>
      </w:pPr>
      <w:r>
        <w:t xml:space="preserve">10. Data model overview</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Domain</w:t>
            </w:r>
          </w:p>
        </w:tc>
        <w:tc>
          <w:tcPr>
            <w:tcW w:type="dxa" w:w="7824"/>
            <w:shd w:val="clear" w:fill="0A1F4D"/>
          </w:tcPr>
          <w:p>
            <w:pPr>
              <w:pStyle w:val="Compact"/>
              <w:jc w:val="left"/>
            </w:pPr>
            <w:r>
              <w:rPr>
                <w:b/>
                <w:color w:val="FFFFFF"/>
              </w:rPr>
              <w:t xml:space="preserve">Entities</w:t>
            </w:r>
          </w:p>
        </w:tc>
      </w:tr>
      <w:tr>
        <w:tc>
          <w:tcPr>
            <w:tcW w:type="dxa" w:w="1814"/>
          </w:tcPr>
          <w:p>
            <w:pPr>
              <w:pStyle w:val="Compact"/>
              <w:jc w:val="left"/>
            </w:pPr>
            <w:r>
              <w:rPr>
                <w:sz w:val="19"/>
              </w:rPr>
              <w:t xml:space="preserve">Identity and access</w:t>
            </w:r>
          </w:p>
        </w:tc>
        <w:tc>
          <w:tcPr>
            <w:tcW w:type="dxa" w:w="7824"/>
          </w:tcPr>
          <w:p>
            <w:pPr>
              <w:pStyle w:val="Compact"/>
              <w:jc w:val="left"/>
            </w:pPr>
            <w:r>
              <w:rPr>
                <w:sz w:val="19"/>
              </w:rPr>
              <w:t xml:space="preserve">users, roles, permissions, user_roles, role_permissions, sessions, password_resets, audit_logs</w:t>
            </w:r>
          </w:p>
        </w:tc>
      </w:tr>
      <w:tr>
        <w:tc>
          <w:tcPr>
            <w:tcW w:type="dxa" w:w="1814"/>
          </w:tcPr>
          <w:p>
            <w:pPr>
              <w:pStyle w:val="Compact"/>
              <w:jc w:val="left"/>
            </w:pPr>
            <w:r>
              <w:rPr>
                <w:sz w:val="19"/>
              </w:rPr>
              <w:t xml:space="preserve">Public content</w:t>
            </w:r>
          </w:p>
        </w:tc>
        <w:tc>
          <w:tcPr>
            <w:tcW w:type="dxa" w:w="7824"/>
          </w:tcPr>
          <w:p>
            <w:pPr>
              <w:pStyle w:val="Compact"/>
              <w:jc w:val="left"/>
            </w:pPr>
            <w:r>
              <w:rPr>
                <w:sz w:val="19"/>
              </w:rPr>
              <w:t xml:space="preserve">schools, programmes, programme_intakes, programme_requirements, fee_items, news_posts, events, faqs, faq_categories, banners, gallery_items, site_settings, statistics</w:t>
            </w:r>
          </w:p>
        </w:tc>
      </w:tr>
      <w:tr>
        <w:tc>
          <w:tcPr>
            <w:tcW w:type="dxa" w:w="1814"/>
          </w:tcPr>
          <w:p>
            <w:pPr>
              <w:pStyle w:val="Compact"/>
              <w:jc w:val="left"/>
            </w:pPr>
            <w:r>
              <w:rPr>
                <w:sz w:val="19"/>
              </w:rPr>
              <w:t xml:space="preserve">Enquiries</w:t>
            </w:r>
          </w:p>
        </w:tc>
        <w:tc>
          <w:tcPr>
            <w:tcW w:type="dxa" w:w="7824"/>
          </w:tcPr>
          <w:p>
            <w:pPr>
              <w:pStyle w:val="Compact"/>
              <w:jc w:val="left"/>
            </w:pPr>
            <w:r>
              <w:rPr>
                <w:sz w:val="19"/>
              </w:rPr>
              <w:t xml:space="preserve">enquiries, enquiry_notes</w:t>
            </w:r>
          </w:p>
        </w:tc>
      </w:tr>
      <w:tr>
        <w:tc>
          <w:tcPr>
            <w:tcW w:type="dxa" w:w="1814"/>
          </w:tcPr>
          <w:p>
            <w:pPr>
              <w:pStyle w:val="Compact"/>
              <w:jc w:val="left"/>
            </w:pPr>
            <w:r>
              <w:rPr>
                <w:sz w:val="19"/>
              </w:rPr>
              <w:t xml:space="preserve">Admissions</w:t>
            </w:r>
          </w:p>
        </w:tc>
        <w:tc>
          <w:tcPr>
            <w:tcW w:type="dxa" w:w="7824"/>
          </w:tcPr>
          <w:p>
            <w:pPr>
              <w:pStyle w:val="Compact"/>
              <w:jc w:val="left"/>
            </w:pPr>
            <w:r>
              <w:rPr>
                <w:sz w:val="19"/>
              </w:rPr>
              <w:t xml:space="preserve">applicants, applications, application_documents, application_status_history, offers</w:t>
            </w:r>
          </w:p>
        </w:tc>
      </w:tr>
      <w:tr>
        <w:tc>
          <w:tcPr>
            <w:tcW w:type="dxa" w:w="1814"/>
          </w:tcPr>
          <w:p>
            <w:pPr>
              <w:pStyle w:val="Compact"/>
              <w:jc w:val="left"/>
            </w:pPr>
            <w:r>
              <w:rPr>
                <w:sz w:val="19"/>
              </w:rPr>
              <w:t xml:space="preserve">Students and academics</w:t>
            </w:r>
          </w:p>
        </w:tc>
        <w:tc>
          <w:tcPr>
            <w:tcW w:type="dxa" w:w="7824"/>
          </w:tcPr>
          <w:p>
            <w:pPr>
              <w:pStyle w:val="Compact"/>
              <w:jc w:val="left"/>
            </w:pPr>
            <w:r>
              <w:rPr>
                <w:sz w:val="19"/>
              </w:rPr>
              <w:t xml:space="preserve">students, guardians, cohorts, enrolments, units, programme_units, unit_registrations, timetable_entries, assessments, marks, results, result_releases, transcripts, service_requests</w:t>
            </w:r>
          </w:p>
        </w:tc>
      </w:tr>
      <w:tr>
        <w:tc>
          <w:tcPr>
            <w:tcW w:type="dxa" w:w="1814"/>
          </w:tcPr>
          <w:p>
            <w:pPr>
              <w:pStyle w:val="Compact"/>
              <w:jc w:val="left"/>
            </w:pPr>
            <w:r>
              <w:rPr>
                <w:sz w:val="19"/>
              </w:rPr>
              <w:t xml:space="preserve">Staff</w:t>
            </w:r>
          </w:p>
        </w:tc>
        <w:tc>
          <w:tcPr>
            <w:tcW w:type="dxa" w:w="7824"/>
          </w:tcPr>
          <w:p>
            <w:pPr>
              <w:pStyle w:val="Compact"/>
              <w:jc w:val="left"/>
            </w:pPr>
            <w:r>
              <w:rPr>
                <w:sz w:val="19"/>
              </w:rPr>
              <w:t xml:space="preserve">staff_profiles, school_assignments</w:t>
            </w:r>
          </w:p>
        </w:tc>
      </w:tr>
      <w:tr>
        <w:tc>
          <w:tcPr>
            <w:tcW w:type="dxa" w:w="1814"/>
          </w:tcPr>
          <w:p>
            <w:pPr>
              <w:pStyle w:val="Compact"/>
              <w:jc w:val="left"/>
            </w:pPr>
            <w:r>
              <w:rPr>
                <w:sz w:val="19"/>
              </w:rPr>
              <w:t xml:space="preserve">Finance</w:t>
            </w:r>
          </w:p>
        </w:tc>
        <w:tc>
          <w:tcPr>
            <w:tcW w:type="dxa" w:w="7824"/>
          </w:tcPr>
          <w:p>
            <w:pPr>
              <w:pStyle w:val="Compact"/>
              <w:jc w:val="left"/>
            </w:pPr>
            <w:r>
              <w:rPr>
                <w:sz w:val="19"/>
              </w:rPr>
              <w:t xml:space="preserve">fee_structures, invoices, invoice_lines, payments, payment_attempts, receipts, adjustments, document_counters</w:t>
            </w:r>
          </w:p>
        </w:tc>
      </w:tr>
      <w:tr>
        <w:tc>
          <w:tcPr>
            <w:tcW w:type="dxa" w:w="1814"/>
          </w:tcPr>
          <w:p>
            <w:pPr>
              <w:pStyle w:val="Compact"/>
              <w:jc w:val="left"/>
            </w:pPr>
            <w:r>
              <w:rPr>
                <w:sz w:val="19"/>
              </w:rPr>
              <w:t xml:space="preserve">Operations</w:t>
            </w:r>
          </w:p>
        </w:tc>
        <w:tc>
          <w:tcPr>
            <w:tcW w:type="dxa" w:w="7824"/>
          </w:tcPr>
          <w:p>
            <w:pPr>
              <w:pStyle w:val="Compact"/>
              <w:jc w:val="left"/>
            </w:pPr>
            <w:r>
              <w:rPr>
                <w:sz w:val="19"/>
              </w:rPr>
              <w:t xml:space="preserve">notifications, notification_templates, idempotency_records, files, consents</w:t>
            </w:r>
          </w:p>
        </w:tc>
      </w:tr>
    </w:tbl>
    <w:p>
      <w:pPr>
        <w:pStyle w:val="BodyText"/>
      </w:pPr>
      <w:r>
        <w:t xml:space="preserve">Integrity principles: foreign keys and constraints; immutable history for status changes, marks and payments; every balance derived from records; idempotency keys on payment and submission endpoints; unique constraints on student numbers, receipt numbers and application references; soft deactivation instead of deleting people.</w:t>
      </w:r>
    </w:p>
    <w:bookmarkEnd w:id="39"/>
    <w:bookmarkStart w:id="40" w:name="roles-and-permissions-rbac"/>
    <w:p>
      <w:pPr>
        <w:pStyle w:val="Heading1"/>
      </w:pPr>
      <w:r>
        <w:t xml:space="preserve">11. Roles and permissions (RBAC)</w:t>
      </w:r>
    </w:p>
    <w:p>
      <w:pPr>
        <w:pStyle w:val="FirstParagraph"/>
      </w:pPr>
      <w:r>
        <w:t xml:space="preserve">Backend-enforced role-based access with starter templates: Super Admin, ICT Admin, Principal, Registrar, Admissions Officer, Finance Officer, Head of School, Trainer, Content Editor, Student. Permission keys are grouped by module: content.read, content.write, content.publish; admissions.view, admissions.review, admissions.offer, admissions.enrol; students.view, students.update; academics.marks.enter, academics.results.approve, academics.results.release; finance.view, finance.invoice, finance.payment.confirm, finance.adjust; reports.view, reports.export; users.manage, roles.manage, system.admin.</w:t>
      </w:r>
    </w:p>
    <w:p>
      <w:pPr>
        <w:pStyle w:val="BodyText"/>
      </w:pPr>
      <w:r>
        <w:t xml:space="preserve">Safeguards: Principal and ICT Admin cannot grant system.admin; the last active Super Admin cannot be removed; a role in use cannot be deleted; sensitive changes are audited; students see only their own records; trainers see only their assigned units.</w:t>
      </w:r>
    </w:p>
    <w:bookmarkEnd w:id="40"/>
    <w:bookmarkStart w:id="44" w:name="architecture-and-hosting"/>
    <w:p>
      <w:pPr>
        <w:pStyle w:val="Heading1"/>
      </w:pPr>
      <w:r>
        <w:t xml:space="preserve">12. Architecture and hosting</w:t>
      </w:r>
    </w:p>
    <w:bookmarkStart w:id="41" w:name="architecture"/>
    <w:p>
      <w:pPr>
        <w:pStyle w:val="Heading2"/>
      </w:pPr>
      <w:r>
        <w:t xml:space="preserve">12.1 Architecture</w:t>
      </w:r>
    </w:p>
    <w:p>
      <w:pPr>
        <w:numPr>
          <w:ilvl w:val="0"/>
          <w:numId w:val="1009"/>
        </w:numPr>
        <w:pStyle w:val="Compact"/>
      </w:pPr>
      <w:r>
        <w:rPr>
          <w:bCs/>
          <w:b/>
        </w:rPr>
        <w:t xml:space="preserve">Modular monolith</w:t>
      </w:r>
      <w:r>
        <w:t xml:space="preserve"> </w:t>
      </w:r>
      <w:r>
        <w:t xml:space="preserve">in a</w:t>
      </w:r>
      <w:r>
        <w:t xml:space="preserve"> </w:t>
      </w:r>
      <w:r>
        <w:rPr>
          <w:bCs/>
          <w:b/>
        </w:rPr>
        <w:t xml:space="preserve">single monorepo</w:t>
      </w:r>
      <w:r>
        <w:t xml:space="preserve">:</w:t>
      </w:r>
      <w:r>
        <w:t xml:space="preserve"> </w:t>
      </w:r>
      <w:r>
        <w:rPr>
          <w:rStyle w:val="VerbatimChar"/>
        </w:rPr>
        <w:t xml:space="preserve">frontend/</w:t>
      </w:r>
      <w:r>
        <w:t xml:space="preserve"> </w:t>
      </w:r>
      <w:r>
        <w:t xml:space="preserve">(Next.js) and</w:t>
      </w:r>
      <w:r>
        <w:t xml:space="preserve"> </w:t>
      </w:r>
      <w:r>
        <w:rPr>
          <w:rStyle w:val="VerbatimChar"/>
        </w:rPr>
        <w:t xml:space="preserve">backend/</w:t>
      </w:r>
      <w:r>
        <w:t xml:space="preserve"> </w:t>
      </w:r>
      <w:r>
        <w:t xml:space="preserve">(Go). One developer and Claude Code can change both sides in one commit and one pull request. Vercel (or Cloudflare) builds</w:t>
      </w:r>
      <w:r>
        <w:t xml:space="preserve"> </w:t>
      </w:r>
      <w:r>
        <w:rPr>
          <w:rStyle w:val="VerbatimChar"/>
        </w:rPr>
        <w:t xml:space="preserve">frontend/</w:t>
      </w:r>
      <w:r>
        <w:t xml:space="preserve">, Render builds</w:t>
      </w:r>
      <w:r>
        <w:t xml:space="preserve"> </w:t>
      </w:r>
      <w:r>
        <w:rPr>
          <w:rStyle w:val="VerbatimChar"/>
        </w:rPr>
        <w:t xml:space="preserve">backend/</w:t>
      </w:r>
      <w:r>
        <w:t xml:space="preserve">.</w:t>
      </w:r>
    </w:p>
    <w:p>
      <w:pPr>
        <w:numPr>
          <w:ilvl w:val="0"/>
          <w:numId w:val="1009"/>
        </w:numPr>
        <w:pStyle w:val="Compact"/>
      </w:pPr>
      <w:r>
        <w:t xml:space="preserve">Go API under</w:t>
      </w:r>
      <w:r>
        <w:t xml:space="preserve"> </w:t>
      </w:r>
      <w:r>
        <w:rPr>
          <w:rStyle w:val="VerbatimChar"/>
        </w:rPr>
        <w:t xml:space="preserve">/api/v1</w:t>
      </w:r>
      <w:r>
        <w:t xml:space="preserve">, server-side sessions in HttpOnly cookies, permissions read per request, Argon2id password hashing, login rate limiting, CSRF protection, OpenAPI file in the repo.</w:t>
      </w:r>
    </w:p>
    <w:p>
      <w:pPr>
        <w:numPr>
          <w:ilvl w:val="0"/>
          <w:numId w:val="1009"/>
        </w:numPr>
        <w:pStyle w:val="Compact"/>
      </w:pPr>
      <w:r>
        <w:t xml:space="preserve">The browser calls</w:t>
      </w:r>
      <w:r>
        <w:t xml:space="preserve"> </w:t>
      </w:r>
      <w:r>
        <w:rPr>
          <w:rStyle w:val="VerbatimChar"/>
        </w:rPr>
        <w:t xml:space="preserve">/api/*</w:t>
      </w:r>
      <w:r>
        <w:t xml:space="preserve"> </w:t>
      </w:r>
      <w:r>
        <w:t xml:space="preserve">on the frontend origin and the frontend rewrites to the API, so there are no cross-site cookie problems.</w:t>
      </w:r>
    </w:p>
    <w:p>
      <w:pPr>
        <w:numPr>
          <w:ilvl w:val="0"/>
          <w:numId w:val="1009"/>
        </w:numPr>
        <w:pStyle w:val="Compact"/>
      </w:pPr>
      <w:r>
        <w:t xml:space="preserve">Public pages use cached rendering with a revalidation period and a bundled fallback content snapshot, so the site stays up when the free API is asleep.</w:t>
      </w:r>
    </w:p>
    <w:p>
      <w:pPr>
        <w:numPr>
          <w:ilvl w:val="0"/>
          <w:numId w:val="1009"/>
        </w:numPr>
        <w:pStyle w:val="Compact"/>
      </w:pPr>
      <w:r>
        <w:t xml:space="preserve">Student and staff portals live under</w:t>
      </w:r>
      <w:r>
        <w:t xml:space="preserve"> </w:t>
      </w:r>
      <w:r>
        <w:rPr>
          <w:rStyle w:val="VerbatimChar"/>
        </w:rPr>
        <w:t xml:space="preserve">/student</w:t>
      </w:r>
      <w:r>
        <w:t xml:space="preserve"> </w:t>
      </w:r>
      <w:r>
        <w:t xml:space="preserve">and</w:t>
      </w:r>
      <w:r>
        <w:t xml:space="preserve"> </w:t>
      </w:r>
      <w:r>
        <w:rPr>
          <w:rStyle w:val="VerbatimChar"/>
        </w:rPr>
        <w:t xml:space="preserve">/staff</w:t>
      </w:r>
      <w:r>
        <w:t xml:space="preserve"> </w:t>
      </w:r>
      <w:r>
        <w:t xml:space="preserve">in the same Next.js app, marked noindex.</w:t>
      </w:r>
    </w:p>
    <w:p>
      <w:pPr>
        <w:numPr>
          <w:ilvl w:val="0"/>
          <w:numId w:val="1009"/>
        </w:numPr>
        <w:pStyle w:val="Compact"/>
      </w:pPr>
      <w:r>
        <w:t xml:space="preserve">File uploads go to S3-compatible private storage (MinIO in Docker for development; Supabase Storage in production), served through short-lived signed links.</w:t>
      </w:r>
    </w:p>
    <w:p>
      <w:pPr>
        <w:numPr>
          <w:ilvl w:val="0"/>
          <w:numId w:val="1009"/>
        </w:numPr>
        <w:pStyle w:val="Compact"/>
      </w:pPr>
      <w:r>
        <w:t xml:space="preserve">Docker and Docker Compose for the backend, with local PostgreSQL and a local mail catcher. The production database is Supabase-managed, never a container.</w:t>
      </w:r>
    </w:p>
    <w:p>
      <w:pPr>
        <w:numPr>
          <w:ilvl w:val="0"/>
          <w:numId w:val="1009"/>
        </w:numPr>
        <w:pStyle w:val="Compact"/>
      </w:pPr>
      <w:r>
        <w:t xml:space="preserve">Supabase is used purely as managed PostgreSQL and storage. The browser never talks to Supabase directly.</w:t>
      </w:r>
    </w:p>
    <w:bookmarkEnd w:id="41"/>
    <w:bookmarkStart w:id="42" w:name="X4b25a911c06c1c4e2210a95f934801b5d0fc3b9"/>
    <w:p>
      <w:pPr>
        <w:pStyle w:val="Heading2"/>
      </w:pPr>
      <w:r>
        <w:t xml:space="preserve">12.2 Hosting reality check (verified in October 2026)</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2640"/>
        <w:gridCol w:w="2640"/>
        <w:gridCol w:w="2640"/>
      </w:tblGrid>
      <w:tr>
        <w:trPr>
          <w:tblHeader w:val="true"/>
          <w:tblHeader w:val="true"/>
        </w:trPr>
        <w:tc>
          <w:tcPr>
            <w:tcW w:type="dxa" w:w="1134"/>
            <w:shd w:val="clear" w:fill="0A1F4D"/>
          </w:tcPr>
          <w:p>
            <w:pPr>
              <w:pStyle w:val="Compact"/>
              <w:jc w:val="left"/>
            </w:pPr>
            <w:r>
              <w:rPr>
                <w:b/>
                <w:color w:val="FFFFFF"/>
              </w:rPr>
              <w:t xml:space="preserve">Service</w:t>
            </w:r>
          </w:p>
        </w:tc>
        <w:tc>
          <w:tcPr>
            <w:tcW w:type="dxa" w:w="3685"/>
            <w:shd w:val="clear" w:fill="0A1F4D"/>
          </w:tcPr>
          <w:p>
            <w:pPr>
              <w:pStyle w:val="Compact"/>
              <w:jc w:val="left"/>
            </w:pPr>
            <w:r>
              <w:rPr>
                <w:b/>
                <w:color w:val="FFFFFF"/>
              </w:rPr>
              <w:t xml:space="preserve">Free tier behaviour</w:t>
            </w:r>
          </w:p>
        </w:tc>
        <w:tc>
          <w:tcPr>
            <w:tcW w:type="dxa" w:w="4819"/>
            <w:shd w:val="clear" w:fill="0A1F4D"/>
          </w:tcPr>
          <w:p>
            <w:pPr>
              <w:pStyle w:val="Compact"/>
              <w:jc w:val="left"/>
            </w:pPr>
            <w:r>
              <w:rPr>
                <w:b/>
                <w:color w:val="FFFFFF"/>
              </w:rPr>
              <w:t xml:space="preserve">What it means here</w:t>
            </w:r>
          </w:p>
        </w:tc>
      </w:tr>
      <w:tr>
        <w:tc>
          <w:tcPr>
            <w:tcW w:type="dxa" w:w="1134"/>
          </w:tcPr>
          <w:p>
            <w:pPr>
              <w:pStyle w:val="Compact"/>
              <w:jc w:val="left"/>
            </w:pPr>
            <w:r>
              <w:rPr>
                <w:sz w:val="19"/>
              </w:rPr>
              <w:t xml:space="preserve">Vercel Hobby</w:t>
            </w:r>
          </w:p>
        </w:tc>
        <w:tc>
          <w:tcPr>
            <w:tcW w:type="dxa" w:w="3685"/>
          </w:tcPr>
          <w:p>
            <w:pPr>
              <w:pStyle w:val="Compact"/>
              <w:jc w:val="left"/>
            </w:pPr>
            <w:r>
              <w:rPr>
                <w:sz w:val="19"/>
              </w:rPr>
              <w:t xml:space="preserve">Restricted to non-commercial personal use. Commercial usage, including a paid developer writing the code, requires Pro.</w:t>
            </w:r>
          </w:p>
        </w:tc>
        <w:tc>
          <w:tcPr>
            <w:tcW w:type="dxa" w:w="4819"/>
          </w:tcPr>
          <w:p>
            <w:pPr>
              <w:pStyle w:val="Compact"/>
              <w:jc w:val="left"/>
            </w:pPr>
            <w:r>
              <w:rPr>
                <w:sz w:val="19"/>
              </w:rPr>
              <w:t xml:space="preserve">A college website is commercial. Even a paid client demo technically needs Pro. Use Pro (about USD 20 per month, verify) or host the frontend on Cloudflare.</w:t>
            </w:r>
          </w:p>
        </w:tc>
      </w:tr>
      <w:tr>
        <w:tc>
          <w:tcPr>
            <w:tcW w:type="dxa" w:w="1134"/>
          </w:tcPr>
          <w:p>
            <w:pPr>
              <w:pStyle w:val="Compact"/>
              <w:jc w:val="left"/>
            </w:pPr>
            <w:r>
              <w:rPr>
                <w:sz w:val="19"/>
              </w:rPr>
              <w:t xml:space="preserve">Render free web service</w:t>
            </w:r>
          </w:p>
        </w:tc>
        <w:tc>
          <w:tcPr>
            <w:tcW w:type="dxa" w:w="3685"/>
          </w:tcPr>
          <w:p>
            <w:pPr>
              <w:pStyle w:val="Compact"/>
              <w:jc w:val="left"/>
            </w:pPr>
            <w:r>
              <w:rPr>
                <w:sz w:val="19"/>
              </w:rPr>
              <w:t xml:space="preserve">Spins down after 15 minutes without traffic; first request after that is slow; filesystem is ephemeral; free instance hours are capped per month.</w:t>
            </w:r>
          </w:p>
        </w:tc>
        <w:tc>
          <w:tcPr>
            <w:tcW w:type="dxa" w:w="4819"/>
          </w:tcPr>
          <w:p>
            <w:pPr>
              <w:pStyle w:val="Compact"/>
              <w:jc w:val="left"/>
            </w:pPr>
            <w:r>
              <w:rPr>
                <w:sz w:val="19"/>
              </w:rPr>
              <w:t xml:space="preserve">Acceptable for development and demos. Not acceptable for live applications or portals. Use a paid instance in production.</w:t>
            </w:r>
          </w:p>
        </w:tc>
      </w:tr>
      <w:tr>
        <w:tc>
          <w:tcPr>
            <w:tcW w:type="dxa" w:w="1134"/>
          </w:tcPr>
          <w:p>
            <w:pPr>
              <w:pStyle w:val="Compact"/>
              <w:jc w:val="left"/>
            </w:pPr>
            <w:r>
              <w:rPr>
                <w:sz w:val="19"/>
              </w:rPr>
              <w:t xml:space="preserve">Supabase Free</w:t>
            </w:r>
          </w:p>
        </w:tc>
        <w:tc>
          <w:tcPr>
            <w:tcW w:type="dxa" w:w="3685"/>
          </w:tcPr>
          <w:p>
            <w:pPr>
              <w:pStyle w:val="Compact"/>
              <w:jc w:val="left"/>
            </w:pPr>
            <w:r>
              <w:rPr>
                <w:sz w:val="19"/>
              </w:rPr>
              <w:t xml:space="preserve">Projects pause after one week of inactivity and must be restored manually. No automatic backups.</w:t>
            </w:r>
          </w:p>
        </w:tc>
        <w:tc>
          <w:tcPr>
            <w:tcW w:type="dxa" w:w="4819"/>
          </w:tcPr>
          <w:p>
            <w:pPr>
              <w:pStyle w:val="Compact"/>
              <w:jc w:val="left"/>
            </w:pPr>
            <w:r>
              <w:rPr>
                <w:sz w:val="19"/>
              </w:rPr>
              <w:t xml:space="preserve">Fine for development. Production needs Pro (USD 25 per month, daily backups kept 7 days).</w:t>
            </w:r>
          </w:p>
        </w:tc>
      </w:tr>
    </w:tbl>
    <w:p>
      <w:pPr>
        <w:pStyle w:val="BodyText"/>
      </w:pPr>
      <w:r>
        <w:t xml:space="preserve">Recommended path:</w:t>
      </w:r>
    </w:p>
    <w:p>
      <w:pPr>
        <w:numPr>
          <w:ilvl w:val="0"/>
          <w:numId w:val="1010"/>
        </w:numPr>
        <w:pStyle w:val="Compact"/>
      </w:pPr>
      <w:r>
        <w:rPr>
          <w:bCs/>
          <w:b/>
        </w:rPr>
        <w:t xml:space="preserve">Build and demo (now):</w:t>
      </w:r>
      <w:r>
        <w:t xml:space="preserve"> </w:t>
      </w:r>
      <w:r>
        <w:t xml:space="preserve">local Docker for everything, plus free Render and free Supabase for a shared staging link. Keep staging private and warn the client about slow first loads. For the frontend staging link use a Cloudflare preview or a Vercel Pro trial rather than Hobby.</w:t>
      </w:r>
    </w:p>
    <w:p>
      <w:pPr>
        <w:numPr>
          <w:ilvl w:val="0"/>
          <w:numId w:val="1010"/>
        </w:numPr>
        <w:pStyle w:val="Compact"/>
      </w:pPr>
      <w:r>
        <w:rPr>
          <w:bCs/>
          <w:b/>
        </w:rPr>
        <w:t xml:space="preserve">Go-live:</w:t>
      </w:r>
      <w:r>
        <w:t xml:space="preserve"> </w:t>
      </w:r>
      <w:r>
        <w:t xml:space="preserve">Render paid web service for the API, Supabase Pro for the database and storage, and either Vercel Pro or Cloudflare for the frontend. Treat roughly USD 45 to 60 per month as the planning figure and recheck current prices before quoting the client.</w:t>
      </w:r>
    </w:p>
    <w:p>
      <w:pPr>
        <w:numPr>
          <w:ilvl w:val="0"/>
          <w:numId w:val="1010"/>
        </w:numPr>
        <w:pStyle w:val="Compact"/>
      </w:pPr>
      <w:r>
        <w:rPr>
          <w:bCs/>
          <w:b/>
        </w:rPr>
        <w:t xml:space="preserve">Cheaper alternative to evaluate before go-live:</w:t>
      </w:r>
      <w:r>
        <w:t xml:space="preserve"> </w:t>
      </w:r>
      <w:r>
        <w:t xml:space="preserve">one small VPS running Docker Compose (API, PostgreSQL, reverse proxy) with off-server backups. It can cost far less than the managed stack, but you carry the operations work. Decide at the hosting decision gate (DG-04).</w:t>
      </w:r>
    </w:p>
    <w:p>
      <w:pPr>
        <w:numPr>
          <w:ilvl w:val="0"/>
          <w:numId w:val="1010"/>
        </w:numPr>
        <w:pStyle w:val="Compact"/>
      </w:pPr>
      <w:r>
        <w:rPr>
          <w:bCs/>
          <w:b/>
        </w:rPr>
        <w:t xml:space="preserve">Region:</w:t>
      </w:r>
      <w:r>
        <w:t xml:space="preserve"> </w:t>
      </w:r>
      <w:r>
        <w:t xml:space="preserve">put the API and the database in the same region (Frankfurt is the nearest for both Render and Supabase, verify availability) so queries are not slow. Neither has an African region on Render, so expect about 150 to 200 ms round trip from Makueni.</w:t>
      </w:r>
    </w:p>
    <w:bookmarkEnd w:id="42"/>
    <w:bookmarkStart w:id="43" w:name="domain-dns-email-messaging"/>
    <w:p>
      <w:pPr>
        <w:pStyle w:val="Heading2"/>
      </w:pPr>
      <w:r>
        <w:t xml:space="preserve">12.3 Domain, DNS, email, messaging</w:t>
      </w:r>
    </w:p>
    <w:p>
      <w:pPr>
        <w:numPr>
          <w:ilvl w:val="0"/>
          <w:numId w:val="1011"/>
        </w:numPr>
        <w:pStyle w:val="Compact"/>
      </w:pPr>
      <w:r>
        <w:rPr>
          <w:bCs/>
          <w:b/>
        </w:rPr>
        <w:t xml:space="preserve">Domain:</w:t>
      </w:r>
      <w:r>
        <w:t xml:space="preserve"> </w:t>
      </w:r>
      <w:r>
        <w:t xml:space="preserve">Cloudflare Registrar may not sell Kenyan domains. A .co.ke or .ac.ke domain is normally bought from a KENIC-accredited Kenyan registrar; .ac.ke may need proof of academic status. Buy it there, then point the nameservers to Cloudflare for free DNS and HTTPS routing. Verify before purchase.</w:t>
      </w:r>
    </w:p>
    <w:p>
      <w:pPr>
        <w:numPr>
          <w:ilvl w:val="0"/>
          <w:numId w:val="1011"/>
        </w:numPr>
        <w:pStyle w:val="Compact"/>
      </w:pPr>
      <w:r>
        <w:rPr>
          <w:bCs/>
          <w:b/>
        </w:rPr>
        <w:t xml:space="preserve">Institutional email</w:t>
      </w:r>
      <w:r>
        <w:t xml:space="preserve"> </w:t>
      </w:r>
      <w:r>
        <w:t xml:space="preserve">(info@, admissions@): a hosted mailbox service. Verify cost and choose before launch.</w:t>
      </w:r>
    </w:p>
    <w:p>
      <w:pPr>
        <w:numPr>
          <w:ilvl w:val="0"/>
          <w:numId w:val="1011"/>
        </w:numPr>
        <w:pStyle w:val="Compact"/>
      </w:pPr>
      <w:r>
        <w:rPr>
          <w:bCs/>
          <w:b/>
        </w:rPr>
        <w:t xml:space="preserve">Transactional email</w:t>
      </w:r>
      <w:r>
        <w:t xml:space="preserve"> </w:t>
      </w:r>
      <w:r>
        <w:t xml:space="preserve">(application receipts, password resets): a provider with a free tier and a verified sending domain (SPF, DKIM, DMARC).</w:t>
      </w:r>
    </w:p>
    <w:p>
      <w:pPr>
        <w:numPr>
          <w:ilvl w:val="0"/>
          <w:numId w:val="1011"/>
        </w:numPr>
        <w:pStyle w:val="Compact"/>
      </w:pPr>
      <w:r>
        <w:rPr>
          <w:bCs/>
          <w:b/>
        </w:rPr>
        <w:t xml:space="preserve">SMS:</w:t>
      </w:r>
      <w:r>
        <w:t xml:space="preserve"> </w:t>
      </w:r>
      <w:r>
        <w:t xml:space="preserve">a Kenyan-capable provider such as Africa’s Talking (DG-03, verify rates and sender ID registration).</w:t>
      </w:r>
    </w:p>
    <w:bookmarkEnd w:id="43"/>
    <w:bookmarkEnd w:id="44"/>
    <w:bookmarkStart w:id="45" w:name="security-privacy-and-compliance"/>
    <w:p>
      <w:pPr>
        <w:pStyle w:val="Heading1"/>
      </w:pPr>
      <w:r>
        <w:t xml:space="preserve">13. Security, privacy and compliance</w:t>
      </w:r>
    </w:p>
    <w:p>
      <w:pPr>
        <w:numPr>
          <w:ilvl w:val="0"/>
          <w:numId w:val="1012"/>
        </w:numPr>
        <w:pStyle w:val="Compact"/>
      </w:pPr>
      <w:r>
        <w:t xml:space="preserve">Backend authorisation on every endpoint. No service-role keys or database credentials in browser code.</w:t>
      </w:r>
    </w:p>
    <w:p>
      <w:pPr>
        <w:numPr>
          <w:ilvl w:val="0"/>
          <w:numId w:val="1012"/>
        </w:numPr>
        <w:pStyle w:val="Compact"/>
      </w:pPr>
      <w:r>
        <w:t xml:space="preserve">Argon2id, rate limiting, session expiry and revocation, optional TOTP two-factor for staff with finance, registrar or admin roles.</w:t>
      </w:r>
    </w:p>
    <w:p>
      <w:pPr>
        <w:numPr>
          <w:ilvl w:val="0"/>
          <w:numId w:val="1012"/>
        </w:numPr>
        <w:pStyle w:val="Compact"/>
      </w:pPr>
      <w:r>
        <w:t xml:space="preserve">Parameterised SQL, input validation, strict file validation (type, size, content sniffing), virus scanning for uploads if available.</w:t>
      </w:r>
    </w:p>
    <w:p>
      <w:pPr>
        <w:numPr>
          <w:ilvl w:val="0"/>
          <w:numId w:val="1012"/>
        </w:numPr>
        <w:pStyle w:val="Compact"/>
      </w:pPr>
      <w:r>
        <w:t xml:space="preserve">Privacy notice, consent capture for data and photos, parental consent for under-18 applicants, data retention schedule, data subject request process, breach procedure.</w:t>
      </w:r>
    </w:p>
    <w:p>
      <w:pPr>
        <w:numPr>
          <w:ilvl w:val="0"/>
          <w:numId w:val="1012"/>
        </w:numPr>
        <w:pStyle w:val="Compact"/>
      </w:pPr>
      <w:r>
        <w:t xml:space="preserve">Register as a data controller if required (DG-06). Keep a register of processing activities.</w:t>
      </w:r>
    </w:p>
    <w:p>
      <w:pPr>
        <w:numPr>
          <w:ilvl w:val="0"/>
          <w:numId w:val="1012"/>
        </w:numPr>
        <w:pStyle w:val="Compact"/>
      </w:pPr>
      <w:r>
        <w:t xml:space="preserve">Audit log for logins, role changes, application decisions, results release, payment confirmation, exports and adjustments. Never log secrets.</w:t>
      </w:r>
    </w:p>
    <w:p>
      <w:pPr>
        <w:numPr>
          <w:ilvl w:val="0"/>
          <w:numId w:val="1012"/>
        </w:numPr>
        <w:pStyle w:val="Compact"/>
      </w:pPr>
      <w:r>
        <w:t xml:space="preserve">Backups configured and a restore tested before go-live. Two-factor on GitHub, Cloudflare, Render, Supabase and the domain registrar.</w:t>
      </w:r>
    </w:p>
    <w:p>
      <w:pPr>
        <w:numPr>
          <w:ilvl w:val="0"/>
          <w:numId w:val="1012"/>
        </w:numPr>
        <w:pStyle w:val="Compact"/>
      </w:pPr>
      <w:r>
        <w:t xml:space="preserve">Minimise personal data shown on public pages. Student names or photos appear only with consent.</w:t>
      </w:r>
    </w:p>
    <w:bookmarkEnd w:id="45"/>
    <w:bookmarkStart w:id="51" w:name="brand-and-interface-design"/>
    <w:p>
      <w:pPr>
        <w:pStyle w:val="Heading1"/>
      </w:pPr>
      <w:r>
        <w:t xml:space="preserve">14. Brand and interface design</w:t>
      </w:r>
    </w:p>
    <w:bookmarkStart w:id="46" w:name="logo"/>
    <w:p>
      <w:pPr>
        <w:pStyle w:val="Heading2"/>
      </w:pPr>
      <w:r>
        <w:t xml:space="preserve">14.1 Logo</w:t>
      </w:r>
    </w:p>
    <w:p>
      <w:pPr>
        <w:pStyle w:val="FirstParagraph"/>
      </w:pPr>
      <w:r>
        <w:t xml:space="preserve">The client supplied an AI-generated sample: a heater-shaped shield in four quadrants (open book, medical cross with pulse line, crossed fork and knife, heart with stethoscope), a graduation cap on top, a gold laurel wreath, a ribbon with the words SKILLS · DISCIPLINE · OPPORTUNITY, the serif wordmark DAKOTA with a rising gold swoosh, TRAINING COLLEGE in wide-tracked capitals, and a tagline. It was seen only as a small photo over a blurred dark background.</w:t>
      </w:r>
    </w:p>
    <w:p>
      <w:pPr>
        <w:pStyle w:val="BodyText"/>
      </w:pPr>
      <w:r>
        <w:t xml:space="preserve">Findings:</w:t>
      </w:r>
    </w:p>
    <w:p>
      <w:pPr>
        <w:numPr>
          <w:ilvl w:val="0"/>
          <w:numId w:val="1013"/>
        </w:numPr>
        <w:pStyle w:val="Compact"/>
      </w:pPr>
      <w:r>
        <w:rPr>
          <w:bCs/>
          <w:b/>
        </w:rPr>
        <w:t xml:space="preserve">Keeps equity:</w:t>
      </w:r>
      <w:r>
        <w:t xml:space="preserve"> </w:t>
      </w:r>
      <w:r>
        <w:t xml:space="preserve">navy and gold, the shield, the cap and laurel, the rising swoosh. These are worth keeping.</w:t>
      </w:r>
    </w:p>
    <w:p>
      <w:pPr>
        <w:numPr>
          <w:ilvl w:val="0"/>
          <w:numId w:val="1013"/>
        </w:numPr>
        <w:pStyle w:val="Compact"/>
      </w:pPr>
      <w:r>
        <w:rPr>
          <w:bCs/>
          <w:b/>
        </w:rPr>
        <w:t xml:space="preserve">Weak at small sizes:</w:t>
      </w:r>
      <w:r>
        <w:t xml:space="preserve"> </w:t>
      </w:r>
      <w:r>
        <w:t xml:space="preserve">bevels and gradients, five stacked layers (cap, shield, laurel, ribbon, star), ribbon text far too small, and the tagline and TRAINING COLLEGE in navy on a dark background are nearly unreadable.</w:t>
      </w:r>
    </w:p>
    <w:p>
      <w:pPr>
        <w:numPr>
          <w:ilvl w:val="0"/>
          <w:numId w:val="1013"/>
        </w:numPr>
        <w:pStyle w:val="Compact"/>
      </w:pPr>
      <w:r>
        <w:rPr>
          <w:bCs/>
          <w:b/>
        </w:rPr>
        <w:t xml:space="preserve">Meaning gap:</w:t>
      </w:r>
      <w:r>
        <w:t xml:space="preserve"> </w:t>
      </w:r>
      <w:r>
        <w:t xml:space="preserve">the four icons cover books, medicine, food and care. ICT, business and pool management are missing, and the school list may change. The crest should stand for learning in general. School-level icons belong in the website icon set, not in the crest.</w:t>
      </w:r>
    </w:p>
    <w:p>
      <w:pPr>
        <w:numPr>
          <w:ilvl w:val="0"/>
          <w:numId w:val="1013"/>
        </w:numPr>
        <w:pStyle w:val="Compact"/>
      </w:pPr>
      <w:r>
        <w:rPr>
          <w:bCs/>
          <w:b/>
        </w:rPr>
        <w:t xml:space="preserve">Unverified text:</w:t>
      </w:r>
      <w:r>
        <w:t xml:space="preserve"> </w:t>
      </w:r>
      <w:r>
        <w:t xml:space="preserve">the last word of the tagline is unreadable at this resolution. It must be confirmed with the client.</w:t>
      </w:r>
    </w:p>
    <w:p>
      <w:pPr>
        <w:pStyle w:val="FirstParagraph"/>
      </w:pPr>
      <w:r>
        <w:t xml:space="preserve">The logo prompt pack rebuilds it as a flat, scalable vector with a simplified small-size mark.</w:t>
      </w:r>
    </w:p>
    <w:bookmarkEnd w:id="46"/>
    <w:bookmarkStart w:id="47" w:name="Xe9ae40e370e4b63f04a44a2aa33c7d27ce8dff1"/>
    <w:p>
      <w:pPr>
        <w:pStyle w:val="Heading2"/>
      </w:pPr>
      <w:r>
        <w:t xml:space="preserve">14.2 Colour tokens (contrast computed with the WCAG 2 formula)</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1980"/>
        <w:gridCol w:w="1980"/>
        <w:gridCol w:w="1980"/>
        <w:gridCol w:w="1980"/>
      </w:tblGrid>
      <w:tr>
        <w:trPr>
          <w:tblHeader w:val="true"/>
          <w:tblHeader w:val="true"/>
        </w:trPr>
        <w:tc>
          <w:tcPr>
            <w:tcW w:type="dxa" w:w="2409"/>
            <w:shd w:val="clear" w:fill="0A1F4D"/>
          </w:tcPr>
          <w:p>
            <w:pPr>
              <w:pStyle w:val="Compact"/>
              <w:jc w:val="left"/>
            </w:pPr>
            <w:r>
              <w:rPr>
                <w:b/>
                <w:color w:val="FFFFFF"/>
              </w:rPr>
              <w:t xml:space="preserve">Token</w:t>
            </w:r>
          </w:p>
        </w:tc>
        <w:tc>
          <w:tcPr>
            <w:tcW w:type="dxa" w:w="2409"/>
            <w:shd w:val="clear" w:fill="0A1F4D"/>
          </w:tcPr>
          <w:p>
            <w:pPr>
              <w:pStyle w:val="Compact"/>
              <w:jc w:val="left"/>
            </w:pPr>
            <w:r>
              <w:rPr>
                <w:b/>
                <w:color w:val="FFFFFF"/>
              </w:rPr>
              <w:t xml:space="preserve">Hex</w:t>
            </w:r>
          </w:p>
        </w:tc>
        <w:tc>
          <w:tcPr>
            <w:tcW w:type="dxa" w:w="2409"/>
            <w:shd w:val="clear" w:fill="0A1F4D"/>
          </w:tcPr>
          <w:p>
            <w:pPr>
              <w:pStyle w:val="Compact"/>
              <w:jc w:val="left"/>
            </w:pPr>
            <w:r>
              <w:rPr>
                <w:b/>
                <w:color w:val="FFFFFF"/>
              </w:rPr>
              <w:t xml:space="preserve">Use</w:t>
            </w:r>
          </w:p>
        </w:tc>
        <w:tc>
          <w:tcPr>
            <w:tcW w:type="dxa" w:w="2409"/>
            <w:shd w:val="clear" w:fill="0A1F4D"/>
          </w:tcPr>
          <w:p>
            <w:pPr>
              <w:pStyle w:val="Compact"/>
              <w:jc w:val="left"/>
            </w:pPr>
            <w:r>
              <w:rPr>
                <w:b/>
                <w:color w:val="FFFFFF"/>
              </w:rPr>
              <w:t xml:space="preserve">Contrast note</w:t>
            </w:r>
          </w:p>
        </w:tc>
      </w:tr>
      <w:tr>
        <w:tc>
          <w:tcPr>
            <w:tcW w:type="dxa" w:w="2409"/>
          </w:tcPr>
          <w:p>
            <w:pPr>
              <w:pStyle w:val="Compact"/>
              <w:jc w:val="left"/>
            </w:pPr>
            <w:r>
              <w:rPr>
                <w:sz w:val="19"/>
              </w:rPr>
              <w:t xml:space="preserve">Navy 900</w:t>
            </w:r>
          </w:p>
        </w:tc>
        <w:tc>
          <w:tcPr>
            <w:tcW w:type="dxa" w:w="2409"/>
          </w:tcPr>
          <w:p>
            <w:pPr>
              <w:pStyle w:val="Compact"/>
              <w:jc w:val="left"/>
            </w:pPr>
            <w:r>
              <w:rPr>
                <w:sz w:val="19"/>
              </w:rPr>
              <w:t xml:space="preserve">#0A1F4D</w:t>
            </w:r>
          </w:p>
        </w:tc>
        <w:tc>
          <w:tcPr>
            <w:tcW w:type="dxa" w:w="2409"/>
          </w:tcPr>
          <w:p>
            <w:pPr>
              <w:pStyle w:val="Compact"/>
              <w:jc w:val="left"/>
            </w:pPr>
            <w:r>
              <w:rPr>
                <w:sz w:val="19"/>
              </w:rPr>
              <w:t xml:space="preserve">Header band, footer, headings on light</w:t>
            </w:r>
          </w:p>
        </w:tc>
        <w:tc>
          <w:tcPr>
            <w:tcW w:type="dxa" w:w="2409"/>
          </w:tcPr>
          <w:p>
            <w:pPr>
              <w:pStyle w:val="Compact"/>
              <w:jc w:val="left"/>
            </w:pPr>
            <w:r>
              <w:rPr>
                <w:sz w:val="19"/>
              </w:rPr>
              <w:t xml:space="preserve">White on Navy 16.0:1</w:t>
            </w:r>
          </w:p>
        </w:tc>
      </w:tr>
      <w:tr>
        <w:tc>
          <w:tcPr>
            <w:tcW w:type="dxa" w:w="2409"/>
          </w:tcPr>
          <w:p>
            <w:pPr>
              <w:pStyle w:val="Compact"/>
              <w:jc w:val="left"/>
            </w:pPr>
            <w:r>
              <w:rPr>
                <w:sz w:val="19"/>
              </w:rPr>
              <w:t xml:space="preserve">Royal</w:t>
            </w:r>
          </w:p>
        </w:tc>
        <w:tc>
          <w:tcPr>
            <w:tcW w:type="dxa" w:w="2409"/>
          </w:tcPr>
          <w:p>
            <w:pPr>
              <w:pStyle w:val="Compact"/>
              <w:jc w:val="left"/>
            </w:pPr>
            <w:r>
              <w:rPr>
                <w:sz w:val="19"/>
              </w:rPr>
              <w:t xml:space="preserve">#1E3A8A</w:t>
            </w:r>
          </w:p>
        </w:tc>
        <w:tc>
          <w:tcPr>
            <w:tcW w:type="dxa" w:w="2409"/>
          </w:tcPr>
          <w:p>
            <w:pPr>
              <w:pStyle w:val="Compact"/>
              <w:jc w:val="left"/>
            </w:pPr>
            <w:r>
              <w:rPr>
                <w:sz w:val="19"/>
              </w:rPr>
              <w:t xml:space="preserve">Links, secondary buttons</w:t>
            </w:r>
          </w:p>
        </w:tc>
        <w:tc>
          <w:tcPr>
            <w:tcW w:type="dxa" w:w="2409"/>
          </w:tcPr>
          <w:p>
            <w:pPr>
              <w:pStyle w:val="Compact"/>
              <w:jc w:val="left"/>
            </w:pPr>
            <w:r>
              <w:rPr>
                <w:sz w:val="19"/>
              </w:rPr>
              <w:t xml:space="preserve">Royal on Ivory 9.8:1</w:t>
            </w:r>
          </w:p>
        </w:tc>
      </w:tr>
      <w:tr>
        <w:tc>
          <w:tcPr>
            <w:tcW w:type="dxa" w:w="2409"/>
          </w:tcPr>
          <w:p>
            <w:pPr>
              <w:pStyle w:val="Compact"/>
              <w:jc w:val="left"/>
            </w:pPr>
            <w:r>
              <w:rPr>
                <w:sz w:val="19"/>
              </w:rPr>
              <w:t xml:space="preserve">Gold</w:t>
            </w:r>
          </w:p>
        </w:tc>
        <w:tc>
          <w:tcPr>
            <w:tcW w:type="dxa" w:w="2409"/>
          </w:tcPr>
          <w:p>
            <w:pPr>
              <w:pStyle w:val="Compact"/>
              <w:jc w:val="left"/>
            </w:pPr>
            <w:r>
              <w:rPr>
                <w:sz w:val="19"/>
              </w:rPr>
              <w:t xml:space="preserve">#C9A227</w:t>
            </w:r>
          </w:p>
        </w:tc>
        <w:tc>
          <w:tcPr>
            <w:tcW w:type="dxa" w:w="2409"/>
          </w:tcPr>
          <w:p>
            <w:pPr>
              <w:pStyle w:val="Compact"/>
              <w:jc w:val="left"/>
            </w:pPr>
            <w:r>
              <w:rPr>
                <w:sz w:val="19"/>
              </w:rPr>
              <w:t xml:space="preserve">Accent fills, Apply button fill</w:t>
            </w:r>
          </w:p>
        </w:tc>
        <w:tc>
          <w:tcPr>
            <w:tcW w:type="dxa" w:w="2409"/>
          </w:tcPr>
          <w:p>
            <w:pPr>
              <w:pStyle w:val="Compact"/>
              <w:jc w:val="left"/>
            </w:pPr>
            <w:r>
              <w:rPr>
                <w:sz w:val="19"/>
              </w:rPr>
              <w:t xml:space="preserve">Navy on Gold 6.6:1. Gold on white fails (2.4:1), never use as text on light</w:t>
            </w:r>
          </w:p>
        </w:tc>
      </w:tr>
      <w:tr>
        <w:tc>
          <w:tcPr>
            <w:tcW w:type="dxa" w:w="2409"/>
          </w:tcPr>
          <w:p>
            <w:pPr>
              <w:pStyle w:val="Compact"/>
              <w:jc w:val="left"/>
            </w:pPr>
            <w:r>
              <w:rPr>
                <w:sz w:val="19"/>
              </w:rPr>
              <w:t xml:space="preserve">Gold text</w:t>
            </w:r>
          </w:p>
        </w:tc>
        <w:tc>
          <w:tcPr>
            <w:tcW w:type="dxa" w:w="2409"/>
          </w:tcPr>
          <w:p>
            <w:pPr>
              <w:pStyle w:val="Compact"/>
              <w:jc w:val="left"/>
            </w:pPr>
            <w:r>
              <w:rPr>
                <w:sz w:val="19"/>
              </w:rPr>
              <w:t xml:space="preserve">#7A5C00</w:t>
            </w:r>
          </w:p>
        </w:tc>
        <w:tc>
          <w:tcPr>
            <w:tcW w:type="dxa" w:w="2409"/>
          </w:tcPr>
          <w:p>
            <w:pPr>
              <w:pStyle w:val="Compact"/>
              <w:jc w:val="left"/>
            </w:pPr>
            <w:r>
              <w:rPr>
                <w:sz w:val="19"/>
              </w:rPr>
              <w:t xml:space="preserve">Gold-coloured text on light backgrounds</w:t>
            </w:r>
          </w:p>
        </w:tc>
        <w:tc>
          <w:tcPr>
            <w:tcW w:type="dxa" w:w="2409"/>
          </w:tcPr>
          <w:p>
            <w:pPr>
              <w:pStyle w:val="Compact"/>
              <w:jc w:val="left"/>
            </w:pPr>
            <w:r>
              <w:rPr>
                <w:sz w:val="19"/>
              </w:rPr>
              <w:t xml:space="preserve">On Ivory 5.9:1</w:t>
            </w:r>
          </w:p>
        </w:tc>
      </w:tr>
      <w:tr>
        <w:tc>
          <w:tcPr>
            <w:tcW w:type="dxa" w:w="2409"/>
          </w:tcPr>
          <w:p>
            <w:pPr>
              <w:pStyle w:val="Compact"/>
              <w:jc w:val="left"/>
            </w:pPr>
            <w:r>
              <w:rPr>
                <w:sz w:val="19"/>
              </w:rPr>
              <w:t xml:space="preserve">Ivory</w:t>
            </w:r>
          </w:p>
        </w:tc>
        <w:tc>
          <w:tcPr>
            <w:tcW w:type="dxa" w:w="2409"/>
          </w:tcPr>
          <w:p>
            <w:pPr>
              <w:pStyle w:val="Compact"/>
              <w:jc w:val="left"/>
            </w:pPr>
            <w:r>
              <w:rPr>
                <w:sz w:val="19"/>
              </w:rPr>
              <w:t xml:space="preserve">#FBF8F1</w:t>
            </w:r>
          </w:p>
        </w:tc>
        <w:tc>
          <w:tcPr>
            <w:tcW w:type="dxa" w:w="2409"/>
          </w:tcPr>
          <w:p>
            <w:pPr>
              <w:pStyle w:val="Compact"/>
              <w:jc w:val="left"/>
            </w:pPr>
            <w:r>
              <w:rPr>
                <w:sz w:val="19"/>
              </w:rPr>
              <w:t xml:space="preserve">Page background</w:t>
            </w:r>
          </w:p>
        </w:tc>
        <w:tc>
          <w:tcPr>
            <w:tcW w:type="dxa" w:w="2409"/>
          </w:tcPr>
          <w:p>
            <w:pPr>
              <w:pStyle w:val="Compact"/>
            </w:pPr>
          </w:p>
        </w:tc>
      </w:tr>
      <w:tr>
        <w:tc>
          <w:tcPr>
            <w:tcW w:type="dxa" w:w="2409"/>
          </w:tcPr>
          <w:p>
            <w:pPr>
              <w:pStyle w:val="Compact"/>
              <w:jc w:val="left"/>
            </w:pPr>
            <w:r>
              <w:rPr>
                <w:sz w:val="19"/>
              </w:rPr>
              <w:t xml:space="preserve">Ink</w:t>
            </w:r>
          </w:p>
        </w:tc>
        <w:tc>
          <w:tcPr>
            <w:tcW w:type="dxa" w:w="2409"/>
          </w:tcPr>
          <w:p>
            <w:pPr>
              <w:pStyle w:val="Compact"/>
              <w:jc w:val="left"/>
            </w:pPr>
            <w:r>
              <w:rPr>
                <w:sz w:val="19"/>
              </w:rPr>
              <w:t xml:space="preserve">#1B2430</w:t>
            </w:r>
          </w:p>
        </w:tc>
        <w:tc>
          <w:tcPr>
            <w:tcW w:type="dxa" w:w="2409"/>
          </w:tcPr>
          <w:p>
            <w:pPr>
              <w:pStyle w:val="Compact"/>
              <w:jc w:val="left"/>
            </w:pPr>
            <w:r>
              <w:rPr>
                <w:sz w:val="19"/>
              </w:rPr>
              <w:t xml:space="preserve">Body text</w:t>
            </w:r>
          </w:p>
        </w:tc>
        <w:tc>
          <w:tcPr>
            <w:tcW w:type="dxa" w:w="2409"/>
          </w:tcPr>
          <w:p>
            <w:pPr>
              <w:pStyle w:val="Compact"/>
              <w:jc w:val="left"/>
            </w:pPr>
            <w:r>
              <w:rPr>
                <w:sz w:val="19"/>
              </w:rPr>
              <w:t xml:space="preserve">On Ivory 14.8:1</w:t>
            </w:r>
          </w:p>
        </w:tc>
      </w:tr>
      <w:tr>
        <w:tc>
          <w:tcPr>
            <w:tcW w:type="dxa" w:w="2409"/>
          </w:tcPr>
          <w:p>
            <w:pPr>
              <w:pStyle w:val="Compact"/>
              <w:jc w:val="left"/>
            </w:pPr>
            <w:r>
              <w:rPr>
                <w:sz w:val="19"/>
              </w:rPr>
              <w:t xml:space="preserve">Stone</w:t>
            </w:r>
          </w:p>
        </w:tc>
        <w:tc>
          <w:tcPr>
            <w:tcW w:type="dxa" w:w="2409"/>
          </w:tcPr>
          <w:p>
            <w:pPr>
              <w:pStyle w:val="Compact"/>
              <w:jc w:val="left"/>
            </w:pPr>
            <w:r>
              <w:rPr>
                <w:sz w:val="19"/>
              </w:rPr>
              <w:t xml:space="preserve">#E5E0D5</w:t>
            </w:r>
          </w:p>
        </w:tc>
        <w:tc>
          <w:tcPr>
            <w:tcW w:type="dxa" w:w="2409"/>
          </w:tcPr>
          <w:p>
            <w:pPr>
              <w:pStyle w:val="Compact"/>
              <w:jc w:val="left"/>
            </w:pPr>
            <w:r>
              <w:rPr>
                <w:sz w:val="19"/>
              </w:rPr>
              <w:t xml:space="preserve">Borders, dividers</w:t>
            </w:r>
          </w:p>
        </w:tc>
        <w:tc>
          <w:tcPr>
            <w:tcW w:type="dxa" w:w="2409"/>
          </w:tcPr>
          <w:p>
            <w:pPr>
              <w:pStyle w:val="Compact"/>
            </w:pPr>
          </w:p>
        </w:tc>
      </w:tr>
      <w:tr>
        <w:tc>
          <w:tcPr>
            <w:tcW w:type="dxa" w:w="2409"/>
          </w:tcPr>
          <w:p>
            <w:pPr>
              <w:pStyle w:val="Compact"/>
              <w:jc w:val="left"/>
            </w:pPr>
            <w:r>
              <w:rPr>
                <w:sz w:val="19"/>
              </w:rPr>
              <w:t xml:space="preserve">Success / Danger</w:t>
            </w:r>
          </w:p>
        </w:tc>
        <w:tc>
          <w:tcPr>
            <w:tcW w:type="dxa" w:w="2409"/>
          </w:tcPr>
          <w:p>
            <w:pPr>
              <w:pStyle w:val="Compact"/>
              <w:jc w:val="left"/>
            </w:pPr>
            <w:r>
              <w:rPr>
                <w:sz w:val="19"/>
              </w:rPr>
              <w:t xml:space="preserve">#1E7A46 / #B42318</w:t>
            </w:r>
          </w:p>
        </w:tc>
        <w:tc>
          <w:tcPr>
            <w:tcW w:type="dxa" w:w="2409"/>
          </w:tcPr>
          <w:p>
            <w:pPr>
              <w:pStyle w:val="Compact"/>
              <w:jc w:val="left"/>
            </w:pPr>
            <w:r>
              <w:rPr>
                <w:sz w:val="19"/>
              </w:rPr>
              <w:t xml:space="preserve">Status</w:t>
            </w:r>
          </w:p>
        </w:tc>
        <w:tc>
          <w:tcPr>
            <w:tcW w:type="dxa" w:w="2409"/>
          </w:tcPr>
          <w:p>
            <w:pPr>
              <w:pStyle w:val="Compact"/>
              <w:jc w:val="left"/>
            </w:pPr>
            <w:r>
              <w:rPr>
                <w:sz w:val="19"/>
              </w:rPr>
              <w:t xml:space="preserve">White on each 5.4 / 6.6:1</w:t>
            </w:r>
          </w:p>
        </w:tc>
      </w:tr>
      <w:tr>
        <w:tc>
          <w:tcPr>
            <w:tcW w:type="dxa" w:w="2409"/>
          </w:tcPr>
          <w:p>
            <w:pPr>
              <w:pStyle w:val="Compact"/>
              <w:jc w:val="left"/>
            </w:pPr>
            <w:r>
              <w:rPr>
                <w:sz w:val="19"/>
              </w:rPr>
              <w:t xml:space="preserve">Medical</w:t>
            </w:r>
          </w:p>
        </w:tc>
        <w:tc>
          <w:tcPr>
            <w:tcW w:type="dxa" w:w="2409"/>
          </w:tcPr>
          <w:p>
            <w:pPr>
              <w:pStyle w:val="Compact"/>
              <w:jc w:val="left"/>
            </w:pPr>
            <w:r>
              <w:rPr>
                <w:sz w:val="19"/>
              </w:rPr>
              <w:t xml:space="preserve">#0F766E</w:t>
            </w:r>
          </w:p>
        </w:tc>
        <w:tc>
          <w:tcPr>
            <w:tcW w:type="dxa" w:w="2409"/>
          </w:tcPr>
          <w:p>
            <w:pPr>
              <w:pStyle w:val="Compact"/>
              <w:jc w:val="left"/>
            </w:pPr>
            <w:r>
              <w:rPr>
                <w:sz w:val="19"/>
              </w:rPr>
              <w:t xml:space="preserve">School accent</w:t>
            </w:r>
          </w:p>
        </w:tc>
        <w:tc>
          <w:tcPr>
            <w:tcW w:type="dxa" w:w="2409"/>
          </w:tcPr>
          <w:p>
            <w:pPr>
              <w:pStyle w:val="Compact"/>
              <w:jc w:val="left"/>
            </w:pPr>
            <w:r>
              <w:rPr>
                <w:sz w:val="19"/>
              </w:rPr>
              <w:t xml:space="preserve">White on it 5.5:1</w:t>
            </w:r>
          </w:p>
        </w:tc>
      </w:tr>
      <w:tr>
        <w:tc>
          <w:tcPr>
            <w:tcW w:type="dxa" w:w="2409"/>
          </w:tcPr>
          <w:p>
            <w:pPr>
              <w:pStyle w:val="Compact"/>
              <w:jc w:val="left"/>
            </w:pPr>
            <w:r>
              <w:rPr>
                <w:sz w:val="19"/>
              </w:rPr>
              <w:t xml:space="preserve">Hospitality</w:t>
            </w:r>
          </w:p>
        </w:tc>
        <w:tc>
          <w:tcPr>
            <w:tcW w:type="dxa" w:w="2409"/>
          </w:tcPr>
          <w:p>
            <w:pPr>
              <w:pStyle w:val="Compact"/>
              <w:jc w:val="left"/>
            </w:pPr>
            <w:r>
              <w:rPr>
                <w:sz w:val="19"/>
              </w:rPr>
              <w:t xml:space="preserve">#B45309</w:t>
            </w:r>
          </w:p>
        </w:tc>
        <w:tc>
          <w:tcPr>
            <w:tcW w:type="dxa" w:w="2409"/>
          </w:tcPr>
          <w:p>
            <w:pPr>
              <w:pStyle w:val="Compact"/>
              <w:jc w:val="left"/>
            </w:pPr>
            <w:r>
              <w:rPr>
                <w:sz w:val="19"/>
              </w:rPr>
              <w:t xml:space="preserve">School accent</w:t>
            </w:r>
          </w:p>
        </w:tc>
        <w:tc>
          <w:tcPr>
            <w:tcW w:type="dxa" w:w="2409"/>
          </w:tcPr>
          <w:p>
            <w:pPr>
              <w:pStyle w:val="Compact"/>
              <w:jc w:val="left"/>
            </w:pPr>
            <w:r>
              <w:rPr>
                <w:sz w:val="19"/>
              </w:rPr>
              <w:t xml:space="preserve">5.0:1</w:t>
            </w:r>
          </w:p>
        </w:tc>
      </w:tr>
      <w:tr>
        <w:tc>
          <w:tcPr>
            <w:tcW w:type="dxa" w:w="2409"/>
          </w:tcPr>
          <w:p>
            <w:pPr>
              <w:pStyle w:val="Compact"/>
              <w:jc w:val="left"/>
            </w:pPr>
            <w:r>
              <w:rPr>
                <w:sz w:val="19"/>
              </w:rPr>
              <w:t xml:space="preserve">ICT</w:t>
            </w:r>
          </w:p>
        </w:tc>
        <w:tc>
          <w:tcPr>
            <w:tcW w:type="dxa" w:w="2409"/>
          </w:tcPr>
          <w:p>
            <w:pPr>
              <w:pStyle w:val="Compact"/>
              <w:jc w:val="left"/>
            </w:pPr>
            <w:r>
              <w:rPr>
                <w:sz w:val="19"/>
              </w:rPr>
              <w:t xml:space="preserve">#6D28D9</w:t>
            </w:r>
          </w:p>
        </w:tc>
        <w:tc>
          <w:tcPr>
            <w:tcW w:type="dxa" w:w="2409"/>
          </w:tcPr>
          <w:p>
            <w:pPr>
              <w:pStyle w:val="Compact"/>
              <w:jc w:val="left"/>
            </w:pPr>
            <w:r>
              <w:rPr>
                <w:sz w:val="19"/>
              </w:rPr>
              <w:t xml:space="preserve">School accent</w:t>
            </w:r>
          </w:p>
        </w:tc>
        <w:tc>
          <w:tcPr>
            <w:tcW w:type="dxa" w:w="2409"/>
          </w:tcPr>
          <w:p>
            <w:pPr>
              <w:pStyle w:val="Compact"/>
              <w:jc w:val="left"/>
            </w:pPr>
            <w:r>
              <w:rPr>
                <w:sz w:val="19"/>
              </w:rPr>
              <w:t xml:space="preserve">7.1:1</w:t>
            </w:r>
          </w:p>
        </w:tc>
      </w:tr>
      <w:tr>
        <w:tc>
          <w:tcPr>
            <w:tcW w:type="dxa" w:w="2409"/>
          </w:tcPr>
          <w:p>
            <w:pPr>
              <w:pStyle w:val="Compact"/>
              <w:jc w:val="left"/>
            </w:pPr>
            <w:r>
              <w:rPr>
                <w:sz w:val="19"/>
              </w:rPr>
              <w:t xml:space="preserve">Business</w:t>
            </w:r>
          </w:p>
        </w:tc>
        <w:tc>
          <w:tcPr>
            <w:tcW w:type="dxa" w:w="2409"/>
          </w:tcPr>
          <w:p>
            <w:pPr>
              <w:pStyle w:val="Compact"/>
              <w:jc w:val="left"/>
            </w:pPr>
            <w:r>
              <w:rPr>
                <w:sz w:val="19"/>
              </w:rPr>
              <w:t xml:space="preserve">#15803D</w:t>
            </w:r>
          </w:p>
        </w:tc>
        <w:tc>
          <w:tcPr>
            <w:tcW w:type="dxa" w:w="2409"/>
          </w:tcPr>
          <w:p>
            <w:pPr>
              <w:pStyle w:val="Compact"/>
              <w:jc w:val="left"/>
            </w:pPr>
            <w:r>
              <w:rPr>
                <w:sz w:val="19"/>
              </w:rPr>
              <w:t xml:space="preserve">School accent</w:t>
            </w:r>
          </w:p>
        </w:tc>
        <w:tc>
          <w:tcPr>
            <w:tcW w:type="dxa" w:w="2409"/>
          </w:tcPr>
          <w:p>
            <w:pPr>
              <w:pStyle w:val="Compact"/>
              <w:jc w:val="left"/>
            </w:pPr>
            <w:r>
              <w:rPr>
                <w:sz w:val="19"/>
              </w:rPr>
              <w:t xml:space="preserve">5.0:1</w:t>
            </w:r>
          </w:p>
        </w:tc>
      </w:tr>
      <w:tr>
        <w:tc>
          <w:tcPr>
            <w:tcW w:type="dxa" w:w="2409"/>
          </w:tcPr>
          <w:p>
            <w:pPr>
              <w:pStyle w:val="Compact"/>
              <w:jc w:val="left"/>
            </w:pPr>
            <w:r>
              <w:rPr>
                <w:sz w:val="19"/>
              </w:rPr>
              <w:t xml:space="preserve">Pool management</w:t>
            </w:r>
          </w:p>
        </w:tc>
        <w:tc>
          <w:tcPr>
            <w:tcW w:type="dxa" w:w="2409"/>
          </w:tcPr>
          <w:p>
            <w:pPr>
              <w:pStyle w:val="Compact"/>
              <w:jc w:val="left"/>
            </w:pPr>
            <w:r>
              <w:rPr>
                <w:sz w:val="19"/>
              </w:rPr>
              <w:t xml:space="preserve">#0369A1</w:t>
            </w:r>
          </w:p>
        </w:tc>
        <w:tc>
          <w:tcPr>
            <w:tcW w:type="dxa" w:w="2409"/>
          </w:tcPr>
          <w:p>
            <w:pPr>
              <w:pStyle w:val="Compact"/>
              <w:jc w:val="left"/>
            </w:pPr>
            <w:r>
              <w:rPr>
                <w:sz w:val="19"/>
              </w:rPr>
              <w:t xml:space="preserve">School accent</w:t>
            </w:r>
          </w:p>
        </w:tc>
        <w:tc>
          <w:tcPr>
            <w:tcW w:type="dxa" w:w="2409"/>
          </w:tcPr>
          <w:p>
            <w:pPr>
              <w:pStyle w:val="Compact"/>
              <w:jc w:val="left"/>
            </w:pPr>
            <w:r>
              <w:rPr>
                <w:sz w:val="19"/>
              </w:rPr>
              <w:t xml:space="preserve">5.9:1</w:t>
            </w:r>
          </w:p>
        </w:tc>
      </w:tr>
    </w:tbl>
    <w:p>
      <w:pPr>
        <w:pStyle w:val="BodyText"/>
      </w:pPr>
      <w:r>
        <w:t xml:space="preserve">School accents colour tags and cards only. They never replace labels, and every status carries an icon and text.</w:t>
      </w:r>
    </w:p>
    <w:bookmarkEnd w:id="47"/>
    <w:bookmarkStart w:id="48" w:name="a-typography-and-layout"/>
    <w:p>
      <w:pPr>
        <w:pStyle w:val="Heading2"/>
      </w:pPr>
      <w:r>
        <w:t xml:space="preserve">14.2a Typography and layout</w:t>
      </w:r>
    </w:p>
    <w:p>
      <w:pPr>
        <w:pStyle w:val="FirstParagraph"/>
      </w:pPr>
      <w:r>
        <w:t xml:space="preserve">Headings in a serif for authority (Newsreader), body in Inter, IDs in IBM Plex Mono, all bundled from fontsource packages so builds do not depend on Google Fonts. Large type, generous spacing, 44 px minimum touch targets, tabular figures for money.</w:t>
      </w:r>
    </w:p>
    <w:bookmarkEnd w:id="48"/>
    <w:bookmarkStart w:id="49" w:name="imagery-and-content-rules"/>
    <w:p>
      <w:pPr>
        <w:pStyle w:val="Heading2"/>
      </w:pPr>
      <w:r>
        <w:t xml:space="preserve">14.3 Imagery and content rules</w:t>
      </w:r>
    </w:p>
    <w:p>
      <w:pPr>
        <w:numPr>
          <w:ilvl w:val="0"/>
          <w:numId w:val="1014"/>
        </w:numPr>
        <w:pStyle w:val="Compact"/>
      </w:pPr>
      <w:r>
        <w:t xml:space="preserve">Real photos supplied by the college, with written consent, compressed and captioned. Until then use neutral placeholders clearly marked as placeholders.</w:t>
      </w:r>
    </w:p>
    <w:p>
      <w:pPr>
        <w:numPr>
          <w:ilvl w:val="0"/>
          <w:numId w:val="1014"/>
        </w:numPr>
        <w:pStyle w:val="Compact"/>
      </w:pPr>
      <w:r>
        <w:t xml:space="preserve">No AI-generated people presented as real students. No stock photos of other institutions.</w:t>
      </w:r>
    </w:p>
    <w:p>
      <w:pPr>
        <w:numPr>
          <w:ilvl w:val="0"/>
          <w:numId w:val="1014"/>
        </w:numPr>
        <w:pStyle w:val="Compact"/>
      </w:pPr>
      <w:r>
        <w:t xml:space="preserve">No statistics, rankings or superlatives without evidence and a verification date.</w:t>
      </w:r>
    </w:p>
    <w:p>
      <w:pPr>
        <w:numPr>
          <w:ilvl w:val="0"/>
          <w:numId w:val="1014"/>
        </w:numPr>
        <w:pStyle w:val="Compact"/>
      </w:pPr>
      <w:r>
        <w:t xml:space="preserve">Plain language, short sentences, no jargon, correct spelling. Every programme page answers: what will I learn, how long, what do I need, what does it cost, when do I start, how do I apply.</w:t>
      </w:r>
    </w:p>
    <w:bookmarkEnd w:id="49"/>
    <w:bookmarkStart w:id="50" w:name="accessibility-and-performance-targets"/>
    <w:p>
      <w:pPr>
        <w:pStyle w:val="Heading2"/>
      </w:pPr>
      <w:r>
        <w:t xml:space="preserve">14.4 Accessibility and performance targets</w:t>
      </w:r>
    </w:p>
    <w:p>
      <w:pPr>
        <w:pStyle w:val="FirstParagraph"/>
      </w:pPr>
      <w:r>
        <w:t xml:space="preserve">WCAG 2.1 AA, keyboard navigation, visible focus, skip link, labelled forms with clear errors, reduced-motion support. Public pages: Largest Contentful Paint under 2.5 s on a mid-range phone on 4G, JavaScript for a content page under about 150 KB compressed, images in modern formats with responsive sizes.</w:t>
      </w:r>
    </w:p>
    <w:bookmarkEnd w:id="50"/>
    <w:bookmarkEnd w:id="51"/>
    <w:bookmarkStart w:id="52" w:name="delivery-phases-and-milestones"/>
    <w:p>
      <w:pPr>
        <w:pStyle w:val="Heading1"/>
      </w:pPr>
      <w:r>
        <w:t xml:space="preserve">15. Delivery phases and milestones</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2640"/>
        <w:gridCol w:w="2640"/>
        <w:gridCol w:w="2640"/>
      </w:tblGrid>
      <w:tr>
        <w:trPr>
          <w:tblHeader w:val="true"/>
          <w:tblHeader w:val="true"/>
        </w:trPr>
        <w:tc>
          <w:tcPr>
            <w:tcW w:type="dxa" w:w="1134"/>
            <w:shd w:val="clear" w:fill="0A1F4D"/>
          </w:tcPr>
          <w:p>
            <w:pPr>
              <w:pStyle w:val="Compact"/>
              <w:jc w:val="left"/>
            </w:pPr>
            <w:r>
              <w:rPr>
                <w:b/>
                <w:color w:val="FFFFFF"/>
              </w:rPr>
              <w:t xml:space="preserve">Milestone</w:t>
            </w:r>
          </w:p>
        </w:tc>
        <w:tc>
          <w:tcPr>
            <w:tcW w:type="dxa" w:w="3685"/>
            <w:shd w:val="clear" w:fill="0A1F4D"/>
          </w:tcPr>
          <w:p>
            <w:pPr>
              <w:pStyle w:val="Compact"/>
              <w:jc w:val="left"/>
            </w:pPr>
            <w:r>
              <w:rPr>
                <w:b/>
                <w:color w:val="FFFFFF"/>
              </w:rPr>
              <w:t xml:space="preserve">Scope</w:t>
            </w:r>
          </w:p>
        </w:tc>
        <w:tc>
          <w:tcPr>
            <w:tcW w:type="dxa" w:w="4819"/>
            <w:shd w:val="clear" w:fill="0A1F4D"/>
          </w:tcPr>
          <w:p>
            <w:pPr>
              <w:pStyle w:val="Compact"/>
              <w:jc w:val="left"/>
            </w:pPr>
            <w:r>
              <w:rPr>
                <w:b/>
                <w:color w:val="FFFFFF"/>
              </w:rPr>
              <w:t xml:space="preserve">Outcome</w:t>
            </w:r>
          </w:p>
        </w:tc>
      </w:tr>
      <w:tr>
        <w:tc>
          <w:tcPr>
            <w:tcW w:type="dxa" w:w="1134"/>
          </w:tcPr>
          <w:p>
            <w:pPr>
              <w:pStyle w:val="Compact"/>
              <w:jc w:val="left"/>
            </w:pPr>
            <w:r>
              <w:rPr>
                <w:sz w:val="19"/>
              </w:rPr>
              <w:t xml:space="preserve">M0 Discovery</w:t>
            </w:r>
          </w:p>
        </w:tc>
        <w:tc>
          <w:tcPr>
            <w:tcW w:type="dxa" w:w="3685"/>
          </w:tcPr>
          <w:p>
            <w:pPr>
              <w:pStyle w:val="Compact"/>
              <w:jc w:val="left"/>
            </w:pPr>
            <w:r>
              <w:rPr>
                <w:sz w:val="19"/>
              </w:rPr>
              <w:t xml:space="preserve">Orientation, architecture, data model, design system, content inventory.</w:t>
            </w:r>
          </w:p>
        </w:tc>
        <w:tc>
          <w:tcPr>
            <w:tcW w:type="dxa" w:w="4819"/>
          </w:tcPr>
          <w:p>
            <w:pPr>
              <w:pStyle w:val="Compact"/>
              <w:jc w:val="left"/>
            </w:pPr>
            <w:r>
              <w:rPr>
                <w:sz w:val="19"/>
              </w:rPr>
              <w:t xml:space="preserve">Approved plan and content checklist.</w:t>
            </w:r>
          </w:p>
        </w:tc>
      </w:tr>
      <w:tr>
        <w:tc>
          <w:tcPr>
            <w:tcW w:type="dxa" w:w="1134"/>
          </w:tcPr>
          <w:p>
            <w:pPr>
              <w:pStyle w:val="Compact"/>
              <w:jc w:val="left"/>
            </w:pPr>
            <w:r>
              <w:rPr>
                <w:sz w:val="19"/>
              </w:rPr>
              <w:t xml:space="preserve">M1 Public site and applications</w:t>
            </w:r>
          </w:p>
        </w:tc>
        <w:tc>
          <w:tcPr>
            <w:tcW w:type="dxa" w:w="3685"/>
          </w:tcPr>
          <w:p>
            <w:pPr>
              <w:pStyle w:val="Compact"/>
              <w:jc w:val="left"/>
            </w:pPr>
            <w:r>
              <w:rPr>
                <w:sz w:val="19"/>
              </w:rPr>
              <w:t xml:space="preserve">Scaffold, design system, all public pages, enquiries, application wizard, staff admissions and content management.</w:t>
            </w:r>
          </w:p>
        </w:tc>
        <w:tc>
          <w:tcPr>
            <w:tcW w:type="dxa" w:w="4819"/>
          </w:tcPr>
          <w:p>
            <w:pPr>
              <w:pStyle w:val="Compact"/>
              <w:jc w:val="left"/>
            </w:pPr>
            <w:r>
              <w:rPr>
                <w:bCs/>
                <w:b/>
                <w:sz w:val="19"/>
              </w:rPr>
              <w:t xml:space="preserve">Launchable.</w:t>
            </w:r>
            <w:r>
              <w:rPr>
                <w:sz w:val="19"/>
              </w:rPr>
              <w:t xml:space="preserve"> </w:t>
            </w:r>
            <w:r>
              <w:rPr>
                <w:sz w:val="19"/>
              </w:rPr>
              <w:t xml:space="preserve">The college can publish and receive applications.</w:t>
            </w:r>
          </w:p>
        </w:tc>
      </w:tr>
      <w:tr>
        <w:tc>
          <w:tcPr>
            <w:tcW w:type="dxa" w:w="1134"/>
          </w:tcPr>
          <w:p>
            <w:pPr>
              <w:pStyle w:val="Compact"/>
              <w:jc w:val="left"/>
            </w:pPr>
            <w:r>
              <w:rPr>
                <w:sz w:val="19"/>
              </w:rPr>
              <w:t xml:space="preserve">M2 Student and staff portals</w:t>
            </w:r>
          </w:p>
        </w:tc>
        <w:tc>
          <w:tcPr>
            <w:tcW w:type="dxa" w:w="3685"/>
          </w:tcPr>
          <w:p>
            <w:pPr>
              <w:pStyle w:val="Compact"/>
              <w:jc w:val="left"/>
            </w:pPr>
            <w:r>
              <w:rPr>
                <w:sz w:val="19"/>
              </w:rPr>
              <w:t xml:space="preserve">Student records, student portal, academics, results, notices.</w:t>
            </w:r>
          </w:p>
        </w:tc>
        <w:tc>
          <w:tcPr>
            <w:tcW w:type="dxa" w:w="4819"/>
          </w:tcPr>
          <w:p>
            <w:pPr>
              <w:pStyle w:val="Compact"/>
              <w:jc w:val="left"/>
            </w:pPr>
            <w:r>
              <w:rPr>
                <w:sz w:val="19"/>
              </w:rPr>
              <w:t xml:space="preserve">Students and trainers use the portals.</w:t>
            </w:r>
          </w:p>
        </w:tc>
      </w:tr>
      <w:tr>
        <w:tc>
          <w:tcPr>
            <w:tcW w:type="dxa" w:w="1134"/>
          </w:tcPr>
          <w:p>
            <w:pPr>
              <w:pStyle w:val="Compact"/>
              <w:jc w:val="left"/>
            </w:pPr>
            <w:r>
              <w:rPr>
                <w:sz w:val="19"/>
              </w:rPr>
              <w:t xml:space="preserve">M3 Finance</w:t>
            </w:r>
          </w:p>
        </w:tc>
        <w:tc>
          <w:tcPr>
            <w:tcW w:type="dxa" w:w="3685"/>
          </w:tcPr>
          <w:p>
            <w:pPr>
              <w:pStyle w:val="Compact"/>
              <w:jc w:val="left"/>
            </w:pPr>
            <w:r>
              <w:rPr>
                <w:sz w:val="19"/>
              </w:rPr>
              <w:t xml:space="preserve">Fee structures, invoices, receipts, statements, M-Pesa after DG-02.</w:t>
            </w:r>
          </w:p>
        </w:tc>
        <w:tc>
          <w:tcPr>
            <w:tcW w:type="dxa" w:w="4819"/>
          </w:tcPr>
          <w:p>
            <w:pPr>
              <w:pStyle w:val="Compact"/>
              <w:jc w:val="left"/>
            </w:pPr>
            <w:r>
              <w:rPr>
                <w:sz w:val="19"/>
              </w:rPr>
              <w:t xml:space="preserve">Fees managed online.</w:t>
            </w:r>
          </w:p>
        </w:tc>
      </w:tr>
      <w:tr>
        <w:tc>
          <w:tcPr>
            <w:tcW w:type="dxa" w:w="1134"/>
          </w:tcPr>
          <w:p>
            <w:pPr>
              <w:pStyle w:val="Compact"/>
              <w:jc w:val="left"/>
            </w:pPr>
            <w:r>
              <w:rPr>
                <w:sz w:val="19"/>
              </w:rPr>
              <w:t xml:space="preserve">M4 Hardening and go-live</w:t>
            </w:r>
          </w:p>
        </w:tc>
        <w:tc>
          <w:tcPr>
            <w:tcW w:type="dxa" w:w="3685"/>
          </w:tcPr>
          <w:p>
            <w:pPr>
              <w:pStyle w:val="Compact"/>
              <w:jc w:val="left"/>
            </w:pPr>
            <w:r>
              <w:rPr>
                <w:sz w:val="19"/>
              </w:rPr>
              <w:t xml:space="preserve">Security, data protection, performance, backups, deployment, training.</w:t>
            </w:r>
          </w:p>
        </w:tc>
        <w:tc>
          <w:tcPr>
            <w:tcW w:type="dxa" w:w="4819"/>
          </w:tcPr>
          <w:p>
            <w:pPr>
              <w:pStyle w:val="Compact"/>
              <w:jc w:val="left"/>
            </w:pPr>
            <w:r>
              <w:rPr>
                <w:sz w:val="19"/>
              </w:rPr>
              <w:t xml:space="preserve">Production launch and handover.</w:t>
            </w:r>
          </w:p>
        </w:tc>
      </w:tr>
    </w:tbl>
    <w:p>
      <w:pPr>
        <w:pStyle w:val="BodyText"/>
      </w:pPr>
      <w:r>
        <w:t xml:space="preserve">No fixed calendar is promised until discovery questions are answered. Launch M1 as early as the content is ready, then add portals.</w:t>
      </w:r>
    </w:p>
    <w:bookmarkEnd w:id="52"/>
    <w:bookmarkStart w:id="53" w:name="acceptance-criteria"/>
    <w:p>
      <w:pPr>
        <w:pStyle w:val="Heading1"/>
      </w:pPr>
      <w:r>
        <w:t xml:space="preserve">16. Acceptance criteria</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ID</w:t>
            </w:r>
          </w:p>
        </w:tc>
        <w:tc>
          <w:tcPr>
            <w:tcW w:type="dxa" w:w="7824"/>
            <w:shd w:val="clear" w:fill="0A1F4D"/>
          </w:tcPr>
          <w:p>
            <w:pPr>
              <w:pStyle w:val="Compact"/>
              <w:jc w:val="left"/>
            </w:pPr>
            <w:r>
              <w:rPr>
                <w:b/>
                <w:color w:val="FFFFFF"/>
              </w:rPr>
              <w:t xml:space="preserve">Criterion</w:t>
            </w:r>
          </w:p>
        </w:tc>
      </w:tr>
      <w:tr>
        <w:tc>
          <w:tcPr>
            <w:tcW w:type="dxa" w:w="1814"/>
          </w:tcPr>
          <w:p>
            <w:pPr>
              <w:pStyle w:val="Compact"/>
              <w:jc w:val="left"/>
            </w:pPr>
            <w:r>
              <w:rPr>
                <w:sz w:val="19"/>
              </w:rPr>
              <w:t xml:space="preserve">AC-01</w:t>
            </w:r>
          </w:p>
        </w:tc>
        <w:tc>
          <w:tcPr>
            <w:tcW w:type="dxa" w:w="7824"/>
          </w:tcPr>
          <w:p>
            <w:pPr>
              <w:pStyle w:val="Compact"/>
              <w:jc w:val="left"/>
            </w:pPr>
            <w:r>
              <w:rPr>
                <w:sz w:val="19"/>
              </w:rPr>
              <w:t xml:space="preserve">Every public page passes automated accessibility checks and keyboard navigation, with no critical issues.</w:t>
            </w:r>
          </w:p>
        </w:tc>
      </w:tr>
      <w:tr>
        <w:tc>
          <w:tcPr>
            <w:tcW w:type="dxa" w:w="1814"/>
          </w:tcPr>
          <w:p>
            <w:pPr>
              <w:pStyle w:val="Compact"/>
              <w:jc w:val="left"/>
            </w:pPr>
            <w:r>
              <w:rPr>
                <w:sz w:val="19"/>
              </w:rPr>
              <w:t xml:space="preserve">AC-02</w:t>
            </w:r>
          </w:p>
        </w:tc>
        <w:tc>
          <w:tcPr>
            <w:tcW w:type="dxa" w:w="7824"/>
          </w:tcPr>
          <w:p>
            <w:pPr>
              <w:pStyle w:val="Compact"/>
              <w:jc w:val="left"/>
            </w:pPr>
            <w:r>
              <w:rPr>
                <w:sz w:val="19"/>
              </w:rPr>
              <w:t xml:space="preserve">Lighthouse mobile scores of at least 90 for performance, accessibility, best practice and SEO on key pages (home, programme, admissions).</w:t>
            </w:r>
          </w:p>
        </w:tc>
      </w:tr>
      <w:tr>
        <w:tc>
          <w:tcPr>
            <w:tcW w:type="dxa" w:w="1814"/>
          </w:tcPr>
          <w:p>
            <w:pPr>
              <w:pStyle w:val="Compact"/>
              <w:jc w:val="left"/>
            </w:pPr>
            <w:r>
              <w:rPr>
                <w:sz w:val="19"/>
              </w:rPr>
              <w:t xml:space="preserve">AC-03</w:t>
            </w:r>
          </w:p>
        </w:tc>
        <w:tc>
          <w:tcPr>
            <w:tcW w:type="dxa" w:w="7824"/>
          </w:tcPr>
          <w:p>
            <w:pPr>
              <w:pStyle w:val="Compact"/>
              <w:jc w:val="left"/>
            </w:pPr>
            <w:r>
              <w:rPr>
                <w:sz w:val="19"/>
              </w:rPr>
              <w:t xml:space="preserve">A visitor can find a programme, see fees, requirements and intake, and start an application in no more than four clicks from the home page.</w:t>
            </w:r>
          </w:p>
        </w:tc>
      </w:tr>
      <w:tr>
        <w:tc>
          <w:tcPr>
            <w:tcW w:type="dxa" w:w="1814"/>
          </w:tcPr>
          <w:p>
            <w:pPr>
              <w:pStyle w:val="Compact"/>
              <w:jc w:val="left"/>
            </w:pPr>
            <w:r>
              <w:rPr>
                <w:sz w:val="19"/>
              </w:rPr>
              <w:t xml:space="preserve">AC-04</w:t>
            </w:r>
          </w:p>
        </w:tc>
        <w:tc>
          <w:tcPr>
            <w:tcW w:type="dxa" w:w="7824"/>
          </w:tcPr>
          <w:p>
            <w:pPr>
              <w:pStyle w:val="Compact"/>
              <w:jc w:val="left"/>
            </w:pPr>
            <w:r>
              <w:rPr>
                <w:sz w:val="19"/>
              </w:rPr>
              <w:t xml:space="preserve">An application can be saved, resumed, submitted once (a retry never creates a duplicate), and tracked by reference number.</w:t>
            </w:r>
          </w:p>
        </w:tc>
      </w:tr>
      <w:tr>
        <w:tc>
          <w:tcPr>
            <w:tcW w:type="dxa" w:w="1814"/>
          </w:tcPr>
          <w:p>
            <w:pPr>
              <w:pStyle w:val="Compact"/>
              <w:jc w:val="left"/>
            </w:pPr>
            <w:r>
              <w:rPr>
                <w:sz w:val="19"/>
              </w:rPr>
              <w:t xml:space="preserve">AC-05</w:t>
            </w:r>
          </w:p>
        </w:tc>
        <w:tc>
          <w:tcPr>
            <w:tcW w:type="dxa" w:w="7824"/>
          </w:tcPr>
          <w:p>
            <w:pPr>
              <w:pStyle w:val="Compact"/>
              <w:jc w:val="left"/>
            </w:pPr>
            <w:r>
              <w:rPr>
                <w:sz w:val="19"/>
              </w:rPr>
              <w:t xml:space="preserve">Uploaded documents are private, type and size checked, and reachable only by authorised staff through short-lived links.</w:t>
            </w:r>
          </w:p>
        </w:tc>
      </w:tr>
      <w:tr>
        <w:tc>
          <w:tcPr>
            <w:tcW w:type="dxa" w:w="1814"/>
          </w:tcPr>
          <w:p>
            <w:pPr>
              <w:pStyle w:val="Compact"/>
              <w:jc w:val="left"/>
            </w:pPr>
            <w:r>
              <w:rPr>
                <w:sz w:val="19"/>
              </w:rPr>
              <w:t xml:space="preserve">AC-06</w:t>
            </w:r>
          </w:p>
        </w:tc>
        <w:tc>
          <w:tcPr>
            <w:tcW w:type="dxa" w:w="7824"/>
          </w:tcPr>
          <w:p>
            <w:pPr>
              <w:pStyle w:val="Compact"/>
              <w:jc w:val="left"/>
            </w:pPr>
            <w:r>
              <w:rPr>
                <w:sz w:val="19"/>
              </w:rPr>
              <w:t xml:space="preserve">Staff can edit programmes, intakes, fees, news, events and FAQs without a developer, and published changes appear on the site within the cache period.</w:t>
            </w:r>
          </w:p>
        </w:tc>
      </w:tr>
      <w:tr>
        <w:tc>
          <w:tcPr>
            <w:tcW w:type="dxa" w:w="1814"/>
          </w:tcPr>
          <w:p>
            <w:pPr>
              <w:pStyle w:val="Compact"/>
              <w:jc w:val="left"/>
            </w:pPr>
            <w:r>
              <w:rPr>
                <w:sz w:val="19"/>
              </w:rPr>
              <w:t xml:space="preserve">AC-07</w:t>
            </w:r>
          </w:p>
        </w:tc>
        <w:tc>
          <w:tcPr>
            <w:tcW w:type="dxa" w:w="7824"/>
          </w:tcPr>
          <w:p>
            <w:pPr>
              <w:pStyle w:val="Compact"/>
              <w:jc w:val="left"/>
            </w:pPr>
            <w:r>
              <w:rPr>
                <w:sz w:val="19"/>
              </w:rPr>
              <w:t xml:space="preserve">The backend denies unauthorised API calls even if the frontend is bypassed.</w:t>
            </w:r>
          </w:p>
        </w:tc>
      </w:tr>
      <w:tr>
        <w:tc>
          <w:tcPr>
            <w:tcW w:type="dxa" w:w="1814"/>
          </w:tcPr>
          <w:p>
            <w:pPr>
              <w:pStyle w:val="Compact"/>
              <w:jc w:val="left"/>
            </w:pPr>
            <w:r>
              <w:rPr>
                <w:sz w:val="19"/>
              </w:rPr>
              <w:t xml:space="preserve">AC-08</w:t>
            </w:r>
          </w:p>
        </w:tc>
        <w:tc>
          <w:tcPr>
            <w:tcW w:type="dxa" w:w="7824"/>
          </w:tcPr>
          <w:p>
            <w:pPr>
              <w:pStyle w:val="Compact"/>
              <w:jc w:val="left"/>
            </w:pPr>
            <w:r>
              <w:rPr>
                <w:sz w:val="19"/>
              </w:rPr>
              <w:t xml:space="preserve">A student sees only their own data. A trainer sees only assigned units.</w:t>
            </w:r>
          </w:p>
        </w:tc>
      </w:tr>
      <w:tr>
        <w:tc>
          <w:tcPr>
            <w:tcW w:type="dxa" w:w="1814"/>
          </w:tcPr>
          <w:p>
            <w:pPr>
              <w:pStyle w:val="Compact"/>
              <w:jc w:val="left"/>
            </w:pPr>
            <w:r>
              <w:rPr>
                <w:sz w:val="19"/>
              </w:rPr>
              <w:t xml:space="preserve">AC-09</w:t>
            </w:r>
          </w:p>
        </w:tc>
        <w:tc>
          <w:tcPr>
            <w:tcW w:type="dxa" w:w="7824"/>
          </w:tcPr>
          <w:p>
            <w:pPr>
              <w:pStyle w:val="Compact"/>
              <w:jc w:val="left"/>
            </w:pPr>
            <w:r>
              <w:rPr>
                <w:sz w:val="19"/>
              </w:rPr>
              <w:t xml:space="preserve">Results are visible to students only after approval and release, and every change is audited.</w:t>
            </w:r>
          </w:p>
        </w:tc>
      </w:tr>
      <w:tr>
        <w:tc>
          <w:tcPr>
            <w:tcW w:type="dxa" w:w="1814"/>
          </w:tcPr>
          <w:p>
            <w:pPr>
              <w:pStyle w:val="Compact"/>
              <w:jc w:val="left"/>
            </w:pPr>
            <w:r>
              <w:rPr>
                <w:sz w:val="19"/>
              </w:rPr>
              <w:t xml:space="preserve">AC-10</w:t>
            </w:r>
          </w:p>
        </w:tc>
        <w:tc>
          <w:tcPr>
            <w:tcW w:type="dxa" w:w="7824"/>
          </w:tcPr>
          <w:p>
            <w:pPr>
              <w:pStyle w:val="Compact"/>
              <w:jc w:val="left"/>
            </w:pPr>
            <w:r>
              <w:rPr>
                <w:sz w:val="19"/>
              </w:rPr>
              <w:t xml:space="preserve">Fee statements reconcile from invoices, payments and adjustments. No floating point money.</w:t>
            </w:r>
          </w:p>
        </w:tc>
      </w:tr>
      <w:tr>
        <w:tc>
          <w:tcPr>
            <w:tcW w:type="dxa" w:w="1814"/>
          </w:tcPr>
          <w:p>
            <w:pPr>
              <w:pStyle w:val="Compact"/>
              <w:jc w:val="left"/>
            </w:pPr>
            <w:r>
              <w:rPr>
                <w:sz w:val="19"/>
              </w:rPr>
              <w:t xml:space="preserve">AC-11</w:t>
            </w:r>
          </w:p>
        </w:tc>
        <w:tc>
          <w:tcPr>
            <w:tcW w:type="dxa" w:w="7824"/>
          </w:tcPr>
          <w:p>
            <w:pPr>
              <w:pStyle w:val="Compact"/>
              <w:jc w:val="left"/>
            </w:pPr>
            <w:r>
              <w:rPr>
                <w:sz w:val="19"/>
              </w:rPr>
              <w:t xml:space="preserve">M-Pesa status is paid only through the verified flow or finance confirmation.</w:t>
            </w:r>
          </w:p>
        </w:tc>
      </w:tr>
      <w:tr>
        <w:tc>
          <w:tcPr>
            <w:tcW w:type="dxa" w:w="1814"/>
          </w:tcPr>
          <w:p>
            <w:pPr>
              <w:pStyle w:val="Compact"/>
              <w:jc w:val="left"/>
            </w:pPr>
            <w:r>
              <w:rPr>
                <w:sz w:val="19"/>
              </w:rPr>
              <w:t xml:space="preserve">AC-12</w:t>
            </w:r>
          </w:p>
        </w:tc>
        <w:tc>
          <w:tcPr>
            <w:tcW w:type="dxa" w:w="7824"/>
          </w:tcPr>
          <w:p>
            <w:pPr>
              <w:pStyle w:val="Compact"/>
              <w:jc w:val="left"/>
            </w:pPr>
            <w:r>
              <w:rPr>
                <w:sz w:val="19"/>
              </w:rPr>
              <w:t xml:space="preserve">The last active Super Admin cannot be removed, and system.admin cannot be granted through normal role configuration.</w:t>
            </w:r>
          </w:p>
        </w:tc>
      </w:tr>
      <w:tr>
        <w:tc>
          <w:tcPr>
            <w:tcW w:type="dxa" w:w="1814"/>
          </w:tcPr>
          <w:p>
            <w:pPr>
              <w:pStyle w:val="Compact"/>
              <w:jc w:val="left"/>
            </w:pPr>
            <w:r>
              <w:rPr>
                <w:sz w:val="19"/>
              </w:rPr>
              <w:t xml:space="preserve">AC-13</w:t>
            </w:r>
          </w:p>
        </w:tc>
        <w:tc>
          <w:tcPr>
            <w:tcW w:type="dxa" w:w="7824"/>
          </w:tcPr>
          <w:p>
            <w:pPr>
              <w:pStyle w:val="Compact"/>
              <w:jc w:val="left"/>
            </w:pPr>
            <w:r>
              <w:rPr>
                <w:sz w:val="19"/>
              </w:rPr>
              <w:t xml:space="preserve">A privacy notice, consent capture and parental consent for under-18 applicants are live before real applications are accepted.</w:t>
            </w:r>
          </w:p>
        </w:tc>
      </w:tr>
      <w:tr>
        <w:tc>
          <w:tcPr>
            <w:tcW w:type="dxa" w:w="1814"/>
          </w:tcPr>
          <w:p>
            <w:pPr>
              <w:pStyle w:val="Compact"/>
              <w:jc w:val="left"/>
            </w:pPr>
            <w:r>
              <w:rPr>
                <w:sz w:val="19"/>
              </w:rPr>
              <w:t xml:space="preserve">AC-14</w:t>
            </w:r>
          </w:p>
        </w:tc>
        <w:tc>
          <w:tcPr>
            <w:tcW w:type="dxa" w:w="7824"/>
          </w:tcPr>
          <w:p>
            <w:pPr>
              <w:pStyle w:val="Compact"/>
              <w:jc w:val="left"/>
            </w:pPr>
            <w:r>
              <w:rPr>
                <w:sz w:val="19"/>
              </w:rPr>
              <w:t xml:space="preserve">Backups run and a restore has been tested. Production uses HTTPS only and no secrets are committed.</w:t>
            </w:r>
          </w:p>
        </w:tc>
      </w:tr>
      <w:tr>
        <w:tc>
          <w:tcPr>
            <w:tcW w:type="dxa" w:w="1814"/>
          </w:tcPr>
          <w:p>
            <w:pPr>
              <w:pStyle w:val="Compact"/>
              <w:jc w:val="left"/>
            </w:pPr>
            <w:r>
              <w:rPr>
                <w:sz w:val="19"/>
              </w:rPr>
              <w:t xml:space="preserve">AC-15</w:t>
            </w:r>
          </w:p>
        </w:tc>
        <w:tc>
          <w:tcPr>
            <w:tcW w:type="dxa" w:w="7824"/>
          </w:tcPr>
          <w:p>
            <w:pPr>
              <w:pStyle w:val="Compact"/>
              <w:jc w:val="left"/>
            </w:pPr>
            <w:r>
              <w:rPr>
                <w:sz w:val="19"/>
              </w:rPr>
              <w:t xml:space="preserve">Public pages keep serving from cached content when the API is unavailable.</w:t>
            </w:r>
          </w:p>
        </w:tc>
      </w:tr>
      <w:tr>
        <w:tc>
          <w:tcPr>
            <w:tcW w:type="dxa" w:w="1814"/>
          </w:tcPr>
          <w:p>
            <w:pPr>
              <w:pStyle w:val="Compact"/>
              <w:jc w:val="left"/>
            </w:pPr>
            <w:r>
              <w:rPr>
                <w:sz w:val="19"/>
              </w:rPr>
              <w:t xml:space="preserve">AC-16</w:t>
            </w:r>
          </w:p>
        </w:tc>
        <w:tc>
          <w:tcPr>
            <w:tcW w:type="dxa" w:w="7824"/>
          </w:tcPr>
          <w:p>
            <w:pPr>
              <w:pStyle w:val="Compact"/>
              <w:jc w:val="left"/>
            </w:pPr>
            <w:r>
              <w:rPr>
                <w:sz w:val="19"/>
              </w:rPr>
              <w:t xml:space="preserve">No unverified statistic, ranking or accreditation claim appears on any public page.</w:t>
            </w:r>
          </w:p>
        </w:tc>
      </w:tr>
      <w:tr>
        <w:tc>
          <w:tcPr>
            <w:tcW w:type="dxa" w:w="1814"/>
          </w:tcPr>
          <w:p>
            <w:pPr>
              <w:pStyle w:val="Compact"/>
              <w:jc w:val="left"/>
            </w:pPr>
            <w:r>
              <w:rPr>
                <w:sz w:val="19"/>
              </w:rPr>
              <w:t xml:space="preserve">AC-17</w:t>
            </w:r>
          </w:p>
        </w:tc>
        <w:tc>
          <w:tcPr>
            <w:tcW w:type="dxa" w:w="7824"/>
          </w:tcPr>
          <w:p>
            <w:pPr>
              <w:pStyle w:val="Compact"/>
              <w:jc w:val="left"/>
            </w:pPr>
            <w:r>
              <w:rPr>
                <w:sz w:val="19"/>
              </w:rPr>
              <w:t xml:space="preserve">Test data and test users are absent from production.</w:t>
            </w:r>
          </w:p>
        </w:tc>
      </w:tr>
      <w:tr>
        <w:tc>
          <w:tcPr>
            <w:tcW w:type="dxa" w:w="1814"/>
          </w:tcPr>
          <w:p>
            <w:pPr>
              <w:pStyle w:val="Compact"/>
              <w:jc w:val="left"/>
            </w:pPr>
            <w:r>
              <w:rPr>
                <w:sz w:val="19"/>
              </w:rPr>
              <w:t xml:space="preserve">AC-18</w:t>
            </w:r>
          </w:p>
        </w:tc>
        <w:tc>
          <w:tcPr>
            <w:tcW w:type="dxa" w:w="7824"/>
          </w:tcPr>
          <w:p>
            <w:pPr>
              <w:pStyle w:val="Compact"/>
              <w:jc w:val="left"/>
            </w:pPr>
            <w:r>
              <w:rPr>
                <w:sz w:val="19"/>
              </w:rPr>
              <w:t xml:space="preserve">Training, runbooks, known limitations and handover are complete.</w:t>
            </w:r>
          </w:p>
        </w:tc>
      </w:tr>
    </w:tbl>
    <w:bookmarkEnd w:id="53"/>
    <w:bookmarkStart w:id="55" w:name="discovery-questions-with-defaults"/>
    <w:p>
      <w:pPr>
        <w:pStyle w:val="Heading1"/>
      </w:pPr>
      <w:r>
        <w:t xml:space="preserve">17. Discovery questions with defaults</w:t>
      </w:r>
    </w:p>
    <w:p>
      <w:pPr>
        <w:pStyle w:val="FirstParagraph"/>
      </w:pPr>
      <w:r>
        <w:t xml:space="preserve">Where the client has not answered, the build proceeds on the default and logs it as an assumption.</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2640"/>
        <w:gridCol w:w="2640"/>
        <w:gridCol w:w="2640"/>
      </w:tblGrid>
      <w:tr>
        <w:trPr>
          <w:tblHeader w:val="true"/>
          <w:tblHeader w:val="true"/>
        </w:trPr>
        <w:tc>
          <w:tcPr>
            <w:tcW w:type="dxa" w:w="1134"/>
            <w:shd w:val="clear" w:fill="0A1F4D"/>
          </w:tcPr>
          <w:p>
            <w:pPr>
              <w:pStyle w:val="Compact"/>
              <w:jc w:val="left"/>
            </w:pPr>
            <w:r>
              <w:rPr>
                <w:b/>
                <w:color w:val="FFFFFF"/>
              </w:rPr>
              <w:t xml:space="preserve">ID</w:t>
            </w:r>
          </w:p>
        </w:tc>
        <w:tc>
          <w:tcPr>
            <w:tcW w:type="dxa" w:w="3685"/>
            <w:shd w:val="clear" w:fill="0A1F4D"/>
          </w:tcPr>
          <w:p>
            <w:pPr>
              <w:pStyle w:val="Compact"/>
              <w:jc w:val="left"/>
            </w:pPr>
            <w:r>
              <w:rPr>
                <w:b/>
                <w:color w:val="FFFFFF"/>
              </w:rPr>
              <w:t xml:space="preserve">Question</w:t>
            </w:r>
          </w:p>
        </w:tc>
        <w:tc>
          <w:tcPr>
            <w:tcW w:type="dxa" w:w="4819"/>
            <w:shd w:val="clear" w:fill="0A1F4D"/>
          </w:tcPr>
          <w:p>
            <w:pPr>
              <w:pStyle w:val="Compact"/>
              <w:jc w:val="left"/>
            </w:pPr>
            <w:r>
              <w:rPr>
                <w:b/>
                <w:color w:val="FFFFFF"/>
              </w:rPr>
              <w:t xml:space="preserve">Default if unanswered</w:t>
            </w:r>
          </w:p>
        </w:tc>
      </w:tr>
      <w:tr>
        <w:tc>
          <w:tcPr>
            <w:tcW w:type="dxa" w:w="1134"/>
          </w:tcPr>
          <w:p>
            <w:pPr>
              <w:pStyle w:val="Compact"/>
              <w:jc w:val="left"/>
            </w:pPr>
            <w:r>
              <w:rPr>
                <w:sz w:val="19"/>
              </w:rPr>
              <w:t xml:space="preserve">DQ-01</w:t>
            </w:r>
          </w:p>
        </w:tc>
        <w:tc>
          <w:tcPr>
            <w:tcW w:type="dxa" w:w="3685"/>
          </w:tcPr>
          <w:p>
            <w:pPr>
              <w:pStyle w:val="Compact"/>
              <w:jc w:val="left"/>
            </w:pPr>
            <w:r>
              <w:rPr>
                <w:sz w:val="19"/>
              </w:rPr>
              <w:t xml:space="preserve">Official name, registration details, address, phone, email, social links, office hours?</w:t>
            </w:r>
          </w:p>
        </w:tc>
        <w:tc>
          <w:tcPr>
            <w:tcW w:type="dxa" w:w="4819"/>
          </w:tcPr>
          <w:p>
            <w:pPr>
              <w:pStyle w:val="Compact"/>
              <w:jc w:val="left"/>
            </w:pPr>
            <w:r>
              <w:rPr>
                <w:sz w:val="19"/>
              </w:rPr>
              <w:t xml:space="preserve">“</w:t>
            </w:r>
            <w:r>
              <w:rPr>
                <w:sz w:val="19"/>
              </w:rPr>
              <w:t xml:space="preserve">Dakota Training College</w:t>
            </w:r>
            <w:r>
              <w:rPr>
                <w:sz w:val="19"/>
              </w:rPr>
              <w:t xml:space="preserve">”</w:t>
            </w:r>
            <w:r>
              <w:rPr>
                <w:sz w:val="19"/>
              </w:rPr>
              <w:t xml:space="preserve">, Makueni; contact fields empty and hidden until supplied.</w:t>
            </w:r>
          </w:p>
        </w:tc>
      </w:tr>
      <w:tr>
        <w:tc>
          <w:tcPr>
            <w:tcW w:type="dxa" w:w="1134"/>
          </w:tcPr>
          <w:p>
            <w:pPr>
              <w:pStyle w:val="Compact"/>
              <w:jc w:val="left"/>
            </w:pPr>
            <w:r>
              <w:rPr>
                <w:sz w:val="19"/>
              </w:rPr>
              <w:t xml:space="preserve">DQ-02</w:t>
            </w:r>
          </w:p>
        </w:tc>
        <w:tc>
          <w:tcPr>
            <w:tcW w:type="dxa" w:w="3685"/>
          </w:tcPr>
          <w:p>
            <w:pPr>
              <w:pStyle w:val="Compact"/>
              <w:jc w:val="left"/>
            </w:pPr>
            <w:r>
              <w:rPr>
                <w:sz w:val="19"/>
              </w:rPr>
              <w:t xml:space="preserve">What exactly is the School of Pool Management (swimming pool operations, lifeguarding, something else)?</w:t>
            </w:r>
          </w:p>
        </w:tc>
        <w:tc>
          <w:tcPr>
            <w:tcW w:type="dxa" w:w="4819"/>
          </w:tcPr>
          <w:p>
            <w:pPr>
              <w:pStyle w:val="Compact"/>
              <w:jc w:val="left"/>
            </w:pPr>
            <w:r>
              <w:rPr>
                <w:sz w:val="19"/>
              </w:rPr>
              <w:t xml:space="preserve">Use the name as given and add no programme content until the client explains.</w:t>
            </w:r>
          </w:p>
        </w:tc>
      </w:tr>
      <w:tr>
        <w:tc>
          <w:tcPr>
            <w:tcW w:type="dxa" w:w="1134"/>
          </w:tcPr>
          <w:p>
            <w:pPr>
              <w:pStyle w:val="Compact"/>
              <w:jc w:val="left"/>
            </w:pPr>
            <w:r>
              <w:rPr>
                <w:sz w:val="19"/>
              </w:rPr>
              <w:t xml:space="preserve">DQ-03</w:t>
            </w:r>
          </w:p>
        </w:tc>
        <w:tc>
          <w:tcPr>
            <w:tcW w:type="dxa" w:w="3685"/>
          </w:tcPr>
          <w:p>
            <w:pPr>
              <w:pStyle w:val="Compact"/>
              <w:jc w:val="left"/>
            </w:pPr>
            <w:r>
              <w:rPr>
                <w:sz w:val="19"/>
              </w:rPr>
              <w:t xml:space="preserve">Programme list per school: level, duration, intakes, entry requirements, fees, units?</w:t>
            </w:r>
          </w:p>
        </w:tc>
        <w:tc>
          <w:tcPr>
            <w:tcW w:type="dxa" w:w="4819"/>
          </w:tcPr>
          <w:p>
            <w:pPr>
              <w:pStyle w:val="Compact"/>
              <w:jc w:val="left"/>
            </w:pPr>
            <w:r>
              <w:rPr>
                <w:sz w:val="19"/>
              </w:rPr>
              <w:t xml:space="preserve">Sample programmes in development only, marked</w:t>
            </w:r>
            <w:r>
              <w:rPr>
                <w:sz w:val="19"/>
              </w:rPr>
              <w:t xml:space="preserve"> </w:t>
            </w:r>
            <w:r>
              <w:rPr>
                <w:sz w:val="19"/>
              </w:rPr>
              <w:t xml:space="preserve">“</w:t>
            </w:r>
            <w:r>
              <w:rPr>
                <w:sz w:val="19"/>
              </w:rPr>
              <w:t xml:space="preserve">(Sample)</w:t>
            </w:r>
            <w:r>
              <w:rPr>
                <w:sz w:val="19"/>
              </w:rPr>
              <w:t xml:space="preserve">”</w:t>
            </w:r>
            <w:r>
              <w:rPr>
                <w:sz w:val="19"/>
              </w:rPr>
              <w:t xml:space="preserve">, removed before launch.</w:t>
            </w:r>
          </w:p>
        </w:tc>
      </w:tr>
      <w:tr>
        <w:tc>
          <w:tcPr>
            <w:tcW w:type="dxa" w:w="1134"/>
          </w:tcPr>
          <w:p>
            <w:pPr>
              <w:pStyle w:val="Compact"/>
              <w:jc w:val="left"/>
            </w:pPr>
            <w:r>
              <w:rPr>
                <w:sz w:val="19"/>
              </w:rPr>
              <w:t xml:space="preserve">DQ-04</w:t>
            </w:r>
          </w:p>
        </w:tc>
        <w:tc>
          <w:tcPr>
            <w:tcW w:type="dxa" w:w="3685"/>
          </w:tcPr>
          <w:p>
            <w:pPr>
              <w:pStyle w:val="Compact"/>
              <w:jc w:val="left"/>
            </w:pPr>
            <w:r>
              <w:rPr>
                <w:sz w:val="19"/>
              </w:rPr>
              <w:t xml:space="preserve">TVETA registration and accreditation numbers, CDACC or KNEC links?</w:t>
            </w:r>
          </w:p>
        </w:tc>
        <w:tc>
          <w:tcPr>
            <w:tcW w:type="dxa" w:w="4819"/>
          </w:tcPr>
          <w:p>
            <w:pPr>
              <w:pStyle w:val="Compact"/>
              <w:jc w:val="left"/>
            </w:pPr>
            <w:r>
              <w:rPr>
                <w:sz w:val="19"/>
              </w:rPr>
              <w:t xml:space="preserve">Accreditation section hidden until verified.</w:t>
            </w:r>
          </w:p>
        </w:tc>
      </w:tr>
      <w:tr>
        <w:tc>
          <w:tcPr>
            <w:tcW w:type="dxa" w:w="1134"/>
          </w:tcPr>
          <w:p>
            <w:pPr>
              <w:pStyle w:val="Compact"/>
              <w:jc w:val="left"/>
            </w:pPr>
            <w:r>
              <w:rPr>
                <w:sz w:val="19"/>
              </w:rPr>
              <w:t xml:space="preserve">DQ-05</w:t>
            </w:r>
          </w:p>
        </w:tc>
        <w:tc>
          <w:tcPr>
            <w:tcW w:type="dxa" w:w="3685"/>
          </w:tcPr>
          <w:p>
            <w:pPr>
              <w:pStyle w:val="Compact"/>
              <w:jc w:val="left"/>
            </w:pPr>
            <w:r>
              <w:rPr>
                <w:sz w:val="19"/>
              </w:rPr>
              <w:t xml:space="preserve">Intake months and application deadlines?</w:t>
            </w:r>
          </w:p>
        </w:tc>
        <w:tc>
          <w:tcPr>
            <w:tcW w:type="dxa" w:w="4819"/>
          </w:tcPr>
          <w:p>
            <w:pPr>
              <w:pStyle w:val="Compact"/>
              <w:jc w:val="left"/>
            </w:pPr>
            <w:r>
              <w:rPr>
                <w:sz w:val="19"/>
              </w:rPr>
              <w:t xml:space="preserve">Intakes are admin data; none shown until entered.</w:t>
            </w:r>
          </w:p>
        </w:tc>
      </w:tr>
      <w:tr>
        <w:tc>
          <w:tcPr>
            <w:tcW w:type="dxa" w:w="1134"/>
          </w:tcPr>
          <w:p>
            <w:pPr>
              <w:pStyle w:val="Compact"/>
              <w:jc w:val="left"/>
            </w:pPr>
            <w:r>
              <w:rPr>
                <w:sz w:val="19"/>
              </w:rPr>
              <w:t xml:space="preserve">DQ-06</w:t>
            </w:r>
          </w:p>
        </w:tc>
        <w:tc>
          <w:tcPr>
            <w:tcW w:type="dxa" w:w="3685"/>
          </w:tcPr>
          <w:p>
            <w:pPr>
              <w:pStyle w:val="Compact"/>
              <w:jc w:val="left"/>
            </w:pPr>
            <w:r>
              <w:rPr>
                <w:sz w:val="19"/>
              </w:rPr>
              <w:t xml:space="preserve">Will the college charge an application fee?</w:t>
            </w:r>
          </w:p>
        </w:tc>
        <w:tc>
          <w:tcPr>
            <w:tcW w:type="dxa" w:w="4819"/>
          </w:tcPr>
          <w:p>
            <w:pPr>
              <w:pStyle w:val="Compact"/>
              <w:jc w:val="left"/>
            </w:pPr>
            <w:r>
              <w:rPr>
                <w:sz w:val="19"/>
              </w:rPr>
              <w:t xml:space="preserve">No. Optional later (Could).</w:t>
            </w:r>
          </w:p>
        </w:tc>
      </w:tr>
      <w:tr>
        <w:tc>
          <w:tcPr>
            <w:tcW w:type="dxa" w:w="1134"/>
          </w:tcPr>
          <w:p>
            <w:pPr>
              <w:pStyle w:val="Compact"/>
              <w:jc w:val="left"/>
            </w:pPr>
            <w:r>
              <w:rPr>
                <w:sz w:val="19"/>
              </w:rPr>
              <w:t xml:space="preserve">DQ-07</w:t>
            </w:r>
          </w:p>
        </w:tc>
        <w:tc>
          <w:tcPr>
            <w:tcW w:type="dxa" w:w="3685"/>
          </w:tcPr>
          <w:p>
            <w:pPr>
              <w:pStyle w:val="Compact"/>
              <w:jc w:val="left"/>
            </w:pPr>
            <w:r>
              <w:rPr>
                <w:sz w:val="19"/>
              </w:rPr>
              <w:t xml:space="preserve">Assessment model: marks and grades, competency-based (competent or not yet competent), or both?</w:t>
            </w:r>
          </w:p>
        </w:tc>
        <w:tc>
          <w:tcPr>
            <w:tcW w:type="dxa" w:w="4819"/>
          </w:tcPr>
          <w:p>
            <w:pPr>
              <w:pStyle w:val="Compact"/>
              <w:jc w:val="left"/>
            </w:pPr>
            <w:r>
              <w:rPr>
                <w:sz w:val="19"/>
              </w:rPr>
              <w:t xml:space="preserve">Configurable per programme; marks and grade bands by default.</w:t>
            </w:r>
          </w:p>
        </w:tc>
      </w:tr>
      <w:tr>
        <w:tc>
          <w:tcPr>
            <w:tcW w:type="dxa" w:w="1134"/>
          </w:tcPr>
          <w:p>
            <w:pPr>
              <w:pStyle w:val="Compact"/>
              <w:jc w:val="left"/>
            </w:pPr>
            <w:r>
              <w:rPr>
                <w:sz w:val="19"/>
              </w:rPr>
              <w:t xml:space="preserve">DQ-08</w:t>
            </w:r>
          </w:p>
        </w:tc>
        <w:tc>
          <w:tcPr>
            <w:tcW w:type="dxa" w:w="3685"/>
          </w:tcPr>
          <w:p>
            <w:pPr>
              <w:pStyle w:val="Compact"/>
              <w:jc w:val="left"/>
            </w:pPr>
            <w:r>
              <w:rPr>
                <w:sz w:val="19"/>
              </w:rPr>
              <w:t xml:space="preserve">Student number format?</w:t>
            </w:r>
          </w:p>
        </w:tc>
        <w:tc>
          <w:tcPr>
            <w:tcW w:type="dxa" w:w="4819"/>
          </w:tcPr>
          <w:p>
            <w:pPr>
              <w:pStyle w:val="Compact"/>
              <w:jc w:val="left"/>
            </w:pPr>
            <w:r>
              <w:rPr>
                <w:sz w:val="19"/>
              </w:rPr>
              <w:t xml:space="preserve">DTC/YYYY/NNNN, gapless per year, editable setting.</w:t>
            </w:r>
          </w:p>
        </w:tc>
      </w:tr>
      <w:tr>
        <w:tc>
          <w:tcPr>
            <w:tcW w:type="dxa" w:w="1134"/>
          </w:tcPr>
          <w:p>
            <w:pPr>
              <w:pStyle w:val="Compact"/>
              <w:jc w:val="left"/>
            </w:pPr>
            <w:r>
              <w:rPr>
                <w:sz w:val="19"/>
              </w:rPr>
              <w:t xml:space="preserve">DQ-09</w:t>
            </w:r>
          </w:p>
        </w:tc>
        <w:tc>
          <w:tcPr>
            <w:tcW w:type="dxa" w:w="3685"/>
          </w:tcPr>
          <w:p>
            <w:pPr>
              <w:pStyle w:val="Compact"/>
              <w:jc w:val="left"/>
            </w:pPr>
            <w:r>
              <w:rPr>
                <w:sz w:val="19"/>
              </w:rPr>
              <w:t xml:space="preserve">How are fees collected today (Paybill, Till, bank, cash)? Who owns the account?</w:t>
            </w:r>
          </w:p>
        </w:tc>
        <w:tc>
          <w:tcPr>
            <w:tcW w:type="dxa" w:w="4819"/>
          </w:tcPr>
          <w:p>
            <w:pPr>
              <w:pStyle w:val="Compact"/>
              <w:jc w:val="left"/>
            </w:pPr>
            <w:r>
              <w:rPr>
                <w:sz w:val="19"/>
              </w:rPr>
              <w:t xml:space="preserve">Cash, bank and manual M-Pesa recorded with pending confirmation.</w:t>
            </w:r>
          </w:p>
        </w:tc>
      </w:tr>
      <w:tr>
        <w:tc>
          <w:tcPr>
            <w:tcW w:type="dxa" w:w="1134"/>
          </w:tcPr>
          <w:p>
            <w:pPr>
              <w:pStyle w:val="Compact"/>
              <w:jc w:val="left"/>
            </w:pPr>
            <w:r>
              <w:rPr>
                <w:sz w:val="19"/>
              </w:rPr>
              <w:t xml:space="preserve">DQ-10</w:t>
            </w:r>
          </w:p>
        </w:tc>
        <w:tc>
          <w:tcPr>
            <w:tcW w:type="dxa" w:w="3685"/>
          </w:tcPr>
          <w:p>
            <w:pPr>
              <w:pStyle w:val="Compact"/>
              <w:jc w:val="left"/>
            </w:pPr>
            <w:r>
              <w:rPr>
                <w:sz w:val="19"/>
              </w:rPr>
              <w:t xml:space="preserve">Accommodation, transport, meals: offered and charged?</w:t>
            </w:r>
          </w:p>
        </w:tc>
        <w:tc>
          <w:tcPr>
            <w:tcW w:type="dxa" w:w="4819"/>
          </w:tcPr>
          <w:p>
            <w:pPr>
              <w:pStyle w:val="Compact"/>
              <w:jc w:val="left"/>
            </w:pPr>
            <w:r>
              <w:rPr>
                <w:sz w:val="19"/>
              </w:rPr>
              <w:t xml:space="preserve">Not modelled in v1.</w:t>
            </w:r>
          </w:p>
        </w:tc>
      </w:tr>
      <w:tr>
        <w:tc>
          <w:tcPr>
            <w:tcW w:type="dxa" w:w="1134"/>
          </w:tcPr>
          <w:p>
            <w:pPr>
              <w:pStyle w:val="Compact"/>
              <w:jc w:val="left"/>
            </w:pPr>
            <w:r>
              <w:rPr>
                <w:sz w:val="19"/>
              </w:rPr>
              <w:t xml:space="preserve">DQ-11</w:t>
            </w:r>
          </w:p>
        </w:tc>
        <w:tc>
          <w:tcPr>
            <w:tcW w:type="dxa" w:w="3685"/>
          </w:tcPr>
          <w:p>
            <w:pPr>
              <w:pStyle w:val="Compact"/>
              <w:jc w:val="left"/>
            </w:pPr>
            <w:r>
              <w:rPr>
                <w:sz w:val="19"/>
              </w:rPr>
              <w:t xml:space="preserve">Leadership profiles, photos, consent to publish?</w:t>
            </w:r>
          </w:p>
        </w:tc>
        <w:tc>
          <w:tcPr>
            <w:tcW w:type="dxa" w:w="4819"/>
          </w:tcPr>
          <w:p>
            <w:pPr>
              <w:pStyle w:val="Compact"/>
              <w:jc w:val="left"/>
            </w:pPr>
            <w:r>
              <w:rPr>
                <w:sz w:val="19"/>
              </w:rPr>
              <w:t xml:space="preserve">Section hidden until supplied.</w:t>
            </w:r>
          </w:p>
        </w:tc>
      </w:tr>
      <w:tr>
        <w:tc>
          <w:tcPr>
            <w:tcW w:type="dxa" w:w="1134"/>
          </w:tcPr>
          <w:p>
            <w:pPr>
              <w:pStyle w:val="Compact"/>
              <w:jc w:val="left"/>
            </w:pPr>
            <w:r>
              <w:rPr>
                <w:sz w:val="19"/>
              </w:rPr>
              <w:t xml:space="preserve">DQ-12</w:t>
            </w:r>
          </w:p>
        </w:tc>
        <w:tc>
          <w:tcPr>
            <w:tcW w:type="dxa" w:w="3685"/>
          </w:tcPr>
          <w:p>
            <w:pPr>
              <w:pStyle w:val="Compact"/>
              <w:jc w:val="left"/>
            </w:pPr>
            <w:r>
              <w:rPr>
                <w:sz w:val="19"/>
              </w:rPr>
              <w:t xml:space="preserve">Real photos and videos available, with consent?</w:t>
            </w:r>
          </w:p>
        </w:tc>
        <w:tc>
          <w:tcPr>
            <w:tcW w:type="dxa" w:w="4819"/>
          </w:tcPr>
          <w:p>
            <w:pPr>
              <w:pStyle w:val="Compact"/>
              <w:jc w:val="left"/>
            </w:pPr>
            <w:r>
              <w:rPr>
                <w:sz w:val="19"/>
              </w:rPr>
              <w:t xml:space="preserve">Neutral placeholders.</w:t>
            </w:r>
          </w:p>
        </w:tc>
      </w:tr>
      <w:tr>
        <w:tc>
          <w:tcPr>
            <w:tcW w:type="dxa" w:w="1134"/>
          </w:tcPr>
          <w:p>
            <w:pPr>
              <w:pStyle w:val="Compact"/>
              <w:jc w:val="left"/>
            </w:pPr>
            <w:r>
              <w:rPr>
                <w:sz w:val="19"/>
              </w:rPr>
              <w:t xml:space="preserve">DQ-13</w:t>
            </w:r>
          </w:p>
        </w:tc>
        <w:tc>
          <w:tcPr>
            <w:tcW w:type="dxa" w:w="3685"/>
          </w:tcPr>
          <w:p>
            <w:pPr>
              <w:pStyle w:val="Compact"/>
              <w:jc w:val="left"/>
            </w:pPr>
            <w:r>
              <w:rPr>
                <w:sz w:val="19"/>
              </w:rPr>
              <w:t xml:space="preserve">Languages needed?</w:t>
            </w:r>
          </w:p>
        </w:tc>
        <w:tc>
          <w:tcPr>
            <w:tcW w:type="dxa" w:w="4819"/>
          </w:tcPr>
          <w:p>
            <w:pPr>
              <w:pStyle w:val="Compact"/>
              <w:jc w:val="left"/>
            </w:pPr>
            <w:r>
              <w:rPr>
                <w:sz w:val="19"/>
              </w:rPr>
              <w:t xml:space="preserve">English; Kiswahili for key admissions pages (Should).</w:t>
            </w:r>
          </w:p>
        </w:tc>
      </w:tr>
      <w:tr>
        <w:tc>
          <w:tcPr>
            <w:tcW w:type="dxa" w:w="1134"/>
          </w:tcPr>
          <w:p>
            <w:pPr>
              <w:pStyle w:val="Compact"/>
              <w:jc w:val="left"/>
            </w:pPr>
            <w:r>
              <w:rPr>
                <w:sz w:val="19"/>
              </w:rPr>
              <w:t xml:space="preserve">DQ-14</w:t>
            </w:r>
          </w:p>
        </w:tc>
        <w:tc>
          <w:tcPr>
            <w:tcW w:type="dxa" w:w="3685"/>
          </w:tcPr>
          <w:p>
            <w:pPr>
              <w:pStyle w:val="Compact"/>
              <w:jc w:val="left"/>
            </w:pPr>
            <w:r>
              <w:rPr>
                <w:sz w:val="19"/>
              </w:rPr>
              <w:t xml:space="preserve">Who edits content and who approves publishing?</w:t>
            </w:r>
          </w:p>
        </w:tc>
        <w:tc>
          <w:tcPr>
            <w:tcW w:type="dxa" w:w="4819"/>
          </w:tcPr>
          <w:p>
            <w:pPr>
              <w:pStyle w:val="Compact"/>
              <w:jc w:val="left"/>
            </w:pPr>
            <w:r>
              <w:rPr>
                <w:sz w:val="19"/>
              </w:rPr>
              <w:t xml:space="preserve">Content Editor writes, Registrar or Principal approves.</w:t>
            </w:r>
          </w:p>
        </w:tc>
      </w:tr>
      <w:tr>
        <w:tc>
          <w:tcPr>
            <w:tcW w:type="dxa" w:w="1134"/>
          </w:tcPr>
          <w:p>
            <w:pPr>
              <w:pStyle w:val="Compact"/>
              <w:jc w:val="left"/>
            </w:pPr>
            <w:r>
              <w:rPr>
                <w:sz w:val="19"/>
              </w:rPr>
              <w:t xml:space="preserve">DQ-15</w:t>
            </w:r>
          </w:p>
        </w:tc>
        <w:tc>
          <w:tcPr>
            <w:tcW w:type="dxa" w:w="3685"/>
          </w:tcPr>
          <w:p>
            <w:pPr>
              <w:pStyle w:val="Compact"/>
              <w:jc w:val="left"/>
            </w:pPr>
            <w:r>
              <w:rPr>
                <w:sz w:val="19"/>
              </w:rPr>
              <w:t xml:space="preserve">Existing student data to import (spreadsheets)?</w:t>
            </w:r>
          </w:p>
        </w:tc>
        <w:tc>
          <w:tcPr>
            <w:tcW w:type="dxa" w:w="4819"/>
          </w:tcPr>
          <w:p>
            <w:pPr>
              <w:pStyle w:val="Compact"/>
              <w:jc w:val="left"/>
            </w:pPr>
            <w:r>
              <w:rPr>
                <w:sz w:val="19"/>
              </w:rPr>
              <w:t xml:space="preserve">None in v1. CSV import is a Could.</w:t>
            </w:r>
          </w:p>
        </w:tc>
      </w:tr>
      <w:tr>
        <w:tc>
          <w:tcPr>
            <w:tcW w:type="dxa" w:w="1134"/>
          </w:tcPr>
          <w:p>
            <w:pPr>
              <w:pStyle w:val="Compact"/>
              <w:jc w:val="left"/>
            </w:pPr>
            <w:r>
              <w:rPr>
                <w:sz w:val="19"/>
              </w:rPr>
              <w:t xml:space="preserve">DQ-16</w:t>
            </w:r>
          </w:p>
        </w:tc>
        <w:tc>
          <w:tcPr>
            <w:tcW w:type="dxa" w:w="3685"/>
          </w:tcPr>
          <w:p>
            <w:pPr>
              <w:pStyle w:val="Compact"/>
              <w:jc w:val="left"/>
            </w:pPr>
            <w:r>
              <w:rPr>
                <w:sz w:val="19"/>
              </w:rPr>
              <w:t xml:space="preserve">Staff list, role needs, authorised Super Admin, recovery contact?</w:t>
            </w:r>
          </w:p>
        </w:tc>
        <w:tc>
          <w:tcPr>
            <w:tcW w:type="dxa" w:w="4819"/>
          </w:tcPr>
          <w:p>
            <w:pPr>
              <w:pStyle w:val="Compact"/>
              <w:jc w:val="left"/>
            </w:pPr>
            <w:r>
              <w:rPr>
                <w:sz w:val="19"/>
              </w:rPr>
              <w:t xml:space="preserve">Starter roles in section 11; developer holds Super Admin until handover.</w:t>
            </w:r>
          </w:p>
        </w:tc>
      </w:tr>
      <w:tr>
        <w:tc>
          <w:tcPr>
            <w:tcW w:type="dxa" w:w="1134"/>
          </w:tcPr>
          <w:p>
            <w:pPr>
              <w:pStyle w:val="Compact"/>
              <w:jc w:val="left"/>
            </w:pPr>
            <w:r>
              <w:rPr>
                <w:sz w:val="19"/>
              </w:rPr>
              <w:t xml:space="preserve">DQ-17</w:t>
            </w:r>
          </w:p>
        </w:tc>
        <w:tc>
          <w:tcPr>
            <w:tcW w:type="dxa" w:w="3685"/>
          </w:tcPr>
          <w:p>
            <w:pPr>
              <w:pStyle w:val="Compact"/>
              <w:jc w:val="left"/>
            </w:pPr>
            <w:r>
              <w:rPr>
                <w:sz w:val="19"/>
              </w:rPr>
              <w:t xml:space="preserve">Budget for hosting, domain, SMS, email, support?</w:t>
            </w:r>
          </w:p>
        </w:tc>
        <w:tc>
          <w:tcPr>
            <w:tcW w:type="dxa" w:w="4819"/>
          </w:tcPr>
          <w:p>
            <w:pPr>
              <w:pStyle w:val="Compact"/>
              <w:jc w:val="left"/>
            </w:pPr>
            <w:r>
              <w:rPr>
                <w:sz w:val="19"/>
              </w:rPr>
              <w:t xml:space="preserve">Planning figure in section 12.2; recheck before quoting.</w:t>
            </w:r>
          </w:p>
        </w:tc>
      </w:tr>
      <w:tr>
        <w:tc>
          <w:tcPr>
            <w:tcW w:type="dxa" w:w="1134"/>
          </w:tcPr>
          <w:p>
            <w:pPr>
              <w:pStyle w:val="Compact"/>
              <w:jc w:val="left"/>
            </w:pPr>
            <w:r>
              <w:rPr>
                <w:sz w:val="19"/>
              </w:rPr>
              <w:t xml:space="preserve">DQ-18</w:t>
            </w:r>
          </w:p>
        </w:tc>
        <w:tc>
          <w:tcPr>
            <w:tcW w:type="dxa" w:w="3685"/>
          </w:tcPr>
          <w:p>
            <w:pPr>
              <w:pStyle w:val="Compact"/>
              <w:jc w:val="left"/>
            </w:pPr>
            <w:r>
              <w:rPr>
                <w:sz w:val="19"/>
              </w:rPr>
              <w:t xml:space="preserve">Data retention periods and who is the data protection contact?</w:t>
            </w:r>
          </w:p>
        </w:tc>
        <w:tc>
          <w:tcPr>
            <w:tcW w:type="dxa" w:w="4819"/>
          </w:tcPr>
          <w:p>
            <w:pPr>
              <w:pStyle w:val="Compact"/>
              <w:jc w:val="left"/>
            </w:pPr>
            <w:r>
              <w:rPr>
                <w:sz w:val="19"/>
              </w:rPr>
              <w:t xml:space="preserve">Applications 12 months if not enrolled; student records permanent; confirm with the client.</w:t>
            </w:r>
          </w:p>
        </w:tc>
      </w:tr>
      <w:tr>
        <w:tc>
          <w:tcPr>
            <w:tcW w:type="dxa" w:w="1134"/>
          </w:tcPr>
          <w:p>
            <w:pPr>
              <w:pStyle w:val="Compact"/>
              <w:jc w:val="left"/>
            </w:pPr>
            <w:r>
              <w:rPr>
                <w:sz w:val="19"/>
              </w:rPr>
              <w:t xml:space="preserve">DQ-19</w:t>
            </w:r>
          </w:p>
        </w:tc>
        <w:tc>
          <w:tcPr>
            <w:tcW w:type="dxa" w:w="3685"/>
          </w:tcPr>
          <w:p>
            <w:pPr>
              <w:pStyle w:val="Compact"/>
              <w:jc w:val="left"/>
            </w:pPr>
            <w:r>
              <w:rPr>
                <w:sz w:val="19"/>
              </w:rPr>
              <w:t xml:space="preserve">Go-live date and approvers?</w:t>
            </w:r>
          </w:p>
        </w:tc>
        <w:tc>
          <w:tcPr>
            <w:tcW w:type="dxa" w:w="4819"/>
          </w:tcPr>
          <w:p>
            <w:pPr>
              <w:pStyle w:val="Compact"/>
              <w:jc w:val="left"/>
            </w:pPr>
            <w:r>
              <w:rPr>
                <w:sz w:val="19"/>
              </w:rPr>
              <w:t xml:space="preserve">None assumed.</w:t>
            </w:r>
          </w:p>
        </w:tc>
      </w:tr>
    </w:tbl>
    <w:bookmarkStart w:id="54" w:name="decision-gates"/>
    <w:p>
      <w:pPr>
        <w:pStyle w:val="Heading2"/>
      </w:pPr>
      <w:r>
        <w:t xml:space="preserve">17.1 Decision gates</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2640"/>
        <w:gridCol w:w="2640"/>
        <w:gridCol w:w="2640"/>
      </w:tblGrid>
      <w:tr>
        <w:trPr>
          <w:tblHeader w:val="true"/>
          <w:tblHeader w:val="true"/>
        </w:trPr>
        <w:tc>
          <w:tcPr>
            <w:tcW w:type="dxa" w:w="1134"/>
            <w:shd w:val="clear" w:fill="0A1F4D"/>
          </w:tcPr>
          <w:p>
            <w:pPr>
              <w:pStyle w:val="Compact"/>
              <w:jc w:val="left"/>
            </w:pPr>
            <w:r>
              <w:rPr>
                <w:b/>
                <w:color w:val="FFFFFF"/>
              </w:rPr>
              <w:t xml:space="preserve">ID</w:t>
            </w:r>
          </w:p>
        </w:tc>
        <w:tc>
          <w:tcPr>
            <w:tcW w:type="dxa" w:w="3685"/>
            <w:shd w:val="clear" w:fill="0A1F4D"/>
          </w:tcPr>
          <w:p>
            <w:pPr>
              <w:pStyle w:val="Compact"/>
              <w:jc w:val="left"/>
            </w:pPr>
            <w:r>
              <w:rPr>
                <w:b/>
                <w:color w:val="FFFFFF"/>
              </w:rPr>
              <w:t xml:space="preserve">Gate</w:t>
            </w:r>
          </w:p>
        </w:tc>
        <w:tc>
          <w:tcPr>
            <w:tcW w:type="dxa" w:w="4819"/>
            <w:shd w:val="clear" w:fill="0A1F4D"/>
          </w:tcPr>
          <w:p>
            <w:pPr>
              <w:pStyle w:val="Compact"/>
              <w:jc w:val="left"/>
            </w:pPr>
            <w:r>
              <w:rPr>
                <w:b/>
                <w:color w:val="FFFFFF"/>
              </w:rPr>
              <w:t xml:space="preserve">What must be verified first</w:t>
            </w:r>
          </w:p>
        </w:tc>
      </w:tr>
      <w:tr>
        <w:tc>
          <w:tcPr>
            <w:tcW w:type="dxa" w:w="1134"/>
          </w:tcPr>
          <w:p>
            <w:pPr>
              <w:pStyle w:val="Compact"/>
              <w:jc w:val="left"/>
            </w:pPr>
            <w:r>
              <w:rPr>
                <w:sz w:val="19"/>
              </w:rPr>
              <w:t xml:space="preserve">DG-01</w:t>
            </w:r>
          </w:p>
        </w:tc>
        <w:tc>
          <w:tcPr>
            <w:tcW w:type="dxa" w:w="3685"/>
          </w:tcPr>
          <w:p>
            <w:pPr>
              <w:pStyle w:val="Compact"/>
              <w:jc w:val="left"/>
            </w:pPr>
            <w:r>
              <w:rPr>
                <w:sz w:val="19"/>
              </w:rPr>
              <w:t xml:space="preserve">Domain</w:t>
            </w:r>
          </w:p>
        </w:tc>
        <w:tc>
          <w:tcPr>
            <w:tcW w:type="dxa" w:w="4819"/>
          </w:tcPr>
          <w:p>
            <w:pPr>
              <w:pStyle w:val="Compact"/>
              <w:jc w:val="left"/>
            </w:pPr>
            <w:r>
              <w:rPr>
                <w:sz w:val="19"/>
              </w:rPr>
              <w:t xml:space="preserve">Domain availability, registrar and who owns the registration.</w:t>
            </w:r>
          </w:p>
        </w:tc>
      </w:tr>
      <w:tr>
        <w:tc>
          <w:tcPr>
            <w:tcW w:type="dxa" w:w="1134"/>
          </w:tcPr>
          <w:p>
            <w:pPr>
              <w:pStyle w:val="Compact"/>
              <w:jc w:val="left"/>
            </w:pPr>
            <w:r>
              <w:rPr>
                <w:sz w:val="19"/>
              </w:rPr>
              <w:t xml:space="preserve">DG-02</w:t>
            </w:r>
          </w:p>
        </w:tc>
        <w:tc>
          <w:tcPr>
            <w:tcW w:type="dxa" w:w="3685"/>
          </w:tcPr>
          <w:p>
            <w:pPr>
              <w:pStyle w:val="Compact"/>
              <w:jc w:val="left"/>
            </w:pPr>
            <w:r>
              <w:rPr>
                <w:sz w:val="19"/>
              </w:rPr>
              <w:t xml:space="preserve">M-Pesa</w:t>
            </w:r>
          </w:p>
        </w:tc>
        <w:tc>
          <w:tcPr>
            <w:tcW w:type="dxa" w:w="4819"/>
          </w:tcPr>
          <w:p>
            <w:pPr>
              <w:pStyle w:val="Compact"/>
              <w:jc w:val="left"/>
            </w:pPr>
            <w:r>
              <w:rPr>
                <w:sz w:val="19"/>
              </w:rPr>
              <w:t xml:space="preserve">Account type (Paybill or Till), Daraja access, callback requirements, credential owner, reconciliation process.</w:t>
            </w:r>
          </w:p>
        </w:tc>
      </w:tr>
      <w:tr>
        <w:tc>
          <w:tcPr>
            <w:tcW w:type="dxa" w:w="1134"/>
          </w:tcPr>
          <w:p>
            <w:pPr>
              <w:pStyle w:val="Compact"/>
              <w:jc w:val="left"/>
            </w:pPr>
            <w:r>
              <w:rPr>
                <w:sz w:val="19"/>
              </w:rPr>
              <w:t xml:space="preserve">DG-03</w:t>
            </w:r>
          </w:p>
        </w:tc>
        <w:tc>
          <w:tcPr>
            <w:tcW w:type="dxa" w:w="3685"/>
          </w:tcPr>
          <w:p>
            <w:pPr>
              <w:pStyle w:val="Compact"/>
              <w:jc w:val="left"/>
            </w:pPr>
            <w:r>
              <w:rPr>
                <w:sz w:val="19"/>
              </w:rPr>
              <w:t xml:space="preserve">SMS and email</w:t>
            </w:r>
          </w:p>
        </w:tc>
        <w:tc>
          <w:tcPr>
            <w:tcW w:type="dxa" w:w="4819"/>
          </w:tcPr>
          <w:p>
            <w:pPr>
              <w:pStyle w:val="Compact"/>
              <w:jc w:val="left"/>
            </w:pPr>
            <w:r>
              <w:rPr>
                <w:sz w:val="19"/>
              </w:rPr>
              <w:t xml:space="preserve">Provider, sender ID, rates, verified sending domain.</w:t>
            </w:r>
          </w:p>
        </w:tc>
      </w:tr>
      <w:tr>
        <w:tc>
          <w:tcPr>
            <w:tcW w:type="dxa" w:w="1134"/>
          </w:tcPr>
          <w:p>
            <w:pPr>
              <w:pStyle w:val="Compact"/>
              <w:jc w:val="left"/>
            </w:pPr>
            <w:r>
              <w:rPr>
                <w:sz w:val="19"/>
              </w:rPr>
              <w:t xml:space="preserve">DG-04</w:t>
            </w:r>
          </w:p>
        </w:tc>
        <w:tc>
          <w:tcPr>
            <w:tcW w:type="dxa" w:w="3685"/>
          </w:tcPr>
          <w:p>
            <w:pPr>
              <w:pStyle w:val="Compact"/>
              <w:jc w:val="left"/>
            </w:pPr>
            <w:r>
              <w:rPr>
                <w:sz w:val="19"/>
              </w:rPr>
              <w:t xml:space="preserve">Production hosting</w:t>
            </w:r>
          </w:p>
        </w:tc>
        <w:tc>
          <w:tcPr>
            <w:tcW w:type="dxa" w:w="4819"/>
          </w:tcPr>
          <w:p>
            <w:pPr>
              <w:pStyle w:val="Compact"/>
              <w:jc w:val="left"/>
            </w:pPr>
            <w:r>
              <w:rPr>
                <w:sz w:val="19"/>
              </w:rPr>
              <w:t xml:space="preserve">Final plan choice (managed stack or VPS), costs, region, backups.</w:t>
            </w:r>
          </w:p>
        </w:tc>
      </w:tr>
      <w:tr>
        <w:tc>
          <w:tcPr>
            <w:tcW w:type="dxa" w:w="1134"/>
          </w:tcPr>
          <w:p>
            <w:pPr>
              <w:pStyle w:val="Compact"/>
              <w:jc w:val="left"/>
            </w:pPr>
            <w:r>
              <w:rPr>
                <w:sz w:val="19"/>
              </w:rPr>
              <w:t xml:space="preserve">DG-05</w:t>
            </w:r>
          </w:p>
        </w:tc>
        <w:tc>
          <w:tcPr>
            <w:tcW w:type="dxa" w:w="3685"/>
          </w:tcPr>
          <w:p>
            <w:pPr>
              <w:pStyle w:val="Compact"/>
              <w:jc w:val="left"/>
            </w:pPr>
            <w:r>
              <w:rPr>
                <w:sz w:val="19"/>
              </w:rPr>
              <w:t xml:space="preserve">Official integrations</w:t>
            </w:r>
          </w:p>
        </w:tc>
        <w:tc>
          <w:tcPr>
            <w:tcW w:type="dxa" w:w="4819"/>
          </w:tcPr>
          <w:p>
            <w:pPr>
              <w:pStyle w:val="Compact"/>
              <w:jc w:val="left"/>
            </w:pPr>
            <w:r>
              <w:rPr>
                <w:sz w:val="19"/>
              </w:rPr>
              <w:t xml:space="preserve">Any TVETA, KNEC, CDACC or HELB integration, only if an official route exists.</w:t>
            </w:r>
          </w:p>
        </w:tc>
      </w:tr>
      <w:tr>
        <w:tc>
          <w:tcPr>
            <w:tcW w:type="dxa" w:w="1134"/>
          </w:tcPr>
          <w:p>
            <w:pPr>
              <w:pStyle w:val="Compact"/>
              <w:jc w:val="left"/>
            </w:pPr>
            <w:r>
              <w:rPr>
                <w:sz w:val="19"/>
              </w:rPr>
              <w:t xml:space="preserve">DG-06</w:t>
            </w:r>
          </w:p>
        </w:tc>
        <w:tc>
          <w:tcPr>
            <w:tcW w:type="dxa" w:w="3685"/>
          </w:tcPr>
          <w:p>
            <w:pPr>
              <w:pStyle w:val="Compact"/>
              <w:jc w:val="left"/>
            </w:pPr>
            <w:r>
              <w:rPr>
                <w:sz w:val="19"/>
              </w:rPr>
              <w:t xml:space="preserve">Data protection</w:t>
            </w:r>
          </w:p>
        </w:tc>
        <w:tc>
          <w:tcPr>
            <w:tcW w:type="dxa" w:w="4819"/>
          </w:tcPr>
          <w:p>
            <w:pPr>
              <w:pStyle w:val="Compact"/>
              <w:jc w:val="left"/>
            </w:pPr>
            <w:r>
              <w:rPr>
                <w:sz w:val="19"/>
              </w:rPr>
              <w:t xml:space="preserve">Registration with the data protection regulator, privacy notice approval, retention schedule.</w:t>
            </w:r>
          </w:p>
        </w:tc>
      </w:tr>
    </w:tbl>
    <w:bookmarkEnd w:id="54"/>
    <w:bookmarkEnd w:id="55"/>
    <w:bookmarkStart w:id="56" w:name="decision-log"/>
    <w:p>
      <w:pPr>
        <w:pStyle w:val="Heading1"/>
      </w:pPr>
      <w:r>
        <w:t xml:space="preserve">18. Decision log</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2640"/>
        <w:gridCol w:w="2640"/>
        <w:gridCol w:w="2640"/>
      </w:tblGrid>
      <w:tr>
        <w:trPr>
          <w:tblHeader w:val="true"/>
          <w:tblHeader w:val="true"/>
        </w:trPr>
        <w:tc>
          <w:tcPr>
            <w:tcW w:type="dxa" w:w="1134"/>
            <w:shd w:val="clear" w:fill="0A1F4D"/>
          </w:tcPr>
          <w:p>
            <w:pPr>
              <w:pStyle w:val="Compact"/>
              <w:jc w:val="left"/>
            </w:pPr>
            <w:r>
              <w:rPr>
                <w:b/>
                <w:color w:val="FFFFFF"/>
              </w:rPr>
              <w:t xml:space="preserve">ID</w:t>
            </w:r>
          </w:p>
        </w:tc>
        <w:tc>
          <w:tcPr>
            <w:tcW w:type="dxa" w:w="3685"/>
            <w:shd w:val="clear" w:fill="0A1F4D"/>
          </w:tcPr>
          <w:p>
            <w:pPr>
              <w:pStyle w:val="Compact"/>
              <w:jc w:val="left"/>
            </w:pPr>
            <w:r>
              <w:rPr>
                <w:b/>
                <w:color w:val="FFFFFF"/>
              </w:rPr>
              <w:t xml:space="preserve">Decision</w:t>
            </w:r>
          </w:p>
        </w:tc>
        <w:tc>
          <w:tcPr>
            <w:tcW w:type="dxa" w:w="4819"/>
            <w:shd w:val="clear" w:fill="0A1F4D"/>
          </w:tcPr>
          <w:p>
            <w:pPr>
              <w:pStyle w:val="Compact"/>
              <w:jc w:val="left"/>
            </w:pPr>
            <w:r>
              <w:rPr>
                <w:b/>
                <w:color w:val="FFFFFF"/>
              </w:rPr>
              <w:t xml:space="preserve">Reason</w:t>
            </w:r>
          </w:p>
        </w:tc>
      </w:tr>
      <w:tr>
        <w:tc>
          <w:tcPr>
            <w:tcW w:type="dxa" w:w="1134"/>
          </w:tcPr>
          <w:p>
            <w:pPr>
              <w:pStyle w:val="Compact"/>
              <w:jc w:val="left"/>
            </w:pPr>
            <w:r>
              <w:rPr>
                <w:sz w:val="19"/>
              </w:rPr>
              <w:t xml:space="preserve">ADR-01</w:t>
            </w:r>
          </w:p>
        </w:tc>
        <w:tc>
          <w:tcPr>
            <w:tcW w:type="dxa" w:w="3685"/>
          </w:tcPr>
          <w:p>
            <w:pPr>
              <w:pStyle w:val="Compact"/>
              <w:jc w:val="left"/>
            </w:pPr>
            <w:r>
              <w:rPr>
                <w:sz w:val="19"/>
              </w:rPr>
              <w:t xml:space="preserve">Modular monolith in one monorepo</w:t>
            </w:r>
          </w:p>
        </w:tc>
        <w:tc>
          <w:tcPr>
            <w:tcW w:type="dxa" w:w="4819"/>
          </w:tcPr>
          <w:p>
            <w:pPr>
              <w:pStyle w:val="Compact"/>
              <w:jc w:val="left"/>
            </w:pPr>
            <w:r>
              <w:rPr>
                <w:sz w:val="19"/>
              </w:rPr>
              <w:t xml:space="preserve">One developer, simple operations, atomic cross-stack changes.</w:t>
            </w:r>
          </w:p>
        </w:tc>
      </w:tr>
      <w:tr>
        <w:tc>
          <w:tcPr>
            <w:tcW w:type="dxa" w:w="1134"/>
          </w:tcPr>
          <w:p>
            <w:pPr>
              <w:pStyle w:val="Compact"/>
              <w:jc w:val="left"/>
            </w:pPr>
            <w:r>
              <w:rPr>
                <w:sz w:val="19"/>
              </w:rPr>
              <w:t xml:space="preserve">ADR-02</w:t>
            </w:r>
          </w:p>
        </w:tc>
        <w:tc>
          <w:tcPr>
            <w:tcW w:type="dxa" w:w="3685"/>
          </w:tcPr>
          <w:p>
            <w:pPr>
              <w:pStyle w:val="Compact"/>
              <w:jc w:val="left"/>
            </w:pPr>
            <w:r>
              <w:rPr>
                <w:sz w:val="19"/>
              </w:rPr>
              <w:t xml:space="preserve">Go API is the only database client</w:t>
            </w:r>
          </w:p>
        </w:tc>
        <w:tc>
          <w:tcPr>
            <w:tcW w:type="dxa" w:w="4819"/>
          </w:tcPr>
          <w:p>
            <w:pPr>
              <w:pStyle w:val="Compact"/>
              <w:jc w:val="left"/>
            </w:pPr>
            <w:r>
              <w:rPr>
                <w:sz w:val="19"/>
              </w:rPr>
              <w:t xml:space="preserve">Keeps rules and credentials in one place.</w:t>
            </w:r>
          </w:p>
        </w:tc>
      </w:tr>
      <w:tr>
        <w:tc>
          <w:tcPr>
            <w:tcW w:type="dxa" w:w="1134"/>
          </w:tcPr>
          <w:p>
            <w:pPr>
              <w:pStyle w:val="Compact"/>
              <w:jc w:val="left"/>
            </w:pPr>
            <w:r>
              <w:rPr>
                <w:sz w:val="19"/>
              </w:rPr>
              <w:t xml:space="preserve">ADR-03</w:t>
            </w:r>
          </w:p>
        </w:tc>
        <w:tc>
          <w:tcPr>
            <w:tcW w:type="dxa" w:w="3685"/>
          </w:tcPr>
          <w:p>
            <w:pPr>
              <w:pStyle w:val="Compact"/>
              <w:jc w:val="left"/>
            </w:pPr>
            <w:r>
              <w:rPr>
                <w:sz w:val="19"/>
              </w:rPr>
              <w:t xml:space="preserve">Public pages use cached rendering with fallback content</w:t>
            </w:r>
          </w:p>
        </w:tc>
        <w:tc>
          <w:tcPr>
            <w:tcW w:type="dxa" w:w="4819"/>
          </w:tcPr>
          <w:p>
            <w:pPr>
              <w:pStyle w:val="Compact"/>
              <w:jc w:val="left"/>
            </w:pPr>
            <w:r>
              <w:rPr>
                <w:sz w:val="19"/>
              </w:rPr>
              <w:t xml:space="preserve">The site survives a sleeping free-tier API.</w:t>
            </w:r>
          </w:p>
        </w:tc>
      </w:tr>
      <w:tr>
        <w:tc>
          <w:tcPr>
            <w:tcW w:type="dxa" w:w="1134"/>
          </w:tcPr>
          <w:p>
            <w:pPr>
              <w:pStyle w:val="Compact"/>
              <w:jc w:val="left"/>
            </w:pPr>
            <w:r>
              <w:rPr>
                <w:sz w:val="19"/>
              </w:rPr>
              <w:t xml:space="preserve">ADR-04</w:t>
            </w:r>
          </w:p>
        </w:tc>
        <w:tc>
          <w:tcPr>
            <w:tcW w:type="dxa" w:w="3685"/>
          </w:tcPr>
          <w:p>
            <w:pPr>
              <w:pStyle w:val="Compact"/>
              <w:jc w:val="left"/>
            </w:pPr>
            <w:r>
              <w:rPr>
                <w:sz w:val="19"/>
              </w:rPr>
              <w:t xml:space="preserve">Server-side sessions in HttpOnly cookies and a frontend rewrite to the API</w:t>
            </w:r>
          </w:p>
        </w:tc>
        <w:tc>
          <w:tcPr>
            <w:tcW w:type="dxa" w:w="4819"/>
          </w:tcPr>
          <w:p>
            <w:pPr>
              <w:pStyle w:val="Compact"/>
              <w:jc w:val="left"/>
            </w:pPr>
            <w:r>
              <w:rPr>
                <w:sz w:val="19"/>
              </w:rPr>
              <w:t xml:space="preserve">Immediate revocation, no cross-site cookie problems.</w:t>
            </w:r>
          </w:p>
        </w:tc>
      </w:tr>
      <w:tr>
        <w:tc>
          <w:tcPr>
            <w:tcW w:type="dxa" w:w="1134"/>
          </w:tcPr>
          <w:p>
            <w:pPr>
              <w:pStyle w:val="Compact"/>
              <w:jc w:val="left"/>
            </w:pPr>
            <w:r>
              <w:rPr>
                <w:sz w:val="19"/>
              </w:rPr>
              <w:t xml:space="preserve">ADR-05</w:t>
            </w:r>
          </w:p>
        </w:tc>
        <w:tc>
          <w:tcPr>
            <w:tcW w:type="dxa" w:w="3685"/>
          </w:tcPr>
          <w:p>
            <w:pPr>
              <w:pStyle w:val="Compact"/>
              <w:jc w:val="left"/>
            </w:pPr>
            <w:r>
              <w:rPr>
                <w:sz w:val="19"/>
              </w:rPr>
              <w:t xml:space="preserve">Money as integer cents of KES</w:t>
            </w:r>
          </w:p>
        </w:tc>
        <w:tc>
          <w:tcPr>
            <w:tcW w:type="dxa" w:w="4819"/>
          </w:tcPr>
          <w:p>
            <w:pPr>
              <w:pStyle w:val="Compact"/>
              <w:jc w:val="left"/>
            </w:pPr>
            <w:r>
              <w:rPr>
                <w:sz w:val="19"/>
              </w:rPr>
              <w:t xml:space="preserve">Exact arithmetic.</w:t>
            </w:r>
          </w:p>
        </w:tc>
      </w:tr>
      <w:tr>
        <w:tc>
          <w:tcPr>
            <w:tcW w:type="dxa" w:w="1134"/>
          </w:tcPr>
          <w:p>
            <w:pPr>
              <w:pStyle w:val="Compact"/>
              <w:jc w:val="left"/>
            </w:pPr>
            <w:r>
              <w:rPr>
                <w:sz w:val="19"/>
              </w:rPr>
              <w:t xml:space="preserve">ADR-06</w:t>
            </w:r>
          </w:p>
        </w:tc>
        <w:tc>
          <w:tcPr>
            <w:tcW w:type="dxa" w:w="3685"/>
          </w:tcPr>
          <w:p>
            <w:pPr>
              <w:pStyle w:val="Compact"/>
              <w:jc w:val="left"/>
            </w:pPr>
            <w:r>
              <w:rPr>
                <w:sz w:val="19"/>
              </w:rPr>
              <w:t xml:space="preserve">Content managed in the staff portal, not in code</w:t>
            </w:r>
          </w:p>
        </w:tc>
        <w:tc>
          <w:tcPr>
            <w:tcW w:type="dxa" w:w="4819"/>
          </w:tcPr>
          <w:p>
            <w:pPr>
              <w:pStyle w:val="Compact"/>
              <w:jc w:val="left"/>
            </w:pPr>
            <w:r>
              <w:rPr>
                <w:sz w:val="19"/>
              </w:rPr>
              <w:t xml:space="preserve">The college can run its own site.</w:t>
            </w:r>
          </w:p>
        </w:tc>
      </w:tr>
      <w:tr>
        <w:tc>
          <w:tcPr>
            <w:tcW w:type="dxa" w:w="1134"/>
          </w:tcPr>
          <w:p>
            <w:pPr>
              <w:pStyle w:val="Compact"/>
              <w:jc w:val="left"/>
            </w:pPr>
            <w:r>
              <w:rPr>
                <w:sz w:val="19"/>
              </w:rPr>
              <w:t xml:space="preserve">ADR-07</w:t>
            </w:r>
          </w:p>
        </w:tc>
        <w:tc>
          <w:tcPr>
            <w:tcW w:type="dxa" w:w="3685"/>
          </w:tcPr>
          <w:p>
            <w:pPr>
              <w:pStyle w:val="Compact"/>
              <w:jc w:val="left"/>
            </w:pPr>
            <w:r>
              <w:rPr>
                <w:sz w:val="19"/>
              </w:rPr>
              <w:t xml:space="preserve">Idempotency keys on submissions and payments</w:t>
            </w:r>
          </w:p>
        </w:tc>
        <w:tc>
          <w:tcPr>
            <w:tcW w:type="dxa" w:w="4819"/>
          </w:tcPr>
          <w:p>
            <w:pPr>
              <w:pStyle w:val="Compact"/>
              <w:jc w:val="left"/>
            </w:pPr>
            <w:r>
              <w:rPr>
                <w:sz w:val="19"/>
              </w:rPr>
              <w:t xml:space="preserve">Safe retries on poor connections.</w:t>
            </w:r>
          </w:p>
        </w:tc>
      </w:tr>
      <w:tr>
        <w:tc>
          <w:tcPr>
            <w:tcW w:type="dxa" w:w="1134"/>
          </w:tcPr>
          <w:p>
            <w:pPr>
              <w:pStyle w:val="Compact"/>
              <w:jc w:val="left"/>
            </w:pPr>
            <w:r>
              <w:rPr>
                <w:sz w:val="19"/>
              </w:rPr>
              <w:t xml:space="preserve">ADR-08</w:t>
            </w:r>
          </w:p>
        </w:tc>
        <w:tc>
          <w:tcPr>
            <w:tcW w:type="dxa" w:w="3685"/>
          </w:tcPr>
          <w:p>
            <w:pPr>
              <w:pStyle w:val="Compact"/>
              <w:jc w:val="left"/>
            </w:pPr>
            <w:r>
              <w:rPr>
                <w:sz w:val="19"/>
              </w:rPr>
              <w:t xml:space="preserve">Launch public site and applications first, portals later</w:t>
            </w:r>
          </w:p>
        </w:tc>
        <w:tc>
          <w:tcPr>
            <w:tcW w:type="dxa" w:w="4819"/>
          </w:tcPr>
          <w:p>
            <w:pPr>
              <w:pStyle w:val="Compact"/>
              <w:jc w:val="left"/>
            </w:pPr>
            <w:r>
              <w:rPr>
                <w:sz w:val="19"/>
              </w:rPr>
              <w:t xml:space="preserve">Earliest value to the college.</w:t>
            </w:r>
          </w:p>
        </w:tc>
      </w:tr>
      <w:tr>
        <w:tc>
          <w:tcPr>
            <w:tcW w:type="dxa" w:w="1134"/>
          </w:tcPr>
          <w:p>
            <w:pPr>
              <w:pStyle w:val="Compact"/>
              <w:jc w:val="left"/>
            </w:pPr>
            <w:r>
              <w:rPr>
                <w:sz w:val="19"/>
              </w:rPr>
              <w:t xml:space="preserve">ADR-09</w:t>
            </w:r>
          </w:p>
        </w:tc>
        <w:tc>
          <w:tcPr>
            <w:tcW w:type="dxa" w:w="3685"/>
          </w:tcPr>
          <w:p>
            <w:pPr>
              <w:pStyle w:val="Compact"/>
              <w:jc w:val="left"/>
            </w:pPr>
            <w:r>
              <w:rPr>
                <w:sz w:val="19"/>
              </w:rPr>
              <w:t xml:space="preserve">School-level icons live in the UI icon set, not in the crest</w:t>
            </w:r>
          </w:p>
        </w:tc>
        <w:tc>
          <w:tcPr>
            <w:tcW w:type="dxa" w:w="4819"/>
          </w:tcPr>
          <w:p>
            <w:pPr>
              <w:pStyle w:val="Compact"/>
              <w:jc w:val="left"/>
            </w:pPr>
            <w:r>
              <w:rPr>
                <w:sz w:val="19"/>
              </w:rPr>
              <w:t xml:space="preserve">Schools may change; the crest should not.</w:t>
            </w:r>
          </w:p>
        </w:tc>
      </w:tr>
    </w:tbl>
    <w:bookmarkEnd w:id="56"/>
    <w:bookmarkStart w:id="57" w:name="assumptions-all-to-be-confirmed"/>
    <w:p>
      <w:pPr>
        <w:pStyle w:val="Heading1"/>
      </w:pPr>
      <w:r>
        <w:t xml:space="preserve">19. Assumptions (all to be confirmed)</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ID</w:t>
            </w:r>
          </w:p>
        </w:tc>
        <w:tc>
          <w:tcPr>
            <w:tcW w:type="dxa" w:w="7824"/>
            <w:shd w:val="clear" w:fill="0A1F4D"/>
          </w:tcPr>
          <w:p>
            <w:pPr>
              <w:pStyle w:val="Compact"/>
              <w:jc w:val="left"/>
            </w:pPr>
            <w:r>
              <w:rPr>
                <w:b/>
                <w:color w:val="FFFFFF"/>
              </w:rPr>
              <w:t xml:space="preserve">Assumption</w:t>
            </w:r>
          </w:p>
        </w:tc>
      </w:tr>
      <w:tr>
        <w:tc>
          <w:tcPr>
            <w:tcW w:type="dxa" w:w="1814"/>
          </w:tcPr>
          <w:p>
            <w:pPr>
              <w:pStyle w:val="Compact"/>
              <w:jc w:val="left"/>
            </w:pPr>
            <w:r>
              <w:rPr>
                <w:sz w:val="19"/>
              </w:rPr>
              <w:t xml:space="preserve">A-01</w:t>
            </w:r>
          </w:p>
        </w:tc>
        <w:tc>
          <w:tcPr>
            <w:tcW w:type="dxa" w:w="7824"/>
          </w:tcPr>
          <w:p>
            <w:pPr>
              <w:pStyle w:val="Compact"/>
              <w:jc w:val="left"/>
            </w:pPr>
            <w:r>
              <w:rPr>
                <w:sz w:val="19"/>
              </w:rPr>
              <w:t xml:space="preserve">One campus, one currency (KES), Africa/Nairobi time zone.</w:t>
            </w:r>
          </w:p>
        </w:tc>
      </w:tr>
      <w:tr>
        <w:tc>
          <w:tcPr>
            <w:tcW w:type="dxa" w:w="1814"/>
          </w:tcPr>
          <w:p>
            <w:pPr>
              <w:pStyle w:val="Compact"/>
              <w:jc w:val="left"/>
            </w:pPr>
            <w:r>
              <w:rPr>
                <w:sz w:val="19"/>
              </w:rPr>
              <w:t xml:space="preserve">A-02</w:t>
            </w:r>
          </w:p>
        </w:tc>
        <w:tc>
          <w:tcPr>
            <w:tcW w:type="dxa" w:w="7824"/>
          </w:tcPr>
          <w:p>
            <w:pPr>
              <w:pStyle w:val="Compact"/>
              <w:jc w:val="left"/>
            </w:pPr>
            <w:r>
              <w:rPr>
                <w:sz w:val="19"/>
              </w:rPr>
              <w:t xml:space="preserve">The college can supply content, fees and photos before M1 launch.</w:t>
            </w:r>
          </w:p>
        </w:tc>
      </w:tr>
      <w:tr>
        <w:tc>
          <w:tcPr>
            <w:tcW w:type="dxa" w:w="1814"/>
          </w:tcPr>
          <w:p>
            <w:pPr>
              <w:pStyle w:val="Compact"/>
              <w:jc w:val="left"/>
            </w:pPr>
            <w:r>
              <w:rPr>
                <w:sz w:val="19"/>
              </w:rPr>
              <w:t xml:space="preserve">A-03</w:t>
            </w:r>
          </w:p>
        </w:tc>
        <w:tc>
          <w:tcPr>
            <w:tcW w:type="dxa" w:w="7824"/>
          </w:tcPr>
          <w:p>
            <w:pPr>
              <w:pStyle w:val="Compact"/>
              <w:jc w:val="left"/>
            </w:pPr>
            <w:r>
              <w:rPr>
                <w:sz w:val="19"/>
              </w:rPr>
              <w:t xml:space="preserve">Applicants mostly use phones.</w:t>
            </w:r>
          </w:p>
        </w:tc>
      </w:tr>
      <w:tr>
        <w:tc>
          <w:tcPr>
            <w:tcW w:type="dxa" w:w="1814"/>
          </w:tcPr>
          <w:p>
            <w:pPr>
              <w:pStyle w:val="Compact"/>
              <w:jc w:val="left"/>
            </w:pPr>
            <w:r>
              <w:rPr>
                <w:sz w:val="19"/>
              </w:rPr>
              <w:t xml:space="preserve">A-04</w:t>
            </w:r>
          </w:p>
        </w:tc>
        <w:tc>
          <w:tcPr>
            <w:tcW w:type="dxa" w:w="7824"/>
          </w:tcPr>
          <w:p>
            <w:pPr>
              <w:pStyle w:val="Compact"/>
              <w:jc w:val="left"/>
            </w:pPr>
            <w:r>
              <w:rPr>
                <w:sz w:val="19"/>
              </w:rPr>
              <w:t xml:space="preserve">Fees are set per programme and intake and are published.</w:t>
            </w:r>
          </w:p>
        </w:tc>
      </w:tr>
      <w:tr>
        <w:tc>
          <w:tcPr>
            <w:tcW w:type="dxa" w:w="1814"/>
          </w:tcPr>
          <w:p>
            <w:pPr>
              <w:pStyle w:val="Compact"/>
              <w:jc w:val="left"/>
            </w:pPr>
            <w:r>
              <w:rPr>
                <w:sz w:val="19"/>
              </w:rPr>
              <w:t xml:space="preserve">A-05</w:t>
            </w:r>
          </w:p>
        </w:tc>
        <w:tc>
          <w:tcPr>
            <w:tcW w:type="dxa" w:w="7824"/>
          </w:tcPr>
          <w:p>
            <w:pPr>
              <w:pStyle w:val="Compact"/>
              <w:jc w:val="left"/>
            </w:pPr>
            <w:r>
              <w:rPr>
                <w:sz w:val="19"/>
              </w:rPr>
              <w:t xml:space="preserve">The college will pay for production-grade hosting before real student data is stored.</w:t>
            </w:r>
          </w:p>
        </w:tc>
      </w:tr>
      <w:tr>
        <w:tc>
          <w:tcPr>
            <w:tcW w:type="dxa" w:w="1814"/>
          </w:tcPr>
          <w:p>
            <w:pPr>
              <w:pStyle w:val="Compact"/>
              <w:jc w:val="left"/>
            </w:pPr>
            <w:r>
              <w:rPr>
                <w:sz w:val="19"/>
              </w:rPr>
              <w:t xml:space="preserve">A-06</w:t>
            </w:r>
          </w:p>
        </w:tc>
        <w:tc>
          <w:tcPr>
            <w:tcW w:type="dxa" w:w="7824"/>
          </w:tcPr>
          <w:p>
            <w:pPr>
              <w:pStyle w:val="Compact"/>
              <w:jc w:val="left"/>
            </w:pPr>
            <w:r>
              <w:rPr>
                <w:sz w:val="19"/>
              </w:rPr>
              <w:t xml:space="preserve">Student numbers and receipt numbers are gapless and unique.</w:t>
            </w:r>
          </w:p>
        </w:tc>
      </w:tr>
      <w:tr>
        <w:tc>
          <w:tcPr>
            <w:tcW w:type="dxa" w:w="1814"/>
          </w:tcPr>
          <w:p>
            <w:pPr>
              <w:pStyle w:val="Compact"/>
              <w:jc w:val="left"/>
            </w:pPr>
            <w:r>
              <w:rPr>
                <w:sz w:val="19"/>
              </w:rPr>
              <w:t xml:space="preserve">A-07</w:t>
            </w:r>
          </w:p>
        </w:tc>
        <w:tc>
          <w:tcPr>
            <w:tcW w:type="dxa" w:w="7824"/>
          </w:tcPr>
          <w:p>
            <w:pPr>
              <w:pStyle w:val="Compact"/>
              <w:jc w:val="left"/>
            </w:pPr>
            <w:r>
              <w:rPr>
                <w:sz w:val="19"/>
              </w:rPr>
              <w:t xml:space="preserve">Free tiers are used for development and private staging only.</w:t>
            </w:r>
          </w:p>
        </w:tc>
      </w:tr>
    </w:tbl>
    <w:bookmarkEnd w:id="57"/>
    <w:bookmarkStart w:id="58" w:name="risks"/>
    <w:p>
      <w:pPr>
        <w:pStyle w:val="Heading1"/>
      </w:pPr>
      <w:r>
        <w:t xml:space="preserve">20. Risks</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2640"/>
        <w:gridCol w:w="2640"/>
        <w:gridCol w:w="2640"/>
      </w:tblGrid>
      <w:tr>
        <w:trPr>
          <w:tblHeader w:val="true"/>
          <w:tblHeader w:val="true"/>
        </w:trPr>
        <w:tc>
          <w:tcPr>
            <w:tcW w:type="dxa" w:w="1134"/>
            <w:shd w:val="clear" w:fill="0A1F4D"/>
          </w:tcPr>
          <w:p>
            <w:pPr>
              <w:pStyle w:val="Compact"/>
              <w:jc w:val="left"/>
            </w:pPr>
            <w:r>
              <w:rPr>
                <w:b/>
                <w:color w:val="FFFFFF"/>
              </w:rPr>
              <w:t xml:space="preserve">ID</w:t>
            </w:r>
          </w:p>
        </w:tc>
        <w:tc>
          <w:tcPr>
            <w:tcW w:type="dxa" w:w="3685"/>
            <w:shd w:val="clear" w:fill="0A1F4D"/>
          </w:tcPr>
          <w:p>
            <w:pPr>
              <w:pStyle w:val="Compact"/>
              <w:jc w:val="left"/>
            </w:pPr>
            <w:r>
              <w:rPr>
                <w:b/>
                <w:color w:val="FFFFFF"/>
              </w:rPr>
              <w:t xml:space="preserve">Risk</w:t>
            </w:r>
          </w:p>
        </w:tc>
        <w:tc>
          <w:tcPr>
            <w:tcW w:type="dxa" w:w="4819"/>
            <w:shd w:val="clear" w:fill="0A1F4D"/>
          </w:tcPr>
          <w:p>
            <w:pPr>
              <w:pStyle w:val="Compact"/>
              <w:jc w:val="left"/>
            </w:pPr>
            <w:r>
              <w:rPr>
                <w:b/>
                <w:color w:val="FFFFFF"/>
              </w:rPr>
              <w:t xml:space="preserve">Mitigation</w:t>
            </w:r>
          </w:p>
        </w:tc>
      </w:tr>
      <w:tr>
        <w:tc>
          <w:tcPr>
            <w:tcW w:type="dxa" w:w="1134"/>
          </w:tcPr>
          <w:p>
            <w:pPr>
              <w:pStyle w:val="Compact"/>
              <w:jc w:val="left"/>
            </w:pPr>
            <w:r>
              <w:rPr>
                <w:sz w:val="19"/>
              </w:rPr>
              <w:t xml:space="preserve">R-01</w:t>
            </w:r>
          </w:p>
        </w:tc>
        <w:tc>
          <w:tcPr>
            <w:tcW w:type="dxa" w:w="3685"/>
          </w:tcPr>
          <w:p>
            <w:pPr>
              <w:pStyle w:val="Compact"/>
              <w:jc w:val="left"/>
            </w:pPr>
            <w:r>
              <w:rPr>
                <w:sz w:val="19"/>
              </w:rPr>
              <w:t xml:space="preserve">Client content arrives late</w:t>
            </w:r>
          </w:p>
        </w:tc>
        <w:tc>
          <w:tcPr>
            <w:tcW w:type="dxa" w:w="4819"/>
          </w:tcPr>
          <w:p>
            <w:pPr>
              <w:pStyle w:val="Compact"/>
              <w:jc w:val="left"/>
            </w:pPr>
            <w:r>
              <w:rPr>
                <w:sz w:val="19"/>
              </w:rPr>
              <w:t xml:space="preserve">Content checklist, placeholders marked clearly, launch gated on content.</w:t>
            </w:r>
          </w:p>
        </w:tc>
      </w:tr>
      <w:tr>
        <w:tc>
          <w:tcPr>
            <w:tcW w:type="dxa" w:w="1134"/>
          </w:tcPr>
          <w:p>
            <w:pPr>
              <w:pStyle w:val="Compact"/>
              <w:jc w:val="left"/>
            </w:pPr>
            <w:r>
              <w:rPr>
                <w:sz w:val="19"/>
              </w:rPr>
              <w:t xml:space="preserve">R-02</w:t>
            </w:r>
          </w:p>
        </w:tc>
        <w:tc>
          <w:tcPr>
            <w:tcW w:type="dxa" w:w="3685"/>
          </w:tcPr>
          <w:p>
            <w:pPr>
              <w:pStyle w:val="Compact"/>
              <w:jc w:val="left"/>
            </w:pPr>
            <w:r>
              <w:rPr>
                <w:sz w:val="19"/>
              </w:rPr>
              <w:t xml:space="preserve">Free hosting limits break the demo</w:t>
            </w:r>
          </w:p>
        </w:tc>
        <w:tc>
          <w:tcPr>
            <w:tcW w:type="dxa" w:w="4819"/>
          </w:tcPr>
          <w:p>
            <w:pPr>
              <w:pStyle w:val="Compact"/>
              <w:jc w:val="left"/>
            </w:pPr>
            <w:r>
              <w:rPr>
                <w:sz w:val="19"/>
              </w:rPr>
              <w:t xml:space="preserve">Local Docker for demos, cached public pages, paid plans before real data.</w:t>
            </w:r>
          </w:p>
        </w:tc>
      </w:tr>
      <w:tr>
        <w:tc>
          <w:tcPr>
            <w:tcW w:type="dxa" w:w="1134"/>
          </w:tcPr>
          <w:p>
            <w:pPr>
              <w:pStyle w:val="Compact"/>
              <w:jc w:val="left"/>
            </w:pPr>
            <w:r>
              <w:rPr>
                <w:sz w:val="19"/>
              </w:rPr>
              <w:t xml:space="preserve">R-03</w:t>
            </w:r>
          </w:p>
        </w:tc>
        <w:tc>
          <w:tcPr>
            <w:tcW w:type="dxa" w:w="3685"/>
          </w:tcPr>
          <w:p>
            <w:pPr>
              <w:pStyle w:val="Compact"/>
              <w:jc w:val="left"/>
            </w:pPr>
            <w:r>
              <w:rPr>
                <w:sz w:val="19"/>
              </w:rPr>
              <w:t xml:space="preserve">Vercel Hobby terms breached</w:t>
            </w:r>
          </w:p>
        </w:tc>
        <w:tc>
          <w:tcPr>
            <w:tcW w:type="dxa" w:w="4819"/>
          </w:tcPr>
          <w:p>
            <w:pPr>
              <w:pStyle w:val="Compact"/>
              <w:jc w:val="left"/>
            </w:pPr>
            <w:r>
              <w:rPr>
                <w:sz w:val="19"/>
              </w:rPr>
              <w:t xml:space="preserve">Use Pro or Cloudflare for any client-facing deployment.</w:t>
            </w:r>
          </w:p>
        </w:tc>
      </w:tr>
      <w:tr>
        <w:tc>
          <w:tcPr>
            <w:tcW w:type="dxa" w:w="1134"/>
          </w:tcPr>
          <w:p>
            <w:pPr>
              <w:pStyle w:val="Compact"/>
              <w:jc w:val="left"/>
            </w:pPr>
            <w:r>
              <w:rPr>
                <w:sz w:val="19"/>
              </w:rPr>
              <w:t xml:space="preserve">R-04</w:t>
            </w:r>
          </w:p>
        </w:tc>
        <w:tc>
          <w:tcPr>
            <w:tcW w:type="dxa" w:w="3685"/>
          </w:tcPr>
          <w:p>
            <w:pPr>
              <w:pStyle w:val="Compact"/>
              <w:jc w:val="left"/>
            </w:pPr>
            <w:r>
              <w:rPr>
                <w:sz w:val="19"/>
              </w:rPr>
              <w:t xml:space="preserve">Personal data of minors mishandled</w:t>
            </w:r>
          </w:p>
        </w:tc>
        <w:tc>
          <w:tcPr>
            <w:tcW w:type="dxa" w:w="4819"/>
          </w:tcPr>
          <w:p>
            <w:pPr>
              <w:pStyle w:val="Compact"/>
              <w:jc w:val="left"/>
            </w:pPr>
            <w:r>
              <w:rPr>
                <w:sz w:val="19"/>
              </w:rPr>
              <w:t xml:space="preserve">Consent flows, access control, retention rules, data protection review (DG-06).</w:t>
            </w:r>
          </w:p>
        </w:tc>
      </w:tr>
      <w:tr>
        <w:tc>
          <w:tcPr>
            <w:tcW w:type="dxa" w:w="1134"/>
          </w:tcPr>
          <w:p>
            <w:pPr>
              <w:pStyle w:val="Compact"/>
              <w:jc w:val="left"/>
            </w:pPr>
            <w:r>
              <w:rPr>
                <w:sz w:val="19"/>
              </w:rPr>
              <w:t xml:space="preserve">R-05</w:t>
            </w:r>
          </w:p>
        </w:tc>
        <w:tc>
          <w:tcPr>
            <w:tcW w:type="dxa" w:w="3685"/>
          </w:tcPr>
          <w:p>
            <w:pPr>
              <w:pStyle w:val="Compact"/>
              <w:jc w:val="left"/>
            </w:pPr>
            <w:r>
              <w:rPr>
                <w:sz w:val="19"/>
              </w:rPr>
              <w:t xml:space="preserve">Unverified claims published</w:t>
            </w:r>
          </w:p>
        </w:tc>
        <w:tc>
          <w:tcPr>
            <w:tcW w:type="dxa" w:w="4819"/>
          </w:tcPr>
          <w:p>
            <w:pPr>
              <w:pStyle w:val="Compact"/>
              <w:jc w:val="left"/>
            </w:pPr>
            <w:r>
              <w:rPr>
                <w:sz w:val="19"/>
              </w:rPr>
              <w:t xml:space="preserve">Statistics and accreditation need evidence and verification date; empty means hidden.</w:t>
            </w:r>
          </w:p>
        </w:tc>
      </w:tr>
      <w:tr>
        <w:tc>
          <w:tcPr>
            <w:tcW w:type="dxa" w:w="1134"/>
          </w:tcPr>
          <w:p>
            <w:pPr>
              <w:pStyle w:val="Compact"/>
              <w:jc w:val="left"/>
            </w:pPr>
            <w:r>
              <w:rPr>
                <w:sz w:val="19"/>
              </w:rPr>
              <w:t xml:space="preserve">R-06</w:t>
            </w:r>
          </w:p>
        </w:tc>
        <w:tc>
          <w:tcPr>
            <w:tcW w:type="dxa" w:w="3685"/>
          </w:tcPr>
          <w:p>
            <w:pPr>
              <w:pStyle w:val="Compact"/>
              <w:jc w:val="left"/>
            </w:pPr>
            <w:r>
              <w:rPr>
                <w:sz w:val="19"/>
              </w:rPr>
              <w:t xml:space="preserve">Payment status mistaken for proof</w:t>
            </w:r>
          </w:p>
        </w:tc>
        <w:tc>
          <w:tcPr>
            <w:tcW w:type="dxa" w:w="4819"/>
          </w:tcPr>
          <w:p>
            <w:pPr>
              <w:pStyle w:val="Compact"/>
              <w:jc w:val="left"/>
            </w:pPr>
            <w:r>
              <w:rPr>
                <w:sz w:val="19"/>
              </w:rPr>
              <w:t xml:space="preserve">Pending confirmation state, verified flow only.</w:t>
            </w:r>
          </w:p>
        </w:tc>
      </w:tr>
      <w:tr>
        <w:tc>
          <w:tcPr>
            <w:tcW w:type="dxa" w:w="1134"/>
          </w:tcPr>
          <w:p>
            <w:pPr>
              <w:pStyle w:val="Compact"/>
              <w:jc w:val="left"/>
            </w:pPr>
            <w:r>
              <w:rPr>
                <w:sz w:val="19"/>
              </w:rPr>
              <w:t xml:space="preserve">R-07</w:t>
            </w:r>
          </w:p>
        </w:tc>
        <w:tc>
          <w:tcPr>
            <w:tcW w:type="dxa" w:w="3685"/>
          </w:tcPr>
          <w:p>
            <w:pPr>
              <w:pStyle w:val="Compact"/>
              <w:jc w:val="left"/>
            </w:pPr>
            <w:r>
              <w:rPr>
                <w:sz w:val="19"/>
              </w:rPr>
              <w:t xml:space="preserve">Scope creep into a full LMS or ERP</w:t>
            </w:r>
          </w:p>
        </w:tc>
        <w:tc>
          <w:tcPr>
            <w:tcW w:type="dxa" w:w="4819"/>
          </w:tcPr>
          <w:p>
            <w:pPr>
              <w:pStyle w:val="Compact"/>
              <w:jc w:val="left"/>
            </w:pPr>
            <w:r>
              <w:rPr>
                <w:sz w:val="19"/>
              </w:rPr>
              <w:t xml:space="preserve">MoSCoW priorities and stage-gated delivery.</w:t>
            </w:r>
          </w:p>
        </w:tc>
      </w:tr>
      <w:tr>
        <w:tc>
          <w:tcPr>
            <w:tcW w:type="dxa" w:w="1134"/>
          </w:tcPr>
          <w:p>
            <w:pPr>
              <w:pStyle w:val="Compact"/>
              <w:jc w:val="left"/>
            </w:pPr>
            <w:r>
              <w:rPr>
                <w:sz w:val="19"/>
              </w:rPr>
              <w:t xml:space="preserve">R-08</w:t>
            </w:r>
          </w:p>
        </w:tc>
        <w:tc>
          <w:tcPr>
            <w:tcW w:type="dxa" w:w="3685"/>
          </w:tcPr>
          <w:p>
            <w:pPr>
              <w:pStyle w:val="Compact"/>
              <w:jc w:val="left"/>
            </w:pPr>
            <w:r>
              <w:rPr>
                <w:sz w:val="19"/>
              </w:rPr>
              <w:t xml:space="preserve">Build environment limits (no Docker in chat sandbox)</w:t>
            </w:r>
          </w:p>
        </w:tc>
        <w:tc>
          <w:tcPr>
            <w:tcW w:type="dxa" w:w="4819"/>
          </w:tcPr>
          <w:p>
            <w:pPr>
              <w:pStyle w:val="Compact"/>
              <w:jc w:val="left"/>
            </w:pPr>
            <w:r>
              <w:rPr>
                <w:sz w:val="19"/>
              </w:rPr>
              <w:t xml:space="preserve">Build in Claude Code on the developer’s machine where Docker and PostgreSQL run.</w:t>
            </w:r>
          </w:p>
        </w:tc>
      </w:tr>
      <w:tr>
        <w:tc>
          <w:tcPr>
            <w:tcW w:type="dxa" w:w="1134"/>
          </w:tcPr>
          <w:p>
            <w:pPr>
              <w:pStyle w:val="Compact"/>
              <w:jc w:val="left"/>
            </w:pPr>
            <w:r>
              <w:rPr>
                <w:sz w:val="19"/>
              </w:rPr>
              <w:t xml:space="preserve">R-09</w:t>
            </w:r>
          </w:p>
        </w:tc>
        <w:tc>
          <w:tcPr>
            <w:tcW w:type="dxa" w:w="3685"/>
          </w:tcPr>
          <w:p>
            <w:pPr>
              <w:pStyle w:val="Compact"/>
              <w:jc w:val="left"/>
            </w:pPr>
            <w:r>
              <w:rPr>
                <w:sz w:val="19"/>
              </w:rPr>
              <w:t xml:space="preserve">Logo is low resolution and ambiguous</w:t>
            </w:r>
          </w:p>
        </w:tc>
        <w:tc>
          <w:tcPr>
            <w:tcW w:type="dxa" w:w="4819"/>
          </w:tcPr>
          <w:p>
            <w:pPr>
              <w:pStyle w:val="Compact"/>
              <w:jc w:val="left"/>
            </w:pPr>
            <w:r>
              <w:rPr>
                <w:sz w:val="19"/>
              </w:rPr>
              <w:t xml:space="preserve">Vector rebuild, confirm tagline wording, test at 16 px.</w:t>
            </w:r>
          </w:p>
        </w:tc>
      </w:tr>
    </w:tbl>
    <w:bookmarkEnd w:id="58"/>
    <w:bookmarkStart w:id="59" w:name="non-negotiable-rules"/>
    <w:p>
      <w:pPr>
        <w:pStyle w:val="Heading1"/>
      </w:pPr>
      <w:r>
        <w:t xml:space="preserve">21. Non-negotiable rules</w:t>
      </w:r>
    </w:p>
    <w:tbl>
      <w:tblPr>
        <w:tblStyle w:val="Table"/>
        <w:tblW w:type="pct" w:w="5000"/>
        <w:tblLayout w:type="fixed"/>
        <w:tblLook w:firstRow="1" w:lastRow="0" w:firstColumn="0" w:lastColumn="0" w:noHBand="0" w:noVBand="0" w:val="0020"/>
        <w:jc w:val="start"/>
        <w:tblBorders>
          <w:top w:val="single" w:sz="4" w:color="C9C3B5"/>
          <w:left w:val="single" w:sz="4" w:color="C9C3B5"/>
          <w:bottom w:val="single" w:sz="4" w:color="C9C3B5"/>
          <w:right w:val="single" w:sz="4" w:color="C9C3B5"/>
          <w:insideH w:val="single" w:sz="4" w:color="C9C3B5"/>
          <w:insideV w:val="single" w:sz="4" w:color="C9C3B5"/>
        </w:tblBorders>
      </w:tblPr>
      <w:tblGrid>
        <w:gridCol w:w="3960"/>
        <w:gridCol w:w="3960"/>
      </w:tblGrid>
      <w:tr>
        <w:trPr>
          <w:tblHeader w:val="true"/>
          <w:tblHeader w:val="true"/>
        </w:trPr>
        <w:tc>
          <w:tcPr>
            <w:tcW w:type="dxa" w:w="1814"/>
            <w:shd w:val="clear" w:fill="0A1F4D"/>
          </w:tcPr>
          <w:p>
            <w:pPr>
              <w:pStyle w:val="Compact"/>
              <w:jc w:val="left"/>
            </w:pPr>
            <w:r>
              <w:rPr>
                <w:b/>
                <w:color w:val="FFFFFF"/>
              </w:rPr>
              <w:t xml:space="preserve">ID</w:t>
            </w:r>
          </w:p>
        </w:tc>
        <w:tc>
          <w:tcPr>
            <w:tcW w:type="dxa" w:w="7824"/>
            <w:shd w:val="clear" w:fill="0A1F4D"/>
          </w:tcPr>
          <w:p>
            <w:pPr>
              <w:pStyle w:val="Compact"/>
              <w:jc w:val="left"/>
            </w:pPr>
            <w:r>
              <w:rPr>
                <w:b/>
                <w:color w:val="FFFFFF"/>
              </w:rPr>
              <w:t xml:space="preserve">Rule</w:t>
            </w:r>
          </w:p>
        </w:tc>
      </w:tr>
      <w:tr>
        <w:tc>
          <w:tcPr>
            <w:tcW w:type="dxa" w:w="1814"/>
          </w:tcPr>
          <w:p>
            <w:pPr>
              <w:pStyle w:val="Compact"/>
              <w:jc w:val="left"/>
            </w:pPr>
            <w:r>
              <w:rPr>
                <w:sz w:val="19"/>
              </w:rPr>
              <w:t xml:space="preserve">NN-01</w:t>
            </w:r>
          </w:p>
        </w:tc>
        <w:tc>
          <w:tcPr>
            <w:tcW w:type="dxa" w:w="7824"/>
          </w:tcPr>
          <w:p>
            <w:pPr>
              <w:pStyle w:val="Compact"/>
              <w:jc w:val="left"/>
            </w:pPr>
            <w:r>
              <w:rPr>
                <w:sz w:val="19"/>
              </w:rPr>
              <w:t xml:space="preserve">No unverified claim about accreditation, statistics, rankings or outcomes.</w:t>
            </w:r>
          </w:p>
        </w:tc>
      </w:tr>
      <w:tr>
        <w:tc>
          <w:tcPr>
            <w:tcW w:type="dxa" w:w="1814"/>
          </w:tcPr>
          <w:p>
            <w:pPr>
              <w:pStyle w:val="Compact"/>
              <w:jc w:val="left"/>
            </w:pPr>
            <w:r>
              <w:rPr>
                <w:sz w:val="19"/>
              </w:rPr>
              <w:t xml:space="preserve">NN-02</w:t>
            </w:r>
          </w:p>
        </w:tc>
        <w:tc>
          <w:tcPr>
            <w:tcW w:type="dxa" w:w="7824"/>
          </w:tcPr>
          <w:p>
            <w:pPr>
              <w:pStyle w:val="Compact"/>
              <w:jc w:val="left"/>
            </w:pPr>
            <w:r>
              <w:rPr>
                <w:sz w:val="19"/>
              </w:rPr>
              <w:t xml:space="preserve">Backend enforces authorisation and every critical rule.</w:t>
            </w:r>
          </w:p>
        </w:tc>
      </w:tr>
      <w:tr>
        <w:tc>
          <w:tcPr>
            <w:tcW w:type="dxa" w:w="1814"/>
          </w:tcPr>
          <w:p>
            <w:pPr>
              <w:pStyle w:val="Compact"/>
              <w:jc w:val="left"/>
            </w:pPr>
            <w:r>
              <w:rPr>
                <w:sz w:val="19"/>
              </w:rPr>
              <w:t xml:space="preserve">NN-03</w:t>
            </w:r>
          </w:p>
        </w:tc>
        <w:tc>
          <w:tcPr>
            <w:tcW w:type="dxa" w:w="7824"/>
          </w:tcPr>
          <w:p>
            <w:pPr>
              <w:pStyle w:val="Compact"/>
              <w:jc w:val="left"/>
            </w:pPr>
            <w:r>
              <w:rPr>
                <w:sz w:val="19"/>
              </w:rPr>
              <w:t xml:space="preserve">Money is integer cents; balances derive from records.</w:t>
            </w:r>
          </w:p>
        </w:tc>
      </w:tr>
      <w:tr>
        <w:tc>
          <w:tcPr>
            <w:tcW w:type="dxa" w:w="1814"/>
          </w:tcPr>
          <w:p>
            <w:pPr>
              <w:pStyle w:val="Compact"/>
              <w:jc w:val="left"/>
            </w:pPr>
            <w:r>
              <w:rPr>
                <w:sz w:val="19"/>
              </w:rPr>
              <w:t xml:space="preserve">NN-04</w:t>
            </w:r>
          </w:p>
        </w:tc>
        <w:tc>
          <w:tcPr>
            <w:tcW w:type="dxa" w:w="7824"/>
          </w:tcPr>
          <w:p>
            <w:pPr>
              <w:pStyle w:val="Compact"/>
              <w:jc w:val="left"/>
            </w:pPr>
            <w:r>
              <w:rPr>
                <w:sz w:val="19"/>
              </w:rPr>
              <w:t xml:space="preserve">Submissions and payments are idempotent.</w:t>
            </w:r>
          </w:p>
        </w:tc>
      </w:tr>
      <w:tr>
        <w:tc>
          <w:tcPr>
            <w:tcW w:type="dxa" w:w="1814"/>
          </w:tcPr>
          <w:p>
            <w:pPr>
              <w:pStyle w:val="Compact"/>
              <w:jc w:val="left"/>
            </w:pPr>
            <w:r>
              <w:rPr>
                <w:sz w:val="19"/>
              </w:rPr>
              <w:t xml:space="preserve">NN-05</w:t>
            </w:r>
          </w:p>
        </w:tc>
        <w:tc>
          <w:tcPr>
            <w:tcW w:type="dxa" w:w="7824"/>
          </w:tcPr>
          <w:p>
            <w:pPr>
              <w:pStyle w:val="Compact"/>
              <w:jc w:val="left"/>
            </w:pPr>
            <w:r>
              <w:rPr>
                <w:sz w:val="19"/>
              </w:rPr>
              <w:t xml:space="preserve">Completed financial and academic records are never edited destructively; corrections are audited.</w:t>
            </w:r>
          </w:p>
        </w:tc>
      </w:tr>
      <w:tr>
        <w:tc>
          <w:tcPr>
            <w:tcW w:type="dxa" w:w="1814"/>
          </w:tcPr>
          <w:p>
            <w:pPr>
              <w:pStyle w:val="Compact"/>
              <w:jc w:val="left"/>
            </w:pPr>
            <w:r>
              <w:rPr>
                <w:sz w:val="19"/>
              </w:rPr>
              <w:t xml:space="preserve">NN-06</w:t>
            </w:r>
          </w:p>
        </w:tc>
        <w:tc>
          <w:tcPr>
            <w:tcW w:type="dxa" w:w="7824"/>
          </w:tcPr>
          <w:p>
            <w:pPr>
              <w:pStyle w:val="Compact"/>
              <w:jc w:val="left"/>
            </w:pPr>
            <w:r>
              <w:rPr>
                <w:sz w:val="19"/>
              </w:rPr>
              <w:t xml:space="preserve">No real student data in test or seed files. Test data never reaches production.</w:t>
            </w:r>
          </w:p>
        </w:tc>
      </w:tr>
      <w:tr>
        <w:tc>
          <w:tcPr>
            <w:tcW w:type="dxa" w:w="1814"/>
          </w:tcPr>
          <w:p>
            <w:pPr>
              <w:pStyle w:val="Compact"/>
              <w:jc w:val="left"/>
            </w:pPr>
            <w:r>
              <w:rPr>
                <w:sz w:val="19"/>
              </w:rPr>
              <w:t xml:space="preserve">NN-07</w:t>
            </w:r>
          </w:p>
        </w:tc>
        <w:tc>
          <w:tcPr>
            <w:tcW w:type="dxa" w:w="7824"/>
          </w:tcPr>
          <w:p>
            <w:pPr>
              <w:pStyle w:val="Compact"/>
              <w:jc w:val="left"/>
            </w:pPr>
            <w:r>
              <w:rPr>
                <w:sz w:val="19"/>
              </w:rPr>
              <w:t xml:space="preserve">Production database is Supabase-managed or an operated server, never a throwaway container.</w:t>
            </w:r>
          </w:p>
        </w:tc>
      </w:tr>
      <w:tr>
        <w:tc>
          <w:tcPr>
            <w:tcW w:type="dxa" w:w="1814"/>
          </w:tcPr>
          <w:p>
            <w:pPr>
              <w:pStyle w:val="Compact"/>
              <w:jc w:val="left"/>
            </w:pPr>
            <w:r>
              <w:rPr>
                <w:sz w:val="19"/>
              </w:rPr>
              <w:t xml:space="preserve">NN-08</w:t>
            </w:r>
          </w:p>
        </w:tc>
        <w:tc>
          <w:tcPr>
            <w:tcW w:type="dxa" w:w="7824"/>
          </w:tcPr>
          <w:p>
            <w:pPr>
              <w:pStyle w:val="Compact"/>
              <w:jc w:val="left"/>
            </w:pPr>
            <w:r>
              <w:rPr>
                <w:sz w:val="19"/>
              </w:rPr>
              <w:t xml:space="preserve">Personal data and photos are used only with consent.</w:t>
            </w:r>
          </w:p>
        </w:tc>
      </w:tr>
      <w:tr>
        <w:tc>
          <w:tcPr>
            <w:tcW w:type="dxa" w:w="1814"/>
          </w:tcPr>
          <w:p>
            <w:pPr>
              <w:pStyle w:val="Compact"/>
              <w:jc w:val="left"/>
            </w:pPr>
            <w:r>
              <w:rPr>
                <w:sz w:val="19"/>
              </w:rPr>
              <w:t xml:space="preserve">NN-09</w:t>
            </w:r>
          </w:p>
        </w:tc>
        <w:tc>
          <w:tcPr>
            <w:tcW w:type="dxa" w:w="7824"/>
          </w:tcPr>
          <w:p>
            <w:pPr>
              <w:pStyle w:val="Compact"/>
              <w:jc w:val="left"/>
            </w:pPr>
            <w:r>
              <w:rPr>
                <w:sz w:val="19"/>
              </w:rPr>
              <w:t xml:space="preserve">No copying of text, images, code or brand elements from the reference site.</w:t>
            </w:r>
          </w:p>
        </w:tc>
      </w:tr>
      <w:tr>
        <w:tc>
          <w:tcPr>
            <w:tcW w:type="dxa" w:w="1814"/>
          </w:tcPr>
          <w:p>
            <w:pPr>
              <w:pStyle w:val="Compact"/>
              <w:jc w:val="left"/>
            </w:pPr>
            <w:r>
              <w:rPr>
                <w:sz w:val="19"/>
              </w:rPr>
              <w:t xml:space="preserve">NN-10</w:t>
            </w:r>
          </w:p>
        </w:tc>
        <w:tc>
          <w:tcPr>
            <w:tcW w:type="dxa" w:w="7824"/>
          </w:tcPr>
          <w:p>
            <w:pPr>
              <w:pStyle w:val="Compact"/>
              <w:jc w:val="left"/>
            </w:pPr>
            <w:r>
              <w:rPr>
                <w:sz w:val="19"/>
              </w:rPr>
              <w:t xml:space="preserve">M-Pesa paid state needs the verified path or finance confirmation.</w:t>
            </w:r>
          </w:p>
        </w:tc>
      </w:tr>
    </w:tbl>
    <w:p>
      <w:pPr>
        <w:pStyle w:val="BodyText"/>
      </w:pPr>
      <w:r>
        <w:rPr>
          <w:iCs/>
          <w:i/>
        </w:rPr>
        <w:t xml:space="preserve">Working specification, version 1.0, prepared 22 October 2026. Validate discovery items before implementation.</w:t>
      </w:r>
    </w:p>
    <w:bookmarkEnd w:id="59"/>
    <w:sectPr>
      <w:footerReference w:type="default" r:id="rId9"/>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Dakota Training College | Platform Brief v1.0 | Working specification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0A1F4D"/>
      <w:sz w:val="52"/>
      <w:szCs w:val="36"/>
    </w:rPr>
  </w:style>
  <w:style w:styleId="Subtitle" w:type="paragraph">
    <w:name w:val="Subtitle"/>
    <w:basedOn w:val="Title"/>
    <w:next w:val="BodyText"/>
    <w:qFormat/>
    <w:pPr>
      <w:keepNext/>
      <w:keepLines/>
      <w:spacing w:after="240" w:before="240"/>
      <w:jc w:val="center"/>
    </w:pPr>
    <w:rPr>
      <w:rFonts w:ascii="Calibri" w:hAnsi="Calibri" w:eastAsia="Calibri"/>
      <w:b w:val="0"/>
      <w:color w:val="7A5C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360"/>
      <w:outlineLvl w:val="0"/>
    </w:pPr>
    <w:rPr>
      <w:rFonts w:asciiTheme="majorHAnsi" w:cstheme="majorBidi" w:eastAsiaTheme="majorEastAsia" w:hAnsiTheme="majorHAnsi" w:ascii="Calibri" w:hAnsi="Calibri" w:eastAsia="Calibri"/>
      <w:b/>
      <w:bCs/>
      <w:color w:val="0A1F4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Calibri"/>
      <w:b/>
      <w:bCs/>
      <w:color w:val="0A1F4D"/>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Calibri"/>
      <w:b w:val="0"/>
      <w:color w:val="0A1F4D"/>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DAKOTA TRAINING COLLEGE</dc:title>
  <dc:creator/>
  <cp:keywords/>
  <dcterms:created xsi:type="dcterms:W3CDTF">2026-10-22T09:40:01Z</dcterms:created>
  <dcterms:modified xsi:type="dcterms:W3CDTF">2026-10-22T09:40:01Z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Digital Platform: Requirements, Architecture and Delivery Brief. Version 1.0</vt:lpwstr>
  </property>
</Properties>
</file>