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ZUSCAR</w:t>
      </w:r>
    </w:p>
    <w:p>
      <w:pPr>
        <w:pStyle w:val="Subtitle"/>
      </w:pPr>
      <w:r>
        <w:t xml:space="preserve">System</w:t>
      </w:r>
      <w:r>
        <w:t xml:space="preserve"> </w:t>
      </w:r>
      <w:r>
        <w:t xml:space="preserve">Requirements,</w:t>
      </w:r>
      <w:r>
        <w:t xml:space="preserve"> </w:t>
      </w:r>
      <w:r>
        <w:t xml:space="preserve">Architecture</w:t>
      </w:r>
      <w:r>
        <w:t xml:space="preserve"> </w:t>
      </w:r>
      <w:r>
        <w:t xml:space="preserve">and</w:t>
      </w:r>
      <w:r>
        <w:t xml:space="preserve"> </w:t>
      </w:r>
      <w:r>
        <w:t xml:space="preserve">Delivery</w:t>
      </w:r>
      <w:r>
        <w:t xml:space="preserve"> </w:t>
      </w:r>
      <w:r>
        <w:t xml:space="preserve">Brief</w:t>
      </w:r>
      <w:r>
        <w:t xml:space="preserve"> </w:t>
      </w:r>
      <w:r>
        <w:t xml:space="preserve">—</w:t>
      </w:r>
      <w:r>
        <w:t xml:space="preserve"> </w:t>
      </w:r>
      <w:r>
        <w:t xml:space="preserve">Version</w:t>
      </w:r>
      <w:r>
        <w:t xml:space="preserve"> </w:t>
      </w:r>
      <w:r>
        <w:t xml:space="preserve">2.0</w:t>
      </w:r>
    </w:p>
    <w:p>
      <w:pPr>
        <w:pStyle w:val="FirstParagraph"/>
        <w:spacing w:after="100"/>
      </w:pPr>
      <w:r>
        <w:rPr>
          <w:iCs/>
          <w:i/>
        </w:rPr>
        <w:t xml:space="preserve">Source-of-truth document for planning and for the staged Claude build prompt. Version 2.0, prepared 12 October 2026. Working specification, not a signed client contract.</w:t>
      </w:r>
    </w:p>
    <w:tbl>
      <w:tblPr>
        <w:tblStyle w:val="Table"/>
        <w:tblLook w:firstRow="0" w:lastRow="0" w:firstColumn="0" w:lastColumn="0" w:noHBand="0" w:noVBand="0" w:val="000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rPr>
        <w:tc>
          <w:tcPr>
            <w:tcW w:type="dxa" w:w="2608"/>
            <w:shd w:val="clear" w:color="auto" w:fill="FAF6EF"/>
          </w:tcPr>
          <w:p>
            <w:pPr>
              <w:pStyle w:val="Compact"/>
              <w:spacing w:after="20"/>
              <w:jc w:val="left"/>
            </w:pPr>
            <w:r>
              <w:rPr>
                <w:bCs/>
                <w:b/>
                <w:sz w:val="19"/>
              </w:rPr>
              <w:t xml:space="preserve">Project</w:t>
            </w:r>
          </w:p>
        </w:tc>
        <w:tc>
          <w:tcPr>
            <w:tcW w:type="dxa" w:w="7030"/>
            <w:shd w:val="clear" w:color="auto" w:fill="FAF6EF"/>
          </w:tcPr>
          <w:p>
            <w:pPr>
              <w:pStyle w:val="Compact"/>
              <w:spacing w:after="20"/>
              <w:jc w:val="left"/>
            </w:pPr>
            <w:r>
              <w:rPr>
                <w:sz w:val="19"/>
              </w:rPr>
              <w:t xml:space="preserve">Zuscar: hospitality POS and operations system for a single Kenyan venue (restaurant, bar/club, about 13 rooms).</w:t>
            </w:r>
          </w:p>
        </w:tc>
      </w:tr>
      <w:tr>
        <w:tc>
          <w:tcPr>
            <w:tcW w:type="dxa" w:w="2608"/>
          </w:tcPr>
          <w:p>
            <w:pPr>
              <w:pStyle w:val="Compact"/>
              <w:spacing w:after="20"/>
              <w:jc w:val="left"/>
            </w:pPr>
            <w:r>
              <w:rPr>
                <w:bCs/>
                <w:b/>
                <w:sz w:val="19"/>
              </w:rPr>
              <w:t xml:space="preserve">Operating model</w:t>
            </w:r>
          </w:p>
        </w:tc>
        <w:tc>
          <w:tcPr>
            <w:tcW w:type="dxa" w:w="7030"/>
          </w:tcPr>
          <w:p>
            <w:pPr>
              <w:pStyle w:val="Compact"/>
              <w:spacing w:after="20"/>
              <w:jc w:val="left"/>
            </w:pPr>
            <w:r>
              <w:rPr>
                <w:sz w:val="19"/>
              </w:rPr>
              <w:t xml:space="preserve">Cloud-hosted, online-first web application. Client supplies internet and a suitable existing Windows computer.</w:t>
            </w:r>
          </w:p>
        </w:tc>
      </w:tr>
      <w:tr>
        <w:tc>
          <w:tcPr>
            <w:tcW w:type="dxa" w:w="2608"/>
            <w:shd w:val="clear" w:color="auto" w:fill="FAF6EF"/>
          </w:tcPr>
          <w:p>
            <w:pPr>
              <w:pStyle w:val="Compact"/>
              <w:spacing w:after="20"/>
              <w:jc w:val="left"/>
            </w:pPr>
            <w:r>
              <w:rPr>
                <w:bCs/>
                <w:b/>
                <w:sz w:val="19"/>
              </w:rPr>
              <w:t xml:space="preserve">Approach</w:t>
            </w:r>
          </w:p>
        </w:tc>
        <w:tc>
          <w:tcPr>
            <w:tcW w:type="dxa" w:w="7030"/>
            <w:shd w:val="clear" w:color="auto" w:fill="FAF6EF"/>
          </w:tcPr>
          <w:p>
            <w:pPr>
              <w:pStyle w:val="Compact"/>
              <w:spacing w:after="20"/>
              <w:jc w:val="left"/>
            </w:pPr>
            <w:r>
              <w:rPr>
                <w:sz w:val="19"/>
              </w:rPr>
              <w:t xml:space="preserve">Modular monolith, phased vertical slices, production-minded integrity and security. No premature microservices.</w:t>
            </w:r>
          </w:p>
        </w:tc>
      </w:tr>
      <w:tr>
        <w:tc>
          <w:tcPr>
            <w:tcW w:type="dxa" w:w="2608"/>
          </w:tcPr>
          <w:p>
            <w:pPr>
              <w:pStyle w:val="Compact"/>
              <w:spacing w:after="20"/>
              <w:jc w:val="left"/>
            </w:pPr>
            <w:r>
              <w:rPr>
                <w:bCs/>
                <w:b/>
                <w:sz w:val="19"/>
              </w:rPr>
              <w:t xml:space="preserve">Stack</w:t>
            </w:r>
          </w:p>
        </w:tc>
        <w:tc>
          <w:tcPr>
            <w:tcW w:type="dxa" w:w="7030"/>
          </w:tcPr>
          <w:p>
            <w:pPr>
              <w:pStyle w:val="Compact"/>
              <w:spacing w:after="20"/>
              <w:jc w:val="left"/>
            </w:pPr>
            <w:r>
              <w:rPr>
                <w:sz w:val="19"/>
              </w:rPr>
              <w:t xml:space="preserve">Next.js/React/TypeScript on Vercel; Go/Gin/pgx/sqlc on Render; Supabase PostgreSQL; Docker and Docker Compose; Cloudflare DNS.</w:t>
            </w:r>
          </w:p>
        </w:tc>
      </w:tr>
    </w:tbl>
    <w:p>
      <w:pPr>
        <w:pStyle w:val="BlockText"/>
        <w:shd w:val="clear" w:color="auto" w:fill="FBEFD9"/>
      </w:pPr>
      <w:r>
        <w:rPr>
          <w:bCs/>
          <w:b/>
        </w:rPr>
        <w:t xml:space="preserve">Rule for reading this document.</w:t>
      </w:r>
      <w:r>
        <w:t xml:space="preserve"> </w:t>
      </w:r>
      <w:r>
        <w:t xml:space="preserve">Never silently turn an open question into a fact. Open items carry an ID (DQ-xx) and a proposed default. A default lets the build continue; it is logged as an assumption and must be confirmed with the client before go-live. Integrations (eTIMS, M-Pesa) are different: they are decision gates and nothing may be built or claimed until verified.</w:t>
      </w:r>
    </w:p>
    <w:bookmarkStart w:id="20" w:name="what-changed-in-version-2.0"/>
    <w:p>
      <w:pPr>
        <w:pStyle w:val="Heading1"/>
        <w:spacing w:before="360"/>
        <w:pBdr>
          <w:bottom w:val="single" w:sz="8" w:space="2" w:color="0F766E"/>
        </w:pBdr>
      </w:pPr>
      <w:r>
        <w:t xml:space="preserve">What changed in version 2.0</w:t>
      </w:r>
    </w:p>
    <w:p>
      <w:pPr>
        <w:numPr>
          <w:ilvl w:val="0"/>
          <w:numId w:val="1001"/>
        </w:numPr>
        <w:pStyle w:val="Compact"/>
        <w:spacing w:after="100"/>
      </w:pPr>
      <w:r>
        <w:rPr>
          <w:bCs/>
          <w:b/>
        </w:rPr>
        <w:t xml:space="preserve">Hosting conflict resolved.</w:t>
      </w:r>
      <w:r>
        <w:t xml:space="preserve"> </w:t>
      </w:r>
      <w:r>
        <w:t xml:space="preserve">Version 1 said Render for both services. Decision now:</w:t>
      </w:r>
      <w:r>
        <w:t xml:space="preserve"> </w:t>
      </w:r>
      <w:r>
        <w:rPr>
          <w:bCs/>
          <w:b/>
        </w:rPr>
        <w:t xml:space="preserve">Go API on Render, Next.js frontend on Vercel</w:t>
      </w:r>
      <w:r>
        <w:t xml:space="preserve">, both Docker-based where appropriate (Vercel builds Next.js natively; a frontend Dockerfile is kept for local and integration use).</w:t>
      </w:r>
    </w:p>
    <w:p>
      <w:pPr>
        <w:numPr>
          <w:ilvl w:val="0"/>
          <w:numId w:val="1001"/>
        </w:numPr>
        <w:pStyle w:val="Compact"/>
        <w:spacing w:after="100"/>
      </w:pPr>
      <w:r>
        <w:rPr>
          <w:bCs/>
          <w:b/>
        </w:rPr>
        <w:t xml:space="preserve">Requirements are numbered</w:t>
      </w:r>
      <w:r>
        <w:t xml:space="preserve"> </w:t>
      </w:r>
      <w:r>
        <w:t xml:space="preserve">so every one can be traced to a test: non-negotiables (NN-xx), acceptance criteria (AC-xx), discovery questions (DQ-xx), decision gates (DG-xx), assumptions (A-xx), risks (R-xx).</w:t>
      </w:r>
    </w:p>
    <w:p>
      <w:pPr>
        <w:numPr>
          <w:ilvl w:val="0"/>
          <w:numId w:val="1001"/>
        </w:numPr>
        <w:pStyle w:val="Compact"/>
        <w:spacing w:after="100"/>
      </w:pPr>
      <w:r>
        <w:rPr>
          <w:bCs/>
          <w:b/>
        </w:rPr>
        <w:t xml:space="preserve">Discovery questions now carry a default answer</w:t>
      </w:r>
      <w:r>
        <w:t xml:space="preserve">, so building is not blocked while the client answers.</w:t>
      </w:r>
    </w:p>
    <w:p>
      <w:pPr>
        <w:numPr>
          <w:ilvl w:val="0"/>
          <w:numId w:val="1001"/>
        </w:numPr>
        <w:pStyle w:val="Compact"/>
        <w:spacing w:after="100"/>
      </w:pPr>
      <w:r>
        <w:rPr>
          <w:bCs/>
          <w:b/>
        </w:rPr>
        <w:t xml:space="preserve">New sections:</w:t>
      </w:r>
      <w:r>
        <w:t xml:space="preserve"> </w:t>
      </w:r>
      <w:r>
        <w:t xml:space="preserve">decision log, authentication and session design, API conventions, idempotency design, tax and money rules, state machines, deployment topology, environment-limits for the AI build sandbox, risk register, and a traceability matrix.</w:t>
      </w:r>
    </w:p>
    <w:p>
      <w:pPr>
        <w:numPr>
          <w:ilvl w:val="0"/>
          <w:numId w:val="1001"/>
        </w:numPr>
        <w:pStyle w:val="Compact"/>
        <w:spacing w:after="100"/>
      </w:pPr>
      <w:r>
        <w:rPr>
          <w:bCs/>
          <w:b/>
        </w:rPr>
        <w:t xml:space="preserve">Priorities added</w:t>
      </w:r>
      <w:r>
        <w:t xml:space="preserve"> </w:t>
      </w:r>
      <w:r>
        <w:t xml:space="preserve">(Must, Should, Could) so a free-plan, stage-by-stage build can stay small.</w:t>
      </w:r>
    </w:p>
    <w:p>
      <w:pPr>
        <w:numPr>
          <w:ilvl w:val="0"/>
          <w:numId w:val="1001"/>
        </w:numPr>
        <w:pStyle w:val="Compact"/>
        <w:spacing w:after="100"/>
      </w:pPr>
      <w:r>
        <w:rPr>
          <w:bCs/>
          <w:b/>
        </w:rPr>
        <w:t xml:space="preserve">Unchanged:</w:t>
      </w:r>
      <w:r>
        <w:t xml:space="preserve"> </w:t>
      </w:r>
      <w:r>
        <w:t xml:space="preserve">every business rule from version 1, all confirmed decisions and all non-goals.</w:t>
      </w:r>
    </w:p>
    <w:bookmarkEnd w:id="20"/>
    <w:bookmarkStart w:id="21" w:name="executive-summary"/>
    <w:p>
      <w:pPr>
        <w:pStyle w:val="Heading1"/>
        <w:spacing w:before="360"/>
        <w:pBdr>
          <w:bottom w:val="single" w:sz="8" w:space="2" w:color="0F766E"/>
        </w:pBdr>
      </w:pPr>
      <w:r>
        <w:t xml:space="preserve">1. Executive summary</w:t>
      </w:r>
    </w:p>
    <w:p>
      <w:pPr>
        <w:pStyle w:val="FirstParagraph"/>
        <w:spacing w:after="100"/>
      </w:pPr>
      <w:r>
        <w:t xml:space="preserve">Zuscar is a single-business hospitality operations platform for a Kenyan venue with a restaurant, bar/club and about 13 rooms. It centralises point of sale (POS), kitchen order flow, room reservations and guest folios, inventory and purchasing, cashier shifts, payments, reporting, user permissions, audit history, and receipt and ticket workflows.</w:t>
      </w:r>
    </w:p>
    <w:p>
      <w:pPr>
        <w:pStyle w:val="BodyText"/>
        <w:spacing w:after="100"/>
      </w:pPr>
      <w:r>
        <w:t xml:space="preserve">The first release is online-first. It is not a full offline POS. If the internet fails, staff use a numbered manual receipt book and sales log, then reconcile those transactions through a controlled procedure. The app must never claim that browser caching gives offline operation.</w:t>
      </w:r>
    </w:p>
    <w:p>
      <w:pPr>
        <w:pStyle w:val="BodyText"/>
        <w:spacing w:after="100"/>
      </w:pPr>
      <w:r>
        <w:t xml:space="preserve">Start with the business’s existing suitable Windows computer and one 80 mm thermal printer. That printer prints customer receipts and kitchen preparation tickets; the waiter or cashier carries the kitchen ticket to the kitchen. The data model must allow a kitchen display or dedicated kitchen printer later.</w:t>
      </w:r>
    </w:p>
    <w:p>
      <w:pPr>
        <w:pStyle w:val="BodyText"/>
        <w:spacing w:after="100"/>
      </w:pPr>
      <w:r>
        <w:t xml:space="preserve">Priorities: transaction integrity, traceability, backend-enforced permissions, safe retries, reliable printing, backups and operational clarity. Tax and payment-provider work must follow verified requirements.</w:t>
      </w:r>
    </w:p>
    <w:bookmarkEnd w:id="21"/>
    <w:bookmarkStart w:id="22" w:name="confirmed-decisions-and-boundaries"/>
    <w:p>
      <w:pPr>
        <w:pStyle w:val="Heading1"/>
        <w:spacing w:before="360"/>
        <w:pBdr>
          <w:bottom w:val="single" w:sz="8" w:space="2" w:color="0F766E"/>
        </w:pBdr>
      </w:pPr>
      <w:r>
        <w:t xml:space="preserve">2. Confirmed decisions and boundaries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Area</w:t>
            </w:r>
          </w:p>
        </w:tc>
        <w:tc>
          <w:tcPr>
            <w:tcW w:type="dxa" w:w="7030"/>
            <w:shd w:val="clear" w:color="auto" w:fill="0E1B2C"/>
          </w:tcPr>
          <w:p>
            <w:pPr>
              <w:pStyle w:val="Compact"/>
              <w:spacing w:after="20"/>
              <w:jc w:val="left"/>
            </w:pPr>
            <w:r>
              <w:rPr>
                <w:b/>
                <w:color w:val="FAF6EF"/>
                <w:sz w:val="19"/>
              </w:rPr>
              <w:t xml:space="preserve">Decision</w:t>
            </w:r>
          </w:p>
        </w:tc>
      </w:tr>
      <w:tr>
        <w:tc>
          <w:tcPr>
            <w:tcW w:type="dxa" w:w="2608"/>
          </w:tcPr>
          <w:p>
            <w:pPr>
              <w:pStyle w:val="Compact"/>
              <w:spacing w:after="20"/>
              <w:jc w:val="left"/>
            </w:pPr>
            <w:r>
              <w:rPr>
                <w:sz w:val="19"/>
              </w:rPr>
              <w:t xml:space="preserve">Business model</w:t>
            </w:r>
          </w:p>
        </w:tc>
        <w:tc>
          <w:tcPr>
            <w:tcW w:type="dxa" w:w="7030"/>
          </w:tcPr>
          <w:p>
            <w:pPr>
              <w:pStyle w:val="Compact"/>
              <w:spacing w:after="20"/>
              <w:jc w:val="left"/>
            </w:pPr>
            <w:r>
              <w:rPr>
                <w:sz w:val="19"/>
              </w:rPr>
              <w:t xml:space="preserve">One business in v1. No multi-tenancy or tenant-isolation machinery.</w:t>
            </w:r>
          </w:p>
        </w:tc>
      </w:tr>
      <w:tr>
        <w:tc>
          <w:tcPr>
            <w:tcW w:type="dxa" w:w="2608"/>
            <w:shd w:val="clear" w:color="auto" w:fill="FAF6EF"/>
          </w:tcPr>
          <w:p>
            <w:pPr>
              <w:pStyle w:val="Compact"/>
              <w:spacing w:after="20"/>
              <w:jc w:val="left"/>
            </w:pPr>
            <w:r>
              <w:rPr>
                <w:sz w:val="19"/>
              </w:rPr>
              <w:t xml:space="preserve">Hosting model</w:t>
            </w:r>
          </w:p>
        </w:tc>
        <w:tc>
          <w:tcPr>
            <w:tcW w:type="dxa" w:w="7030"/>
            <w:shd w:val="clear" w:color="auto" w:fill="FAF6EF"/>
          </w:tcPr>
          <w:p>
            <w:pPr>
              <w:pStyle w:val="Compact"/>
              <w:spacing w:after="20"/>
              <w:jc w:val="left"/>
            </w:pPr>
            <w:r>
              <w:rPr>
                <w:sz w:val="19"/>
              </w:rPr>
              <w:t xml:space="preserve">Cloud-hosted, online-first. Client provides internet.</w:t>
            </w:r>
          </w:p>
        </w:tc>
      </w:tr>
      <w:tr>
        <w:tc>
          <w:tcPr>
            <w:tcW w:type="dxa" w:w="2608"/>
          </w:tcPr>
          <w:p>
            <w:pPr>
              <w:pStyle w:val="Compact"/>
              <w:spacing w:after="20"/>
              <w:jc w:val="left"/>
            </w:pPr>
            <w:r>
              <w:rPr>
                <w:sz w:val="19"/>
              </w:rPr>
              <w:t xml:space="preserve">Frontend</w:t>
            </w:r>
          </w:p>
        </w:tc>
        <w:tc>
          <w:tcPr>
            <w:tcW w:type="dxa" w:w="7030"/>
          </w:tcPr>
          <w:p>
            <w:pPr>
              <w:pStyle w:val="Compact"/>
              <w:spacing w:after="20"/>
              <w:jc w:val="left"/>
            </w:pPr>
            <w:r>
              <w:rPr>
                <w:sz w:val="19"/>
              </w:rPr>
              <w:t xml:space="preserve">Next.js, React, TypeScript. Hosted on</w:t>
            </w:r>
            <w:r>
              <w:rPr>
                <w:sz w:val="19"/>
              </w:rPr>
              <w:t xml:space="preserve"> </w:t>
            </w:r>
            <w:r>
              <w:rPr>
                <w:bCs/>
                <w:b/>
                <w:sz w:val="19"/>
              </w:rPr>
              <w:t xml:space="preserve">Vercel</w:t>
            </w:r>
            <w:r>
              <w:rPr>
                <w:sz w:val="19"/>
              </w:rPr>
              <w:t xml:space="preserve">.</w:t>
            </w:r>
          </w:p>
        </w:tc>
      </w:tr>
      <w:tr>
        <w:tc>
          <w:tcPr>
            <w:tcW w:type="dxa" w:w="2608"/>
            <w:shd w:val="clear" w:color="auto" w:fill="FAF6EF"/>
          </w:tcPr>
          <w:p>
            <w:pPr>
              <w:pStyle w:val="Compact"/>
              <w:spacing w:after="20"/>
              <w:jc w:val="left"/>
            </w:pPr>
            <w:r>
              <w:rPr>
                <w:sz w:val="19"/>
              </w:rPr>
              <w:t xml:space="preserve">Backend</w:t>
            </w:r>
          </w:p>
        </w:tc>
        <w:tc>
          <w:tcPr>
            <w:tcW w:type="dxa" w:w="7030"/>
            <w:shd w:val="clear" w:color="auto" w:fill="FAF6EF"/>
          </w:tcPr>
          <w:p>
            <w:pPr>
              <w:pStyle w:val="Compact"/>
              <w:spacing w:after="20"/>
              <w:jc w:val="left"/>
            </w:pPr>
            <w:r>
              <w:rPr>
                <w:sz w:val="19"/>
              </w:rPr>
              <w:t xml:space="preserve">Go, Gin REST API, modular monolith. Hosted on</w:t>
            </w:r>
            <w:r>
              <w:rPr>
                <w:sz w:val="19"/>
              </w:rPr>
              <w:t xml:space="preserve"> </w:t>
            </w:r>
            <w:r>
              <w:rPr>
                <w:bCs/>
                <w:b/>
                <w:sz w:val="19"/>
              </w:rPr>
              <w:t xml:space="preserve">Render</w:t>
            </w:r>
            <w:r>
              <w:rPr>
                <w:sz w:val="19"/>
              </w:rPr>
              <w:t xml:space="preserve">, Docker-based.</w:t>
            </w:r>
          </w:p>
        </w:tc>
      </w:tr>
      <w:tr>
        <w:tc>
          <w:tcPr>
            <w:tcW w:type="dxa" w:w="2608"/>
          </w:tcPr>
          <w:p>
            <w:pPr>
              <w:pStyle w:val="Compact"/>
              <w:spacing w:after="20"/>
              <w:jc w:val="left"/>
            </w:pPr>
            <w:r>
              <w:rPr>
                <w:sz w:val="19"/>
              </w:rPr>
              <w:t xml:space="preserve">Database</w:t>
            </w:r>
          </w:p>
        </w:tc>
        <w:tc>
          <w:tcPr>
            <w:tcW w:type="dxa" w:w="7030"/>
          </w:tcPr>
          <w:p>
            <w:pPr>
              <w:pStyle w:val="Compact"/>
              <w:spacing w:after="20"/>
              <w:jc w:val="left"/>
            </w:pPr>
            <w:r>
              <w:rPr>
                <w:sz w:val="19"/>
              </w:rPr>
              <w:t xml:space="preserve">Supabase-managed PostgreSQL in production, accessed</w:t>
            </w:r>
            <w:r>
              <w:rPr>
                <w:sz w:val="19"/>
              </w:rPr>
              <w:t xml:space="preserve"> </w:t>
            </w:r>
            <w:r>
              <w:rPr>
                <w:bCs/>
                <w:b/>
                <w:sz w:val="19"/>
              </w:rPr>
              <w:t xml:space="preserve">only by the Go API</w:t>
            </w:r>
            <w:r>
              <w:rPr>
                <w:sz w:val="19"/>
              </w:rPr>
              <w:t xml:space="preserve">.</w:t>
            </w:r>
          </w:p>
        </w:tc>
      </w:tr>
      <w:tr>
        <w:tc>
          <w:tcPr>
            <w:tcW w:type="dxa" w:w="2608"/>
            <w:shd w:val="clear" w:color="auto" w:fill="FAF6EF"/>
          </w:tcPr>
          <w:p>
            <w:pPr>
              <w:pStyle w:val="Compact"/>
              <w:spacing w:after="20"/>
              <w:jc w:val="left"/>
            </w:pPr>
            <w:r>
              <w:rPr>
                <w:sz w:val="19"/>
              </w:rPr>
              <w:t xml:space="preserve">Data access</w:t>
            </w:r>
          </w:p>
        </w:tc>
        <w:tc>
          <w:tcPr>
            <w:tcW w:type="dxa" w:w="7030"/>
            <w:shd w:val="clear" w:color="auto" w:fill="FAF6EF"/>
          </w:tcPr>
          <w:p>
            <w:pPr>
              <w:pStyle w:val="Compact"/>
              <w:spacing w:after="20"/>
              <w:jc w:val="left"/>
            </w:pPr>
            <w:r>
              <w:rPr>
                <w:sz w:val="19"/>
              </w:rPr>
              <w:t xml:space="preserve">pgx plus sqlc (type-safe SQL); golang-migrate for migrations.</w:t>
            </w:r>
          </w:p>
        </w:tc>
      </w:tr>
      <w:tr>
        <w:tc>
          <w:tcPr>
            <w:tcW w:type="dxa" w:w="2608"/>
          </w:tcPr>
          <w:p>
            <w:pPr>
              <w:pStyle w:val="Compact"/>
              <w:spacing w:after="20"/>
              <w:jc w:val="left"/>
            </w:pPr>
            <w:r>
              <w:rPr>
                <w:sz w:val="19"/>
              </w:rPr>
              <w:t xml:space="preserve">Containers</w:t>
            </w:r>
          </w:p>
        </w:tc>
        <w:tc>
          <w:tcPr>
            <w:tcW w:type="dxa" w:w="7030"/>
          </w:tcPr>
          <w:p>
            <w:pPr>
              <w:pStyle w:val="Compact"/>
              <w:spacing w:after="20"/>
              <w:jc w:val="left"/>
            </w:pPr>
            <w:r>
              <w:rPr>
                <w:sz w:val="19"/>
              </w:rPr>
              <w:t xml:space="preserve">Docker and Docker Compose for local development and integration tests; multi-stage Dockerfiles. Never run the production database in Docker.</w:t>
            </w:r>
          </w:p>
        </w:tc>
      </w:tr>
      <w:tr>
        <w:tc>
          <w:tcPr>
            <w:tcW w:type="dxa" w:w="2608"/>
            <w:shd w:val="clear" w:color="auto" w:fill="FAF6EF"/>
          </w:tcPr>
          <w:p>
            <w:pPr>
              <w:pStyle w:val="Compact"/>
              <w:spacing w:after="20"/>
              <w:jc w:val="left"/>
            </w:pPr>
            <w:r>
              <w:rPr>
                <w:sz w:val="19"/>
              </w:rPr>
              <w:t xml:space="preserve">Domain / DNS</w:t>
            </w:r>
          </w:p>
        </w:tc>
        <w:tc>
          <w:tcPr>
            <w:tcW w:type="dxa" w:w="7030"/>
            <w:shd w:val="clear" w:color="auto" w:fill="FAF6EF"/>
          </w:tcPr>
          <w:p>
            <w:pPr>
              <w:pStyle w:val="Compact"/>
              <w:spacing w:after="20"/>
              <w:jc w:val="left"/>
            </w:pPr>
            <w:r>
              <w:rPr>
                <w:sz w:val="19"/>
              </w:rPr>
              <w:t xml:space="preserve">Cloudflare Registrar and DNS if the wanted domain is available. Check availability and renewal price.</w:t>
            </w:r>
          </w:p>
        </w:tc>
      </w:tr>
      <w:tr>
        <w:tc>
          <w:tcPr>
            <w:tcW w:type="dxa" w:w="2608"/>
          </w:tcPr>
          <w:p>
            <w:pPr>
              <w:pStyle w:val="Compact"/>
              <w:spacing w:after="20"/>
              <w:jc w:val="left"/>
            </w:pPr>
            <w:r>
              <w:rPr>
                <w:sz w:val="19"/>
              </w:rPr>
              <w:t xml:space="preserve">Initial hardware</w:t>
            </w:r>
          </w:p>
        </w:tc>
        <w:tc>
          <w:tcPr>
            <w:tcW w:type="dxa" w:w="7030"/>
          </w:tcPr>
          <w:p>
            <w:pPr>
              <w:pStyle w:val="Compact"/>
              <w:spacing w:after="20"/>
              <w:jc w:val="left"/>
            </w:pPr>
            <w:r>
              <w:rPr>
                <w:sz w:val="19"/>
              </w:rPr>
              <w:t xml:space="preserve">Existing suitable Windows computer, one 80 mm thermal printer, UPS for computer and router, subject to verification.</w:t>
            </w:r>
          </w:p>
        </w:tc>
      </w:tr>
      <w:tr>
        <w:tc>
          <w:tcPr>
            <w:tcW w:type="dxa" w:w="2608"/>
            <w:shd w:val="clear" w:color="auto" w:fill="FAF6EF"/>
          </w:tcPr>
          <w:p>
            <w:pPr>
              <w:pStyle w:val="Compact"/>
              <w:spacing w:after="20"/>
              <w:jc w:val="left"/>
            </w:pPr>
            <w:r>
              <w:rPr>
                <w:sz w:val="19"/>
              </w:rPr>
              <w:t xml:space="preserve">Kitchen</w:t>
            </w:r>
          </w:p>
        </w:tc>
        <w:tc>
          <w:tcPr>
            <w:tcW w:type="dxa" w:w="7030"/>
            <w:shd w:val="clear" w:color="auto" w:fill="FAF6EF"/>
          </w:tcPr>
          <w:p>
            <w:pPr>
              <w:pStyle w:val="Compact"/>
              <w:spacing w:after="20"/>
              <w:jc w:val="left"/>
            </w:pPr>
            <w:r>
              <w:rPr>
                <w:sz w:val="19"/>
              </w:rPr>
              <w:t xml:space="preserve">In v1. Tickets print on the existing printer; staff deliver them.</w:t>
            </w:r>
          </w:p>
        </w:tc>
      </w:tr>
      <w:tr>
        <w:tc>
          <w:tcPr>
            <w:tcW w:type="dxa" w:w="2608"/>
          </w:tcPr>
          <w:p>
            <w:pPr>
              <w:pStyle w:val="Compact"/>
              <w:spacing w:after="20"/>
              <w:jc w:val="left"/>
            </w:pPr>
            <w:r>
              <w:rPr>
                <w:sz w:val="19"/>
              </w:rPr>
              <w:t xml:space="preserve">Offline</w:t>
            </w:r>
          </w:p>
        </w:tc>
        <w:tc>
          <w:tcPr>
            <w:tcW w:type="dxa" w:w="7030"/>
          </w:tcPr>
          <w:p>
            <w:pPr>
              <w:pStyle w:val="Compact"/>
              <w:spacing w:after="20"/>
              <w:jc w:val="left"/>
            </w:pPr>
            <w:r>
              <w:rPr>
                <w:sz w:val="19"/>
              </w:rPr>
              <w:t xml:space="preserve">No offline POS or sync in v1. Manual receipts and reconciliation.</w:t>
            </w:r>
          </w:p>
        </w:tc>
      </w:tr>
      <w:tr>
        <w:tc>
          <w:tcPr>
            <w:tcW w:type="dxa" w:w="2608"/>
            <w:shd w:val="clear" w:color="auto" w:fill="FAF6EF"/>
          </w:tcPr>
          <w:p>
            <w:pPr>
              <w:pStyle w:val="Compact"/>
              <w:spacing w:after="20"/>
              <w:jc w:val="left"/>
            </w:pPr>
            <w:r>
              <w:rPr>
                <w:sz w:val="19"/>
              </w:rPr>
              <w:t xml:space="preserve">Integrations</w:t>
            </w:r>
          </w:p>
        </w:tc>
        <w:tc>
          <w:tcPr>
            <w:tcW w:type="dxa" w:w="7030"/>
            <w:shd w:val="clear" w:color="auto" w:fill="FAF6EF"/>
          </w:tcPr>
          <w:p>
            <w:pPr>
              <w:pStyle w:val="Compact"/>
              <w:spacing w:after="20"/>
              <w:jc w:val="left"/>
            </w:pPr>
            <w:r>
              <w:rPr>
                <w:sz w:val="19"/>
              </w:rPr>
              <w:t xml:space="preserve">eTIMS and M-Pesa requirements unconfirmed (decision gates DG-01, DG-02).</w:t>
            </w:r>
          </w:p>
        </w:tc>
      </w:tr>
      <w:tr>
        <w:tc>
          <w:tcPr>
            <w:tcW w:type="dxa" w:w="2608"/>
          </w:tcPr>
          <w:p>
            <w:pPr>
              <w:pStyle w:val="Compact"/>
              <w:spacing w:after="20"/>
              <w:jc w:val="left"/>
            </w:pPr>
            <w:r>
              <w:rPr>
                <w:sz w:val="19"/>
              </w:rPr>
              <w:t xml:space="preserve">Security</w:t>
            </w:r>
          </w:p>
        </w:tc>
        <w:tc>
          <w:tcPr>
            <w:tcW w:type="dxa" w:w="7030"/>
          </w:tcPr>
          <w:p>
            <w:pPr>
              <w:pStyle w:val="Compact"/>
              <w:spacing w:after="20"/>
              <w:jc w:val="left"/>
            </w:pPr>
            <w:r>
              <w:rPr>
                <w:sz w:val="19"/>
              </w:rPr>
              <w:t xml:space="preserve">The backend is authoritative for permissions, prices, payment state, stock, folios and finalisation.</w:t>
            </w:r>
          </w:p>
        </w:tc>
      </w:tr>
      <w:tr>
        <w:tc>
          <w:tcPr>
            <w:tcW w:type="dxa" w:w="2608"/>
            <w:shd w:val="clear" w:color="auto" w:fill="FAF6EF"/>
          </w:tcPr>
          <w:p>
            <w:pPr>
              <w:pStyle w:val="Compact"/>
              <w:spacing w:after="20"/>
              <w:jc w:val="left"/>
            </w:pPr>
            <w:r>
              <w:rPr>
                <w:sz w:val="19"/>
              </w:rPr>
              <w:t xml:space="preserve">Delivery</w:t>
            </w:r>
          </w:p>
        </w:tc>
        <w:tc>
          <w:tcPr>
            <w:tcW w:type="dxa" w:w="7030"/>
            <w:shd w:val="clear" w:color="auto" w:fill="FAF6EF"/>
          </w:tcPr>
          <w:p>
            <w:pPr>
              <w:pStyle w:val="Compact"/>
              <w:spacing w:after="20"/>
              <w:jc w:val="left"/>
            </w:pPr>
            <w:r>
              <w:rPr>
                <w:sz w:val="19"/>
              </w:rPr>
              <w:t xml:space="preserve">Phased. No fixed timeline until discovery and integrations are confirmed.</w:t>
            </w:r>
          </w:p>
        </w:tc>
      </w:tr>
    </w:tbl>
    <w:bookmarkEnd w:id="22"/>
    <w:bookmarkStart w:id="26" w:name="goals-non-goals-and-priorities"/>
    <w:p>
      <w:pPr>
        <w:pStyle w:val="Heading1"/>
        <w:spacing w:before="360"/>
        <w:pBdr>
          <w:bottom w:val="single" w:sz="8" w:space="2" w:color="0F766E"/>
        </w:pBdr>
      </w:pPr>
      <w:r>
        <w:t xml:space="preserve">3. Goals, non-goals and priorities</w:t>
      </w:r>
    </w:p>
    <w:bookmarkStart w:id="23" w:name="goals"/>
    <w:p>
      <w:pPr>
        <w:pStyle w:val="Heading2"/>
      </w:pPr>
      <w:r>
        <w:t xml:space="preserve">3.1 Goals</w:t>
      </w:r>
    </w:p>
    <w:p>
      <w:pPr>
        <w:numPr>
          <w:ilvl w:val="0"/>
          <w:numId w:val="1002"/>
        </w:numPr>
        <w:pStyle w:val="Compact"/>
        <w:spacing w:after="100"/>
      </w:pPr>
      <w:r>
        <w:t xml:space="preserve">Record restaurant and bar sales accurately and quickly.</w:t>
      </w:r>
    </w:p>
    <w:p>
      <w:pPr>
        <w:numPr>
          <w:ilvl w:val="0"/>
          <w:numId w:val="1002"/>
        </w:numPr>
        <w:pStyle w:val="Compact"/>
        <w:spacing w:after="100"/>
      </w:pPr>
      <w:r>
        <w:t xml:space="preserve">Support kitchen preparation tickets independently of payment and receipt printing.</w:t>
      </w:r>
    </w:p>
    <w:p>
      <w:pPr>
        <w:numPr>
          <w:ilvl w:val="0"/>
          <w:numId w:val="1002"/>
        </w:numPr>
        <w:pStyle w:val="Compact"/>
        <w:spacing w:after="100"/>
      </w:pPr>
      <w:r>
        <w:t xml:space="preserve">Manage rooms, reservations, check-in/out and guest folios for about 13 configurable rooms.</w:t>
      </w:r>
    </w:p>
    <w:p>
      <w:pPr>
        <w:numPr>
          <w:ilvl w:val="0"/>
          <w:numId w:val="1002"/>
        </w:numPr>
        <w:pStyle w:val="Compact"/>
        <w:spacing w:after="100"/>
      </w:pPr>
      <w:r>
        <w:t xml:space="preserve">Track stock with a movement ledger, unit conversions, transfers, purchasing, counts, wastage and optional recipe deductions.</w:t>
      </w:r>
    </w:p>
    <w:p>
      <w:pPr>
        <w:numPr>
          <w:ilvl w:val="0"/>
          <w:numId w:val="1002"/>
        </w:numPr>
        <w:pStyle w:val="Compact"/>
        <w:spacing w:after="100"/>
      </w:pPr>
      <w:r>
        <w:t xml:space="preserve">Track cashier shifts, payment methods, cash movements and reconciliation.</w:t>
      </w:r>
    </w:p>
    <w:p>
      <w:pPr>
        <w:numPr>
          <w:ilvl w:val="0"/>
          <w:numId w:val="1002"/>
        </w:numPr>
        <w:pStyle w:val="Compact"/>
        <w:spacing w:after="100"/>
      </w:pPr>
      <w:r>
        <w:t xml:space="preserve">Give managers reports that clearly separate sales, money collected, balances due, expenses and estimated gross profit.</w:t>
      </w:r>
    </w:p>
    <w:p>
      <w:pPr>
        <w:numPr>
          <w:ilvl w:val="0"/>
          <w:numId w:val="1002"/>
        </w:numPr>
        <w:pStyle w:val="Compact"/>
        <w:spacing w:after="100"/>
      </w:pPr>
      <w:r>
        <w:t xml:space="preserve">Enforce server-side role-based permissions and keep audit history for sensitive actions.</w:t>
      </w:r>
    </w:p>
    <w:p>
      <w:pPr>
        <w:numPr>
          <w:ilvl w:val="0"/>
          <w:numId w:val="1002"/>
        </w:numPr>
        <w:pStyle w:val="Compact"/>
        <w:spacing w:after="100"/>
      </w:pPr>
      <w:r>
        <w:t xml:space="preserve">Allow future devices (kitchen display, extra printer) and integrations without redesign.</w:t>
      </w:r>
    </w:p>
    <w:p>
      <w:pPr>
        <w:numPr>
          <w:ilvl w:val="0"/>
          <w:numId w:val="1002"/>
        </w:numPr>
        <w:pStyle w:val="Compact"/>
        <w:spacing w:after="100"/>
      </w:pPr>
      <w:r>
        <w:t xml:space="preserve">Provide documented deployment, backup and restore, training and outage procedures.</w:t>
      </w:r>
    </w:p>
    <w:bookmarkEnd w:id="23"/>
    <w:bookmarkStart w:id="24" w:name="explicit-non-goals-for-v1"/>
    <w:p>
      <w:pPr>
        <w:pStyle w:val="Heading2"/>
      </w:pPr>
      <w:r>
        <w:t xml:space="preserve">3.2 Explicit non-goals for v1</w:t>
      </w:r>
    </w:p>
    <w:p>
      <w:pPr>
        <w:numPr>
          <w:ilvl w:val="0"/>
          <w:numId w:val="1003"/>
        </w:numPr>
        <w:pStyle w:val="Compact"/>
        <w:spacing w:after="100"/>
      </w:pPr>
      <w:r>
        <w:t xml:space="preserve">Multi-tenancy, tenant IDs or isolation infrastructure.</w:t>
      </w:r>
    </w:p>
    <w:p>
      <w:pPr>
        <w:numPr>
          <w:ilvl w:val="0"/>
          <w:numId w:val="1003"/>
        </w:numPr>
        <w:pStyle w:val="Compact"/>
        <w:spacing w:after="100"/>
      </w:pPr>
      <w:r>
        <w:t xml:space="preserve">Full offline POS, offline queueing or bidirectional sync.</w:t>
      </w:r>
    </w:p>
    <w:p>
      <w:pPr>
        <w:numPr>
          <w:ilvl w:val="0"/>
          <w:numId w:val="1003"/>
        </w:numPr>
        <w:pStyle w:val="Compact"/>
        <w:spacing w:after="100"/>
      </w:pPr>
      <w:r>
        <w:t xml:space="preserve">Microservices, Kubernetes or other distributed infrastructure.</w:t>
      </w:r>
    </w:p>
    <w:p>
      <w:pPr>
        <w:numPr>
          <w:ilvl w:val="0"/>
          <w:numId w:val="1003"/>
        </w:numPr>
        <w:pStyle w:val="Compact"/>
        <w:spacing w:after="100"/>
      </w:pPr>
      <w:r>
        <w:t xml:space="preserve">Native mobile apps.</w:t>
      </w:r>
    </w:p>
    <w:p>
      <w:pPr>
        <w:numPr>
          <w:ilvl w:val="0"/>
          <w:numId w:val="1003"/>
        </w:numPr>
        <w:pStyle w:val="Compact"/>
        <w:spacing w:after="100"/>
      </w:pPr>
      <w:r>
        <w:t xml:space="preserve">Advanced accounting, payroll or full ERP.</w:t>
      </w:r>
    </w:p>
    <w:p>
      <w:pPr>
        <w:numPr>
          <w:ilvl w:val="0"/>
          <w:numId w:val="1003"/>
        </w:numPr>
        <w:pStyle w:val="Compact"/>
        <w:spacing w:after="100"/>
      </w:pPr>
      <w:r>
        <w:t xml:space="preserve">AI forecasting or speculative features.</w:t>
      </w:r>
    </w:p>
    <w:p>
      <w:pPr>
        <w:numPr>
          <w:ilvl w:val="0"/>
          <w:numId w:val="1003"/>
        </w:numPr>
        <w:pStyle w:val="Compact"/>
        <w:spacing w:after="100"/>
      </w:pPr>
      <w:r>
        <w:t xml:space="preserve">Assumed purchase of a kitchen printer, second terminal, barcode scanner or local server.</w:t>
      </w:r>
    </w:p>
    <w:p>
      <w:pPr>
        <w:numPr>
          <w:ilvl w:val="0"/>
          <w:numId w:val="1003"/>
        </w:numPr>
        <w:pStyle w:val="Compact"/>
        <w:spacing w:after="100"/>
      </w:pPr>
      <w:r>
        <w:t xml:space="preserve">Any claim of eTIMS compliance before the route is verified and tested.</w:t>
      </w:r>
    </w:p>
    <w:bookmarkEnd w:id="24"/>
    <w:bookmarkStart w:id="25" w:name="priorities"/>
    <w:p>
      <w:pPr>
        <w:pStyle w:val="Heading2"/>
      </w:pPr>
      <w:r>
        <w:t xml:space="preserve">3.3 Priorities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Priority</w:t>
            </w:r>
          </w:p>
        </w:tc>
        <w:tc>
          <w:tcPr>
            <w:tcW w:type="dxa" w:w="7030"/>
            <w:shd w:val="clear" w:color="auto" w:fill="0E1B2C"/>
          </w:tcPr>
          <w:p>
            <w:pPr>
              <w:pStyle w:val="Compact"/>
              <w:spacing w:after="20"/>
              <w:jc w:val="left"/>
            </w:pPr>
            <w:r>
              <w:rPr>
                <w:b/>
                <w:color w:val="FAF6EF"/>
                <w:sz w:val="19"/>
              </w:rPr>
              <w:t xml:space="preserve">Scope</w:t>
            </w:r>
          </w:p>
        </w:tc>
      </w:tr>
      <w:tr>
        <w:tc>
          <w:tcPr>
            <w:tcW w:type="dxa" w:w="2608"/>
          </w:tcPr>
          <w:p>
            <w:pPr>
              <w:pStyle w:val="Compact"/>
              <w:spacing w:after="20"/>
              <w:jc w:val="left"/>
            </w:pPr>
            <w:r>
              <w:rPr>
                <w:bCs/>
                <w:b/>
                <w:sz w:val="19"/>
              </w:rPr>
              <w:t xml:space="preserve">Must</w:t>
            </w:r>
          </w:p>
        </w:tc>
        <w:tc>
          <w:tcPr>
            <w:tcW w:type="dxa" w:w="7030"/>
          </w:tcPr>
          <w:p>
            <w:pPr>
              <w:pStyle w:val="Compact"/>
              <w:spacing w:after="20"/>
              <w:jc w:val="left"/>
            </w:pPr>
            <w:r>
              <w:rPr>
                <w:sz w:val="19"/>
              </w:rPr>
              <w:t xml:space="preserve">Auth, RBAC, audit; menu; orders; kitchen tickets; sale finalisation; payments (cash, manual M-Pesa with confirmation state); shifts and cash-up; receipts and safe reprints; voids/refunds/discounts with permission; stock ledger, units, receiving, transfers, wastage; rooms, reservations, overlap prevention, folios, check-in/out; core reports; backups and runbooks.</w:t>
            </w:r>
          </w:p>
        </w:tc>
      </w:tr>
      <w:tr>
        <w:tc>
          <w:tcPr>
            <w:tcW w:type="dxa" w:w="2608"/>
            <w:shd w:val="clear" w:color="auto" w:fill="FAF6EF"/>
          </w:tcPr>
          <w:p>
            <w:pPr>
              <w:pStyle w:val="Compact"/>
              <w:spacing w:after="20"/>
              <w:jc w:val="left"/>
            </w:pPr>
            <w:r>
              <w:rPr>
                <w:bCs/>
                <w:b/>
                <w:sz w:val="19"/>
              </w:rPr>
              <w:t xml:space="preserve">Should</w:t>
            </w:r>
          </w:p>
        </w:tc>
        <w:tc>
          <w:tcPr>
            <w:tcW w:type="dxa" w:w="7030"/>
            <w:shd w:val="clear" w:color="auto" w:fill="FAF6EF"/>
          </w:tcPr>
          <w:p>
            <w:pPr>
              <w:pStyle w:val="Compact"/>
              <w:spacing w:after="20"/>
              <w:jc w:val="left"/>
            </w:pPr>
            <w:r>
              <w:rPr>
                <w:sz w:val="19"/>
              </w:rPr>
              <w:t xml:space="preserve">PIN fast-switch on shared terminal; stock counts and variance UI; housekeeping tasks; CSV exports; low-stock alerts; recipe deductions for configured items; outage reconciliation screen.</w:t>
            </w:r>
          </w:p>
        </w:tc>
      </w:tr>
      <w:tr>
        <w:tc>
          <w:tcPr>
            <w:tcW w:type="dxa" w:w="2608"/>
          </w:tcPr>
          <w:p>
            <w:pPr>
              <w:pStyle w:val="Compact"/>
              <w:spacing w:after="20"/>
              <w:jc w:val="left"/>
            </w:pPr>
            <w:r>
              <w:rPr>
                <w:bCs/>
                <w:b/>
                <w:sz w:val="19"/>
              </w:rPr>
              <w:t xml:space="preserve">Could</w:t>
            </w:r>
          </w:p>
        </w:tc>
        <w:tc>
          <w:tcPr>
            <w:tcW w:type="dxa" w:w="7030"/>
          </w:tcPr>
          <w:p>
            <w:pPr>
              <w:pStyle w:val="Compact"/>
              <w:spacing w:after="20"/>
              <w:jc w:val="left"/>
            </w:pPr>
            <w:r>
              <w:rPr>
                <w:sz w:val="19"/>
              </w:rPr>
              <w:t xml:space="preserve">Kitchen display screen; batch and expiry tracking; rate plans beyond a base rate with seasonal overrides; guest history search enhancements.</w:t>
            </w:r>
          </w:p>
        </w:tc>
      </w:tr>
      <w:tr>
        <w:tc>
          <w:tcPr>
            <w:tcW w:type="dxa" w:w="2608"/>
            <w:shd w:val="clear" w:color="auto" w:fill="FAF6EF"/>
          </w:tcPr>
          <w:p>
            <w:pPr>
              <w:pStyle w:val="Compact"/>
              <w:spacing w:after="20"/>
              <w:jc w:val="left"/>
            </w:pPr>
            <w:r>
              <w:rPr>
                <w:bCs/>
                <w:b/>
                <w:sz w:val="19"/>
              </w:rPr>
              <w:t xml:space="preserve">Gated</w:t>
            </w:r>
          </w:p>
        </w:tc>
        <w:tc>
          <w:tcPr>
            <w:tcW w:type="dxa" w:w="7030"/>
            <w:shd w:val="clear" w:color="auto" w:fill="FAF6EF"/>
          </w:tcPr>
          <w:p>
            <w:pPr>
              <w:pStyle w:val="Compact"/>
              <w:spacing w:after="20"/>
              <w:jc w:val="left"/>
            </w:pPr>
            <w:r>
              <w:rPr>
                <w:sz w:val="19"/>
              </w:rPr>
              <w:t xml:space="preserve">eTIMS submission; M-Pesa API payments and callbacks. Built only after DG-01 and DG-02 are resolved.</w:t>
            </w:r>
          </w:p>
        </w:tc>
      </w:tr>
    </w:tbl>
    <w:bookmarkEnd w:id="25"/>
    <w:bookmarkEnd w:id="26"/>
    <w:bookmarkStart w:id="27" w:name="users-roles-and-permissions"/>
    <w:p>
      <w:pPr>
        <w:pStyle w:val="Heading1"/>
        <w:spacing w:before="360"/>
        <w:pBdr>
          <w:bottom w:val="single" w:sz="8" w:space="2" w:color="0F766E"/>
        </w:pBdr>
      </w:pPr>
      <w:r>
        <w:t xml:space="preserve">4. Users, roles and permissions</w:t>
      </w:r>
    </w:p>
    <w:p>
      <w:pPr>
        <w:pStyle w:val="FirstParagraph"/>
        <w:spacing w:after="100"/>
      </w:pPr>
      <w:r>
        <w:t xml:space="preserve">Use role-based access control (RBAC) with starter role templates and administrator-configurable permissions. The backend checks permissions on every protected action. Hiding a button is not security.</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Role</w:t>
            </w:r>
          </w:p>
        </w:tc>
        <w:tc>
          <w:tcPr>
            <w:tcW w:type="dxa" w:w="7030"/>
            <w:shd w:val="clear" w:color="auto" w:fill="0E1B2C"/>
          </w:tcPr>
          <w:p>
            <w:pPr>
              <w:pStyle w:val="Compact"/>
              <w:spacing w:after="20"/>
              <w:jc w:val="left"/>
            </w:pPr>
            <w:r>
              <w:rPr>
                <w:b/>
                <w:color w:val="FAF6EF"/>
                <w:sz w:val="19"/>
              </w:rPr>
              <w:t xml:space="preserve">Intended baseline</w:t>
            </w:r>
          </w:p>
        </w:tc>
      </w:tr>
      <w:tr>
        <w:tc>
          <w:tcPr>
            <w:tcW w:type="dxa" w:w="2608"/>
          </w:tcPr>
          <w:p>
            <w:pPr>
              <w:pStyle w:val="Compact"/>
              <w:spacing w:after="20"/>
              <w:jc w:val="left"/>
            </w:pPr>
            <w:r>
              <w:rPr>
                <w:sz w:val="19"/>
              </w:rPr>
              <w:t xml:space="preserve">Super Admin</w:t>
            </w:r>
          </w:p>
        </w:tc>
        <w:tc>
          <w:tcPr>
            <w:tcW w:type="dxa" w:w="7030"/>
          </w:tcPr>
          <w:p>
            <w:pPr>
              <w:pStyle w:val="Compact"/>
              <w:spacing w:after="20"/>
              <w:jc w:val="left"/>
            </w:pPr>
            <w:r>
              <w:rPr>
                <w:sz w:val="19"/>
              </w:rPr>
              <w:t xml:space="preserve">Protected owner capability: manage users, roles, permission assignments, system settings and recovery, and review audit history.</w:t>
            </w:r>
            <w:r>
              <w:rPr>
                <w:sz w:val="19"/>
              </w:rPr>
              <w:t xml:space="preserve"> </w:t>
            </w:r>
            <w:r>
              <w:rPr>
                <w:bCs/>
                <w:b/>
                <w:sz w:val="19"/>
              </w:rPr>
              <w:t xml:space="preserve">Not grantable through ordinary role configuration.</w:t>
            </w:r>
          </w:p>
        </w:tc>
      </w:tr>
      <w:tr>
        <w:tc>
          <w:tcPr>
            <w:tcW w:type="dxa" w:w="2608"/>
            <w:shd w:val="clear" w:color="auto" w:fill="FAF6EF"/>
          </w:tcPr>
          <w:p>
            <w:pPr>
              <w:pStyle w:val="Compact"/>
              <w:spacing w:after="20"/>
              <w:jc w:val="left"/>
            </w:pPr>
            <w:r>
              <w:rPr>
                <w:sz w:val="19"/>
              </w:rPr>
              <w:t xml:space="preserve">Business Manager</w:t>
            </w:r>
          </w:p>
        </w:tc>
        <w:tc>
          <w:tcPr>
            <w:tcW w:type="dxa" w:w="7030"/>
            <w:shd w:val="clear" w:color="auto" w:fill="FAF6EF"/>
          </w:tcPr>
          <w:p>
            <w:pPr>
              <w:pStyle w:val="Compact"/>
              <w:spacing w:after="20"/>
              <w:jc w:val="left"/>
            </w:pPr>
            <w:r>
              <w:rPr>
                <w:sz w:val="19"/>
              </w:rPr>
              <w:t xml:space="preserve">Full operational access across POS, bar, rooms, inventory, purchasing, payments, shifts and reports. No automatic system.admin.</w:t>
            </w:r>
          </w:p>
        </w:tc>
      </w:tr>
      <w:tr>
        <w:tc>
          <w:tcPr>
            <w:tcW w:type="dxa" w:w="2608"/>
          </w:tcPr>
          <w:p>
            <w:pPr>
              <w:pStyle w:val="Compact"/>
              <w:spacing w:after="20"/>
              <w:jc w:val="left"/>
            </w:pPr>
            <w:r>
              <w:rPr>
                <w:sz w:val="19"/>
              </w:rPr>
              <w:t xml:space="preserve">Cashier</w:t>
            </w:r>
          </w:p>
        </w:tc>
        <w:tc>
          <w:tcPr>
            <w:tcW w:type="dxa" w:w="7030"/>
          </w:tcPr>
          <w:p>
            <w:pPr>
              <w:pStyle w:val="Compact"/>
              <w:spacing w:after="20"/>
              <w:jc w:val="left"/>
            </w:pPr>
            <w:r>
              <w:rPr>
                <w:sz w:val="19"/>
              </w:rPr>
              <w:t xml:space="preserve">Create and finalise permitted sales, record payments, manage own shift, print receipts. Discounts, voids, refunds and reconciliation only with explicit permission.</w:t>
            </w:r>
          </w:p>
        </w:tc>
      </w:tr>
      <w:tr>
        <w:tc>
          <w:tcPr>
            <w:tcW w:type="dxa" w:w="2608"/>
            <w:shd w:val="clear" w:color="auto" w:fill="FAF6EF"/>
          </w:tcPr>
          <w:p>
            <w:pPr>
              <w:pStyle w:val="Compact"/>
              <w:spacing w:after="20"/>
              <w:jc w:val="left"/>
            </w:pPr>
            <w:r>
              <w:rPr>
                <w:sz w:val="19"/>
              </w:rPr>
              <w:t xml:space="preserve">Waiter</w:t>
            </w:r>
          </w:p>
        </w:tc>
        <w:tc>
          <w:tcPr>
            <w:tcW w:type="dxa" w:w="7030"/>
            <w:shd w:val="clear" w:color="auto" w:fill="FAF6EF"/>
          </w:tcPr>
          <w:p>
            <w:pPr>
              <w:pStyle w:val="Compact"/>
              <w:spacing w:after="20"/>
              <w:jc w:val="left"/>
            </w:pPr>
            <w:r>
              <w:rPr>
                <w:sz w:val="19"/>
              </w:rPr>
              <w:t xml:space="preserve">Create and manage permitted orders, send to kitchen, view appropriate tables and orders, post authorised room charges.</w:t>
            </w:r>
          </w:p>
        </w:tc>
      </w:tr>
      <w:tr>
        <w:tc>
          <w:tcPr>
            <w:tcW w:type="dxa" w:w="2608"/>
          </w:tcPr>
          <w:p>
            <w:pPr>
              <w:pStyle w:val="Compact"/>
              <w:spacing w:after="20"/>
              <w:jc w:val="left"/>
            </w:pPr>
            <w:r>
              <w:rPr>
                <w:sz w:val="19"/>
              </w:rPr>
              <w:t xml:space="preserve">Bartender</w:t>
            </w:r>
          </w:p>
        </w:tc>
        <w:tc>
          <w:tcPr>
            <w:tcW w:type="dxa" w:w="7030"/>
          </w:tcPr>
          <w:p>
            <w:pPr>
              <w:pStyle w:val="Compact"/>
              <w:spacing w:after="20"/>
              <w:jc w:val="left"/>
            </w:pPr>
            <w:r>
              <w:rPr>
                <w:sz w:val="19"/>
              </w:rPr>
              <w:t xml:space="preserve">Bar sales and authorised bar stock operations.</w:t>
            </w:r>
          </w:p>
        </w:tc>
      </w:tr>
      <w:tr>
        <w:tc>
          <w:tcPr>
            <w:tcW w:type="dxa" w:w="2608"/>
            <w:shd w:val="clear" w:color="auto" w:fill="FAF6EF"/>
          </w:tcPr>
          <w:p>
            <w:pPr>
              <w:pStyle w:val="Compact"/>
              <w:spacing w:after="20"/>
              <w:jc w:val="left"/>
            </w:pPr>
            <w:r>
              <w:rPr>
                <w:sz w:val="19"/>
              </w:rPr>
              <w:t xml:space="preserve">Receptionist</w:t>
            </w:r>
          </w:p>
        </w:tc>
        <w:tc>
          <w:tcPr>
            <w:tcW w:type="dxa" w:w="7030"/>
            <w:shd w:val="clear" w:color="auto" w:fill="FAF6EF"/>
          </w:tcPr>
          <w:p>
            <w:pPr>
              <w:pStyle w:val="Compact"/>
              <w:spacing w:after="20"/>
              <w:jc w:val="left"/>
            </w:pPr>
            <w:r>
              <w:rPr>
                <w:sz w:val="19"/>
              </w:rPr>
              <w:t xml:space="preserve">Reservations, guests, check-in/out, room status and folio actions allowed by permissions.</w:t>
            </w:r>
          </w:p>
        </w:tc>
      </w:tr>
      <w:tr>
        <w:tc>
          <w:tcPr>
            <w:tcW w:type="dxa" w:w="2608"/>
          </w:tcPr>
          <w:p>
            <w:pPr>
              <w:pStyle w:val="Compact"/>
              <w:spacing w:after="20"/>
              <w:jc w:val="left"/>
            </w:pPr>
            <w:r>
              <w:rPr>
                <w:sz w:val="19"/>
              </w:rPr>
              <w:t xml:space="preserve">Storekeeper</w:t>
            </w:r>
          </w:p>
        </w:tc>
        <w:tc>
          <w:tcPr>
            <w:tcW w:type="dxa" w:w="7030"/>
          </w:tcPr>
          <w:p>
            <w:pPr>
              <w:pStyle w:val="Compact"/>
              <w:spacing w:after="20"/>
              <w:jc w:val="left"/>
            </w:pPr>
            <w:r>
              <w:rPr>
                <w:sz w:val="19"/>
              </w:rPr>
              <w:t xml:space="preserve">Receiving, transfers, counts and adjustments allowed by permissions.</w:t>
            </w:r>
          </w:p>
        </w:tc>
      </w:tr>
      <w:tr>
        <w:tc>
          <w:tcPr>
            <w:tcW w:type="dxa" w:w="2608"/>
            <w:shd w:val="clear" w:color="auto" w:fill="FAF6EF"/>
          </w:tcPr>
          <w:p>
            <w:pPr>
              <w:pStyle w:val="Compact"/>
              <w:spacing w:after="20"/>
              <w:jc w:val="left"/>
            </w:pPr>
            <w:r>
              <w:rPr>
                <w:sz w:val="19"/>
              </w:rPr>
              <w:t xml:space="preserve">Kitchen staff</w:t>
            </w:r>
          </w:p>
        </w:tc>
        <w:tc>
          <w:tcPr>
            <w:tcW w:type="dxa" w:w="7030"/>
            <w:shd w:val="clear" w:color="auto" w:fill="FAF6EF"/>
          </w:tcPr>
          <w:p>
            <w:pPr>
              <w:pStyle w:val="Compact"/>
              <w:spacing w:after="20"/>
              <w:jc w:val="left"/>
            </w:pPr>
            <w:r>
              <w:rPr>
                <w:sz w:val="19"/>
              </w:rPr>
              <w:t xml:space="preserve">View and receive tickets; update preparation status if the workflow allows.</w:t>
            </w:r>
          </w:p>
        </w:tc>
      </w:tr>
      <w:tr>
        <w:tc>
          <w:tcPr>
            <w:tcW w:type="dxa" w:w="2608"/>
          </w:tcPr>
          <w:p>
            <w:pPr>
              <w:pStyle w:val="Compact"/>
              <w:spacing w:after="20"/>
              <w:jc w:val="left"/>
            </w:pPr>
            <w:r>
              <w:rPr>
                <w:sz w:val="19"/>
              </w:rPr>
              <w:t xml:space="preserve">Accountant / Auditor</w:t>
            </w:r>
          </w:p>
        </w:tc>
        <w:tc>
          <w:tcPr>
            <w:tcW w:type="dxa" w:w="7030"/>
          </w:tcPr>
          <w:p>
            <w:pPr>
              <w:pStyle w:val="Compact"/>
              <w:spacing w:after="20"/>
              <w:jc w:val="left"/>
            </w:pPr>
            <w:r>
              <w:rPr>
                <w:sz w:val="19"/>
              </w:rPr>
              <w:t xml:space="preserve">Read-only or limited financial reports, exports and audit visibility as granted.</w:t>
            </w:r>
          </w:p>
        </w:tc>
      </w:tr>
    </w:tbl>
    <w:p>
      <w:pPr>
        <w:pStyle w:val="BodyText"/>
        <w:spacing w:after="100"/>
      </w:pPr>
      <w:r>
        <w:t xml:space="preserve">Permission keys (extend only where justified): sales.view, sales.create, sales.discount, sales.void, sales.refund; inventory.view, inventory.adjust, inventory.transfer; purchasing.manage; rooms.manage; folios.manage; payments.reconcile; shifts.close; reports.view; reports.export; users.create, users.update, users.deactivate, users.delete; roles.manage; permissions.assign; system.admin.</w:t>
      </w:r>
    </w:p>
    <w:p>
      <w:pPr>
        <w:pStyle w:val="BodyText"/>
        <w:spacing w:after="100"/>
      </w:pPr>
      <w:r>
        <w:t xml:space="preserve">User administration safeguards:</w:t>
      </w:r>
    </w:p>
    <w:p>
      <w:pPr>
        <w:numPr>
          <w:ilvl w:val="0"/>
          <w:numId w:val="1004"/>
        </w:numPr>
        <w:pStyle w:val="Compact"/>
        <w:spacing w:after="100"/>
      </w:pPr>
      <w:r>
        <w:t xml:space="preserve">Prefer deactivation to deletion; preserve historical attribution.</w:t>
      </w:r>
    </w:p>
    <w:p>
      <w:pPr>
        <w:numPr>
          <w:ilvl w:val="0"/>
          <w:numId w:val="1004"/>
        </w:numPr>
        <w:pStyle w:val="Compact"/>
        <w:spacing w:after="100"/>
      </w:pPr>
      <w:r>
        <w:t xml:space="preserve">Never cascade-delete transaction, payment, stock, folio or audit history.</w:t>
      </w:r>
    </w:p>
    <w:p>
      <w:pPr>
        <w:numPr>
          <w:ilvl w:val="0"/>
          <w:numId w:val="1004"/>
        </w:numPr>
        <w:pStyle w:val="Compact"/>
        <w:spacing w:after="100"/>
      </w:pPr>
      <w:r>
        <w:t xml:space="preserve">A role that is still assigned cannot be deleted until users are reassigned.</w:t>
      </w:r>
    </w:p>
    <w:p>
      <w:pPr>
        <w:numPr>
          <w:ilvl w:val="0"/>
          <w:numId w:val="1004"/>
        </w:numPr>
        <w:pStyle w:val="Compact"/>
        <w:spacing w:after="100"/>
      </w:pPr>
      <w:r>
        <w:t xml:space="preserve">The system can never be left without an active Super Admin.</w:t>
      </w:r>
    </w:p>
    <w:p>
      <w:pPr>
        <w:numPr>
          <w:ilvl w:val="0"/>
          <w:numId w:val="1004"/>
        </w:numPr>
        <w:pStyle w:val="Compact"/>
        <w:spacing w:after="100"/>
      </w:pPr>
      <w:r>
        <w:t xml:space="preserve">Ordinary role configuration cannot grant system.admin or Super Admin.</w:t>
      </w:r>
    </w:p>
    <w:p>
      <w:pPr>
        <w:numPr>
          <w:ilvl w:val="0"/>
          <w:numId w:val="1004"/>
        </w:numPr>
        <w:pStyle w:val="Compact"/>
        <w:spacing w:after="100"/>
      </w:pPr>
      <w:r>
        <w:t xml:space="preserve">Sensitive changes need confirmation and, where appropriate, re-authentication. Role changes take effect on the next request.</w:t>
      </w:r>
    </w:p>
    <w:p>
      <w:pPr>
        <w:numPr>
          <w:ilvl w:val="0"/>
          <w:numId w:val="1004"/>
        </w:numPr>
        <w:pStyle w:val="Compact"/>
        <w:spacing w:after="100"/>
      </w:pPr>
      <w:r>
        <w:t xml:space="preserve">Log user, role and permission changes with actor, target, timestamp, action and before/after values.</w:t>
      </w:r>
    </w:p>
    <w:bookmarkEnd w:id="27"/>
    <w:bookmarkStart w:id="30" w:name="technology-and-engineering-standards"/>
    <w:p>
      <w:pPr>
        <w:pStyle w:val="Heading1"/>
        <w:spacing w:before="360"/>
        <w:pBdr>
          <w:bottom w:val="single" w:sz="8" w:space="2" w:color="0F766E"/>
        </w:pBdr>
      </w:pPr>
      <w:r>
        <w:t xml:space="preserve">5. Technology and engineering standards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Layer</w:t>
            </w:r>
          </w:p>
        </w:tc>
        <w:tc>
          <w:tcPr>
            <w:tcW w:type="dxa" w:w="7030"/>
            <w:shd w:val="clear" w:color="auto" w:fill="0E1B2C"/>
          </w:tcPr>
          <w:p>
            <w:pPr>
              <w:pStyle w:val="Compact"/>
              <w:spacing w:after="20"/>
              <w:jc w:val="left"/>
            </w:pPr>
            <w:r>
              <w:rPr>
                <w:b/>
                <w:color w:val="FAF6EF"/>
                <w:sz w:val="19"/>
              </w:rPr>
              <w:t xml:space="preserve">Decision and notes</w:t>
            </w:r>
          </w:p>
        </w:tc>
      </w:tr>
      <w:tr>
        <w:tc>
          <w:tcPr>
            <w:tcW w:type="dxa" w:w="2608"/>
          </w:tcPr>
          <w:p>
            <w:pPr>
              <w:pStyle w:val="Compact"/>
              <w:spacing w:after="20"/>
              <w:jc w:val="left"/>
            </w:pPr>
            <w:r>
              <w:rPr>
                <w:sz w:val="19"/>
              </w:rPr>
              <w:t xml:space="preserve">Web frontend</w:t>
            </w:r>
          </w:p>
        </w:tc>
        <w:tc>
          <w:tcPr>
            <w:tcW w:type="dxa" w:w="7030"/>
          </w:tcPr>
          <w:p>
            <w:pPr>
              <w:pStyle w:val="Compact"/>
              <w:spacing w:after="20"/>
              <w:jc w:val="left"/>
            </w:pPr>
            <w:r>
              <w:rPr>
                <w:sz w:val="19"/>
              </w:rPr>
              <w:t xml:space="preserve">Next.js, React, TypeScript. Desktop-first operational UI for a Windows PC and thermal printer; keyboard-friendly; responsive enough for a tablet.</w:t>
            </w:r>
          </w:p>
        </w:tc>
      </w:tr>
      <w:tr>
        <w:tc>
          <w:tcPr>
            <w:tcW w:type="dxa" w:w="2608"/>
            <w:shd w:val="clear" w:color="auto" w:fill="FAF6EF"/>
          </w:tcPr>
          <w:p>
            <w:pPr>
              <w:pStyle w:val="Compact"/>
              <w:spacing w:after="20"/>
              <w:jc w:val="left"/>
            </w:pPr>
            <w:r>
              <w:rPr>
                <w:sz w:val="19"/>
              </w:rPr>
              <w:t xml:space="preserve">API</w:t>
            </w:r>
          </w:p>
        </w:tc>
        <w:tc>
          <w:tcPr>
            <w:tcW w:type="dxa" w:w="7030"/>
            <w:shd w:val="clear" w:color="auto" w:fill="FAF6EF"/>
          </w:tcPr>
          <w:p>
            <w:pPr>
              <w:pStyle w:val="Compact"/>
              <w:spacing w:after="20"/>
              <w:jc w:val="left"/>
            </w:pPr>
            <w:r>
              <w:rPr>
                <w:sz w:val="19"/>
              </w:rPr>
              <w:t xml:space="preserve">Go, Gin. Modular monolith with clear domain packages.</w:t>
            </w:r>
          </w:p>
        </w:tc>
      </w:tr>
      <w:tr>
        <w:tc>
          <w:tcPr>
            <w:tcW w:type="dxa" w:w="2608"/>
          </w:tcPr>
          <w:p>
            <w:pPr>
              <w:pStyle w:val="Compact"/>
              <w:spacing w:after="20"/>
              <w:jc w:val="left"/>
            </w:pPr>
            <w:r>
              <w:rPr>
                <w:sz w:val="19"/>
              </w:rPr>
              <w:t xml:space="preserve">Database</w:t>
            </w:r>
          </w:p>
        </w:tc>
        <w:tc>
          <w:tcPr>
            <w:tcW w:type="dxa" w:w="7030"/>
          </w:tcPr>
          <w:p>
            <w:pPr>
              <w:pStyle w:val="Compact"/>
              <w:spacing w:after="20"/>
              <w:jc w:val="left"/>
            </w:pPr>
            <w:r>
              <w:rPr>
                <w:sz w:val="19"/>
              </w:rPr>
              <w:t xml:space="preserve">Supabase PostgreSQL in production; local PostgreSQL container for development and tests.</w:t>
            </w:r>
          </w:p>
        </w:tc>
      </w:tr>
      <w:tr>
        <w:tc>
          <w:tcPr>
            <w:tcW w:type="dxa" w:w="2608"/>
            <w:shd w:val="clear" w:color="auto" w:fill="FAF6EF"/>
          </w:tcPr>
          <w:p>
            <w:pPr>
              <w:pStyle w:val="Compact"/>
              <w:spacing w:after="20"/>
              <w:jc w:val="left"/>
            </w:pPr>
            <w:r>
              <w:rPr>
                <w:sz w:val="19"/>
              </w:rPr>
              <w:t xml:space="preserve">Data access</w:t>
            </w:r>
          </w:p>
        </w:tc>
        <w:tc>
          <w:tcPr>
            <w:tcW w:type="dxa" w:w="7030"/>
            <w:shd w:val="clear" w:color="auto" w:fill="FAF6EF"/>
          </w:tcPr>
          <w:p>
            <w:pPr>
              <w:pStyle w:val="Compact"/>
              <w:spacing w:after="20"/>
              <w:jc w:val="left"/>
            </w:pPr>
            <w:r>
              <w:rPr>
                <w:sz w:val="19"/>
              </w:rPr>
              <w:t xml:space="preserve">pgx, sqlc, golang-migrate (or equivalent controlled tool).</w:t>
            </w:r>
          </w:p>
        </w:tc>
      </w:tr>
      <w:tr>
        <w:tc>
          <w:tcPr>
            <w:tcW w:type="dxa" w:w="2608"/>
          </w:tcPr>
          <w:p>
            <w:pPr>
              <w:pStyle w:val="Compact"/>
              <w:spacing w:after="20"/>
              <w:jc w:val="left"/>
            </w:pPr>
            <w:r>
              <w:rPr>
                <w:sz w:val="19"/>
              </w:rPr>
              <w:t xml:space="preserve">Containers</w:t>
            </w:r>
          </w:p>
        </w:tc>
        <w:tc>
          <w:tcPr>
            <w:tcW w:type="dxa" w:w="7030"/>
          </w:tcPr>
          <w:p>
            <w:pPr>
              <w:pStyle w:val="Compact"/>
              <w:spacing w:after="20"/>
              <w:jc w:val="left"/>
            </w:pPr>
            <w:r>
              <w:rPr>
                <w:sz w:val="19"/>
              </w:rPr>
              <w:t xml:space="preserve">Multi-stage Dockerfiles, Compose, .dockerignore, .env.example. Docker is not a printing solution.</w:t>
            </w:r>
          </w:p>
        </w:tc>
      </w:tr>
      <w:tr>
        <w:tc>
          <w:tcPr>
            <w:tcW w:type="dxa" w:w="2608"/>
            <w:shd w:val="clear" w:color="auto" w:fill="FAF6EF"/>
          </w:tcPr>
          <w:p>
            <w:pPr>
              <w:pStyle w:val="Compact"/>
              <w:spacing w:after="20"/>
              <w:jc w:val="left"/>
            </w:pPr>
            <w:r>
              <w:rPr>
                <w:sz w:val="19"/>
              </w:rPr>
              <w:t xml:space="preserve">Deployment</w:t>
            </w:r>
          </w:p>
        </w:tc>
        <w:tc>
          <w:tcPr>
            <w:tcW w:type="dxa" w:w="7030"/>
            <w:shd w:val="clear" w:color="auto" w:fill="FAF6EF"/>
          </w:tcPr>
          <w:p>
            <w:pPr>
              <w:pStyle w:val="Compact"/>
              <w:spacing w:after="20"/>
              <w:jc w:val="left"/>
            </w:pPr>
            <w:r>
              <w:rPr>
                <w:sz w:val="19"/>
              </w:rPr>
              <w:t xml:space="preserve">Render (API), Vercel (frontend), Supabase (database), Cloudflare (DNS, HTTPS routing).</w:t>
            </w:r>
          </w:p>
        </w:tc>
      </w:tr>
      <w:tr>
        <w:tc>
          <w:tcPr>
            <w:tcW w:type="dxa" w:w="2608"/>
          </w:tcPr>
          <w:p>
            <w:pPr>
              <w:pStyle w:val="Compact"/>
              <w:spacing w:after="20"/>
              <w:jc w:val="left"/>
            </w:pPr>
            <w:r>
              <w:rPr>
                <w:sz w:val="19"/>
              </w:rPr>
              <w:t xml:space="preserve">CI</w:t>
            </w:r>
          </w:p>
        </w:tc>
        <w:tc>
          <w:tcPr>
            <w:tcW w:type="dxa" w:w="7030"/>
          </w:tcPr>
          <w:p>
            <w:pPr>
              <w:pStyle w:val="Compact"/>
              <w:spacing w:after="20"/>
              <w:jc w:val="left"/>
            </w:pPr>
            <w:r>
              <w:rPr>
                <w:sz w:val="19"/>
              </w:rPr>
              <w:t xml:space="preserve">GitHub Actions: format, lint, tests, build, migration check.</w:t>
            </w:r>
          </w:p>
        </w:tc>
      </w:tr>
      <w:tr>
        <w:tc>
          <w:tcPr>
            <w:tcW w:type="dxa" w:w="2608"/>
            <w:shd w:val="clear" w:color="auto" w:fill="FAF6EF"/>
          </w:tcPr>
          <w:p>
            <w:pPr>
              <w:pStyle w:val="Compact"/>
              <w:spacing w:after="20"/>
              <w:jc w:val="left"/>
            </w:pPr>
            <w:r>
              <w:rPr>
                <w:sz w:val="19"/>
              </w:rPr>
              <w:t xml:space="preserve">API docs</w:t>
            </w:r>
          </w:p>
        </w:tc>
        <w:tc>
          <w:tcPr>
            <w:tcW w:type="dxa" w:w="7030"/>
            <w:shd w:val="clear" w:color="auto" w:fill="FAF6EF"/>
          </w:tcPr>
          <w:p>
            <w:pPr>
              <w:pStyle w:val="Compact"/>
              <w:spacing w:after="20"/>
              <w:jc w:val="left"/>
            </w:pPr>
            <w:r>
              <w:rPr>
                <w:sz w:val="19"/>
              </w:rPr>
              <w:t xml:space="preserve">OpenAPI specification kept in the repository.</w:t>
            </w:r>
          </w:p>
        </w:tc>
      </w:tr>
      <w:tr>
        <w:tc>
          <w:tcPr>
            <w:tcW w:type="dxa" w:w="2608"/>
          </w:tcPr>
          <w:p>
            <w:pPr>
              <w:pStyle w:val="Compact"/>
              <w:spacing w:after="20"/>
              <w:jc w:val="left"/>
            </w:pPr>
            <w:r>
              <w:rPr>
                <w:sz w:val="19"/>
              </w:rPr>
              <w:t xml:space="preserve">Operations</w:t>
            </w:r>
          </w:p>
        </w:tc>
        <w:tc>
          <w:tcPr>
            <w:tcW w:type="dxa" w:w="7030"/>
          </w:tcPr>
          <w:p>
            <w:pPr>
              <w:pStyle w:val="Compact"/>
              <w:spacing w:after="20"/>
              <w:jc w:val="left"/>
            </w:pPr>
            <w:r>
              <w:rPr>
                <w:sz w:val="19"/>
              </w:rPr>
              <w:t xml:space="preserve">Environment config, HTTPS, structured logs, health and readiness checks, error monitoring, automated backups, tested restore.</w:t>
            </w:r>
          </w:p>
        </w:tc>
      </w:tr>
      <w:tr>
        <w:tc>
          <w:tcPr>
            <w:tcW w:type="dxa" w:w="2608"/>
            <w:shd w:val="clear" w:color="auto" w:fill="FAF6EF"/>
          </w:tcPr>
          <w:p>
            <w:pPr>
              <w:pStyle w:val="Compact"/>
              <w:spacing w:after="20"/>
              <w:jc w:val="left"/>
            </w:pPr>
            <w:r>
              <w:rPr>
                <w:sz w:val="19"/>
              </w:rPr>
              <w:t xml:space="preserve">Security</w:t>
            </w:r>
          </w:p>
        </w:tc>
        <w:tc>
          <w:tcPr>
            <w:tcW w:type="dxa" w:w="7030"/>
            <w:shd w:val="clear" w:color="auto" w:fill="FAF6EF"/>
          </w:tcPr>
          <w:p>
            <w:pPr>
              <w:pStyle w:val="Compact"/>
              <w:spacing w:after="20"/>
              <w:jc w:val="left"/>
            </w:pPr>
            <w:r>
              <w:rPr>
                <w:sz w:val="19"/>
              </w:rPr>
              <w:t xml:space="preserve">No database credentials or Supabase service-role keys in browser code.</w:t>
            </w:r>
          </w:p>
        </w:tc>
      </w:tr>
    </w:tbl>
    <w:bookmarkStart w:id="28" w:name="repository-layout"/>
    <w:p>
      <w:pPr>
        <w:pStyle w:val="Heading2"/>
      </w:pPr>
      <w:r>
        <w:t xml:space="preserve">5.1 Repository layout</w:t>
      </w:r>
    </w:p>
    <w:p>
      <w:pPr>
        <w:numPr>
          <w:ilvl w:val="0"/>
          <w:numId w:val="1005"/>
        </w:numPr>
        <w:pStyle w:val="Compact"/>
        <w:spacing w:after="100"/>
      </w:pPr>
      <w:r>
        <w:rPr>
          <w:rStyle w:val="VerbatimChar"/>
        </w:rPr>
        <w:t xml:space="preserve">frontend/</w:t>
      </w:r>
      <w:r>
        <w:t xml:space="preserve"> </w:t>
      </w:r>
      <w:r>
        <w:t xml:space="preserve">Next.js app and tests</w:t>
      </w:r>
    </w:p>
    <w:p>
      <w:pPr>
        <w:numPr>
          <w:ilvl w:val="0"/>
          <w:numId w:val="1005"/>
        </w:numPr>
        <w:pStyle w:val="Compact"/>
        <w:spacing w:after="100"/>
      </w:pPr>
      <w:r>
        <w:rPr>
          <w:rStyle w:val="VerbatimChar"/>
        </w:rPr>
        <w:t xml:space="preserve">backend/</w:t>
      </w:r>
      <w:r>
        <w:t xml:space="preserve"> </w:t>
      </w:r>
      <w:r>
        <w:t xml:space="preserve">Go API:</w:t>
      </w:r>
      <w:r>
        <w:t xml:space="preserve"> </w:t>
      </w:r>
      <w:r>
        <w:rPr>
          <w:rStyle w:val="VerbatimChar"/>
        </w:rPr>
        <w:t xml:space="preserve">cmd/api</w:t>
      </w:r>
      <w:r>
        <w:t xml:space="preserve">,</w:t>
      </w:r>
      <w:r>
        <w:t xml:space="preserve"> </w:t>
      </w:r>
      <w:r>
        <w:rPr>
          <w:rStyle w:val="VerbatimChar"/>
        </w:rPr>
        <w:t xml:space="preserve">internal/&lt;module&gt;</w:t>
      </w:r>
      <w:r>
        <w:t xml:space="preserve"> </w:t>
      </w:r>
      <w:r>
        <w:t xml:space="preserve">(handler, service, repository per module),</w:t>
      </w:r>
      <w:r>
        <w:t xml:space="preserve"> </w:t>
      </w:r>
      <w:r>
        <w:rPr>
          <w:rStyle w:val="VerbatimChar"/>
        </w:rPr>
        <w:t xml:space="preserve">internal/platform</w:t>
      </w:r>
      <w:r>
        <w:t xml:space="preserve"> </w:t>
      </w:r>
      <w:r>
        <w:t xml:space="preserve">(config, db, logging, http), tests</w:t>
      </w:r>
    </w:p>
    <w:p>
      <w:pPr>
        <w:numPr>
          <w:ilvl w:val="0"/>
          <w:numId w:val="1005"/>
        </w:numPr>
        <w:pStyle w:val="Compact"/>
        <w:spacing w:after="100"/>
      </w:pPr>
      <w:r>
        <w:rPr>
          <w:rStyle w:val="VerbatimChar"/>
        </w:rPr>
        <w:t xml:space="preserve">database/migrations/</w:t>
      </w:r>
      <w:r>
        <w:t xml:space="preserve"> </w:t>
      </w:r>
      <w:r>
        <w:t xml:space="preserve">versioned SQL migrations;</w:t>
      </w:r>
      <w:r>
        <w:t xml:space="preserve"> </w:t>
      </w:r>
      <w:r>
        <w:rPr>
          <w:rStyle w:val="VerbatimChar"/>
        </w:rPr>
        <w:t xml:space="preserve">database/queries/</w:t>
      </w:r>
      <w:r>
        <w:t xml:space="preserve"> </w:t>
      </w:r>
      <w:r>
        <w:t xml:space="preserve">sqlc queries</w:t>
      </w:r>
    </w:p>
    <w:p>
      <w:pPr>
        <w:numPr>
          <w:ilvl w:val="0"/>
          <w:numId w:val="1005"/>
        </w:numPr>
        <w:pStyle w:val="Compact"/>
        <w:spacing w:after="100"/>
      </w:pPr>
      <w:r>
        <w:rPr>
          <w:rStyle w:val="VerbatimChar"/>
        </w:rPr>
        <w:t xml:space="preserve">docs/</w:t>
      </w:r>
      <w:r>
        <w:t xml:space="preserve"> </w:t>
      </w:r>
      <w:r>
        <w:t xml:space="preserve">system-requirements, architecture, adr, api (OpenAPI), deployment, operations-and-recovery, traceability, assumptions, progress</w:t>
      </w:r>
    </w:p>
    <w:p>
      <w:pPr>
        <w:numPr>
          <w:ilvl w:val="0"/>
          <w:numId w:val="1005"/>
        </w:numPr>
        <w:pStyle w:val="Compact"/>
        <w:spacing w:after="100"/>
      </w:pPr>
      <w:r>
        <w:rPr>
          <w:rStyle w:val="VerbatimChar"/>
        </w:rPr>
        <w:t xml:space="preserve">docker-compose.yml</w:t>
      </w:r>
      <w:r>
        <w:t xml:space="preserve">,</w:t>
      </w:r>
      <w:r>
        <w:t xml:space="preserve"> </w:t>
      </w:r>
      <w:r>
        <w:rPr>
          <w:rStyle w:val="VerbatimChar"/>
        </w:rPr>
        <w:t xml:space="preserve">frontend/Dockerfile</w:t>
      </w:r>
      <w:r>
        <w:t xml:space="preserve">,</w:t>
      </w:r>
      <w:r>
        <w:t xml:space="preserve"> </w:t>
      </w:r>
      <w:r>
        <w:rPr>
          <w:rStyle w:val="VerbatimChar"/>
        </w:rPr>
        <w:t xml:space="preserve">backend/Dockerfile</w:t>
      </w:r>
      <w:r>
        <w:t xml:space="preserve">,</w:t>
      </w:r>
      <w:r>
        <w:t xml:space="preserve"> </w:t>
      </w:r>
      <w:r>
        <w:rPr>
          <w:rStyle w:val="VerbatimChar"/>
        </w:rPr>
        <w:t xml:space="preserve">.dockerignore</w:t>
      </w:r>
      <w:r>
        <w:t xml:space="preserve">,</w:t>
      </w:r>
      <w:r>
        <w:t xml:space="preserve"> </w:t>
      </w:r>
      <w:r>
        <w:rPr>
          <w:rStyle w:val="VerbatimChar"/>
        </w:rPr>
        <w:t xml:space="preserve">.env.example</w:t>
      </w:r>
      <w:r>
        <w:t xml:space="preserve">,</w:t>
      </w:r>
      <w:r>
        <w:t xml:space="preserve"> </w:t>
      </w:r>
      <w:r>
        <w:rPr>
          <w:rStyle w:val="VerbatimChar"/>
        </w:rPr>
        <w:t xml:space="preserve">README.md</w:t>
      </w:r>
    </w:p>
    <w:bookmarkEnd w:id="28"/>
    <w:bookmarkStart w:id="29" w:name="engineering-conventions"/>
    <w:p>
      <w:pPr>
        <w:pStyle w:val="Heading2"/>
      </w:pPr>
      <w:r>
        <w:t xml:space="preserve">5.2 Engineering conventions</w:t>
      </w:r>
    </w:p>
    <w:p>
      <w:pPr>
        <w:numPr>
          <w:ilvl w:val="0"/>
          <w:numId w:val="1006"/>
        </w:numPr>
        <w:pStyle w:val="Compact"/>
        <w:spacing w:after="100"/>
      </w:pPr>
      <w:r>
        <w:t xml:space="preserve">Stable primary keys, foreign keys, constraints, indexes and explicit transaction boundaries.</w:t>
      </w:r>
    </w:p>
    <w:p>
      <w:pPr>
        <w:numPr>
          <w:ilvl w:val="0"/>
          <w:numId w:val="1006"/>
        </w:numPr>
        <w:pStyle w:val="Compact"/>
        <w:spacing w:after="100"/>
      </w:pPr>
      <w:r>
        <w:rPr>
          <w:bCs/>
          <w:b/>
        </w:rPr>
        <w:t xml:space="preserve">Money is stored as integer minor units (BIGINT, cents of KES) in a single currency.</w:t>
      </w:r>
      <w:r>
        <w:t xml:space="preserve"> </w:t>
      </w:r>
      <w:r>
        <w:t xml:space="preserve">Never floating point. Display formatting only at the edge.</w:t>
      </w:r>
    </w:p>
    <w:p>
      <w:pPr>
        <w:numPr>
          <w:ilvl w:val="0"/>
          <w:numId w:val="1006"/>
        </w:numPr>
        <w:pStyle w:val="Compact"/>
        <w:spacing w:after="100"/>
      </w:pPr>
      <w:r>
        <w:t xml:space="preserve">Business timezone is Africa/Nairobi (UTC+3, no daylight saving). Store timestamps in UTC; business-day boundaries (shift, report day) are computed in Nairobi time.</w:t>
      </w:r>
    </w:p>
    <w:p>
      <w:pPr>
        <w:numPr>
          <w:ilvl w:val="0"/>
          <w:numId w:val="1006"/>
        </w:numPr>
        <w:pStyle w:val="Compact"/>
        <w:spacing w:after="100"/>
      </w:pPr>
      <w:r>
        <w:t xml:space="preserve">Validate input at the API boundary; enforce rules in services; use parameterised SQL only.</w:t>
      </w:r>
    </w:p>
    <w:p>
      <w:pPr>
        <w:numPr>
          <w:ilvl w:val="0"/>
          <w:numId w:val="1006"/>
        </w:numPr>
        <w:pStyle w:val="Compact"/>
        <w:spacing w:after="100"/>
      </w:pPr>
      <w:r>
        <w:t xml:space="preserve">Passwords: Argon2id (or bcrypt with suitable cost). Login rate limiting, session expiry and revocation.</w:t>
      </w:r>
    </w:p>
    <w:p>
      <w:pPr>
        <w:numPr>
          <w:ilvl w:val="0"/>
          <w:numId w:val="1006"/>
        </w:numPr>
        <w:pStyle w:val="Compact"/>
        <w:spacing w:after="100"/>
      </w:pPr>
      <w:r>
        <w:t xml:space="preserve">Never log passwords, tokens or payment secrets.</w:t>
      </w:r>
    </w:p>
    <w:p>
      <w:pPr>
        <w:numPr>
          <w:ilvl w:val="0"/>
          <w:numId w:val="1006"/>
        </w:numPr>
        <w:pStyle w:val="Compact"/>
        <w:spacing w:after="100"/>
      </w:pPr>
      <w:r>
        <w:t xml:space="preserve">Migrations run through a controlled deploy step, never automatically on every app start.</w:t>
      </w:r>
    </w:p>
    <w:p>
      <w:pPr>
        <w:numPr>
          <w:ilvl w:val="0"/>
          <w:numId w:val="1006"/>
        </w:numPr>
        <w:pStyle w:val="Compact"/>
        <w:spacing w:after="100"/>
      </w:pPr>
      <w:r>
        <w:t xml:space="preserve">Configuration and secrets stay out of Git. Least privilege everywhere.</w:t>
      </w:r>
    </w:p>
    <w:p>
      <w:pPr>
        <w:numPr>
          <w:ilvl w:val="0"/>
          <w:numId w:val="1006"/>
        </w:numPr>
        <w:pStyle w:val="Compact"/>
        <w:spacing w:after="100"/>
      </w:pPr>
      <w:r>
        <w:t xml:space="preserve">Automated tests for critical invariants, not only happy paths.</w:t>
      </w:r>
    </w:p>
    <w:bookmarkEnd w:id="29"/>
    <w:bookmarkEnd w:id="30"/>
    <w:bookmarkStart w:id="31" w:name="authentication-sessions-and-request-flow"/>
    <w:p>
      <w:pPr>
        <w:pStyle w:val="Heading1"/>
        <w:spacing w:before="360"/>
        <w:pBdr>
          <w:bottom w:val="single" w:sz="8" w:space="2" w:color="0F766E"/>
        </w:pBdr>
      </w:pPr>
      <w:r>
        <w:t xml:space="preserve">6. Authentication, sessions and request flow</w:t>
      </w:r>
    </w:p>
    <w:p>
      <w:pPr>
        <w:numPr>
          <w:ilvl w:val="0"/>
          <w:numId w:val="1007"/>
        </w:numPr>
        <w:pStyle w:val="Compact"/>
        <w:spacing w:after="100"/>
      </w:pPr>
      <w:r>
        <w:rPr>
          <w:bCs/>
          <w:b/>
        </w:rPr>
        <w:t xml:space="preserve">Session model:</w:t>
      </w:r>
      <w:r>
        <w:t xml:space="preserve"> </w:t>
      </w:r>
      <w:r>
        <w:t xml:space="preserve">server-side sessions. The API issues a random opaque token, stores only its SHA-256 hash in a sessions table, and sets it in an HttpOnly, Secure, SameSite=Lax cookie. Idle expiry and absolute expiry are configurable; logout and deactivation revoke sessions.</w:t>
      </w:r>
    </w:p>
    <w:p>
      <w:pPr>
        <w:numPr>
          <w:ilvl w:val="0"/>
          <w:numId w:val="1007"/>
        </w:numPr>
        <w:pStyle w:val="Compact"/>
        <w:spacing w:after="100"/>
      </w:pPr>
      <w:r>
        <w:rPr>
          <w:bCs/>
          <w:b/>
        </w:rPr>
        <w:t xml:space="preserve">Permissions are read from the database on each request</w:t>
      </w:r>
      <w:r>
        <w:t xml:space="preserve"> </w:t>
      </w:r>
      <w:r>
        <w:t xml:space="preserve">in v1 (small venue, trivial cost). This makes role changes take effect immediately and avoids stale-claim bugs.</w:t>
      </w:r>
    </w:p>
    <w:p>
      <w:pPr>
        <w:numPr>
          <w:ilvl w:val="0"/>
          <w:numId w:val="1007"/>
        </w:numPr>
        <w:pStyle w:val="Compact"/>
        <w:spacing w:after="100"/>
      </w:pPr>
      <w:r>
        <w:rPr>
          <w:bCs/>
          <w:b/>
        </w:rPr>
        <w:t xml:space="preserve">Browser to API path:</w:t>
      </w:r>
      <w:r>
        <w:t xml:space="preserve"> </w:t>
      </w:r>
      <w:r>
        <w:t xml:space="preserve">the Next.js app proxies</w:t>
      </w:r>
      <w:r>
        <w:t xml:space="preserve"> </w:t>
      </w:r>
      <w:r>
        <w:rPr>
          <w:rStyle w:val="VerbatimChar"/>
        </w:rPr>
        <w:t xml:space="preserve">/api/*</w:t>
      </w:r>
      <w:r>
        <w:t xml:space="preserve"> </w:t>
      </w:r>
      <w:r>
        <w:t xml:space="preserve">to the Render API using a rewrite, so the browser sees one origin. This avoids third-party-cookie problems between vercel.app and onrender.com and removes the need for broad CORS. When a custom domain exists, app and API may live on sibling subdomains of the same registrable domain. Verify on a deployed preview.</w:t>
      </w:r>
    </w:p>
    <w:p>
      <w:pPr>
        <w:numPr>
          <w:ilvl w:val="0"/>
          <w:numId w:val="1007"/>
        </w:numPr>
        <w:pStyle w:val="Compact"/>
        <w:spacing w:after="100"/>
      </w:pPr>
      <w:r>
        <w:rPr>
          <w:bCs/>
          <w:b/>
        </w:rPr>
        <w:t xml:space="preserve">CSRF:</w:t>
      </w:r>
      <w:r>
        <w:t xml:space="preserve"> </w:t>
      </w:r>
      <w:r>
        <w:t xml:space="preserve">SameSite cookies plus a required custom header (or double-submit token) on state-changing requests; reject cross-origin state changes.</w:t>
      </w:r>
    </w:p>
    <w:p>
      <w:pPr>
        <w:numPr>
          <w:ilvl w:val="0"/>
          <w:numId w:val="1007"/>
        </w:numPr>
        <w:pStyle w:val="Compact"/>
        <w:spacing w:after="100"/>
      </w:pPr>
      <w:r>
        <w:rPr>
          <w:bCs/>
          <w:b/>
        </w:rPr>
        <w:t xml:space="preserve">Quick PIN switch (Should, A-07):</w:t>
      </w:r>
      <w:r>
        <w:t xml:space="preserve"> </w:t>
      </w:r>
      <w:r>
        <w:t xml:space="preserve">on the shared terminal, Cashier, Waiter and Bartender may switch user with a short PIN stored hashed, with attempt limits and lockout. Full password required for managers and administrators.</w:t>
      </w:r>
    </w:p>
    <w:p>
      <w:pPr>
        <w:numPr>
          <w:ilvl w:val="0"/>
          <w:numId w:val="1007"/>
        </w:numPr>
        <w:pStyle w:val="Compact"/>
        <w:spacing w:after="100"/>
      </w:pPr>
      <w:r>
        <w:rPr>
          <w:bCs/>
          <w:b/>
        </w:rPr>
        <w:t xml:space="preserve">Super Admin recovery:</w:t>
      </w:r>
      <w:r>
        <w:t xml:space="preserve"> </w:t>
      </w:r>
      <w:r>
        <w:t xml:space="preserve">a documented, offline, audited procedure (see operations runbook). No emailed back door.</w:t>
      </w:r>
    </w:p>
    <w:bookmarkEnd w:id="31"/>
    <w:bookmarkStart w:id="42" w:name="functional-modules"/>
    <w:p>
      <w:pPr>
        <w:pStyle w:val="Heading1"/>
        <w:spacing w:before="360"/>
        <w:pBdr>
          <w:bottom w:val="single" w:sz="8" w:space="2" w:color="0F766E"/>
        </w:pBdr>
      </w:pPr>
      <w:r>
        <w:t xml:space="preserve">7. Functional modules</w:t>
      </w:r>
    </w:p>
    <w:bookmarkStart w:id="32" w:name="restaurant-pos"/>
    <w:p>
      <w:pPr>
        <w:pStyle w:val="Heading2"/>
      </w:pPr>
      <w:r>
        <w:t xml:space="preserve">7.1 Restaurant POS</w:t>
      </w:r>
    </w:p>
    <w:p>
      <w:pPr>
        <w:numPr>
          <w:ilvl w:val="0"/>
          <w:numId w:val="1008"/>
        </w:numPr>
        <w:pStyle w:val="Compact"/>
        <w:spacing w:after="100"/>
      </w:pPr>
      <w:r>
        <w:t xml:space="preserve">Menu products, categories, prices, availability and optional modifiers.</w:t>
      </w:r>
    </w:p>
    <w:p>
      <w:pPr>
        <w:numPr>
          <w:ilvl w:val="0"/>
          <w:numId w:val="1008"/>
        </w:numPr>
        <w:pStyle w:val="Compact"/>
        <w:spacing w:after="100"/>
      </w:pPr>
      <w:r>
        <w:t xml:space="preserve">Dine-in and takeaway; table handling to suit the real venue.</w:t>
      </w:r>
    </w:p>
    <w:p>
      <w:pPr>
        <w:numPr>
          <w:ilvl w:val="0"/>
          <w:numId w:val="1008"/>
        </w:numPr>
        <w:pStyle w:val="Compact"/>
        <w:spacing w:after="100"/>
      </w:pPr>
      <w:r>
        <w:t xml:space="preserve">Permitted order edits before finalisation, with history of material changes.</w:t>
      </w:r>
    </w:p>
    <w:p>
      <w:pPr>
        <w:numPr>
          <w:ilvl w:val="0"/>
          <w:numId w:val="1008"/>
        </w:numPr>
        <w:pStyle w:val="Compact"/>
        <w:spacing w:after="100"/>
      </w:pPr>
      <w:r>
        <w:t xml:space="preserve">Bills, permitted discounts, split and partial payments, due balances.</w:t>
      </w:r>
    </w:p>
    <w:p>
      <w:pPr>
        <w:numPr>
          <w:ilvl w:val="0"/>
          <w:numId w:val="1008"/>
        </w:numPr>
        <w:pStyle w:val="Compact"/>
        <w:spacing w:after="100"/>
      </w:pPr>
      <w:r>
        <w:t xml:space="preserve">Voids and refunds only with explicit permission, a reason and an audit event.</w:t>
      </w:r>
    </w:p>
    <w:p>
      <w:pPr>
        <w:numPr>
          <w:ilvl w:val="0"/>
          <w:numId w:val="1008"/>
        </w:numPr>
        <w:pStyle w:val="Compact"/>
        <w:spacing w:after="100"/>
      </w:pPr>
      <w:r>
        <w:t xml:space="preserve">Orders, sales and actions attributed to the responsible waiter or cashier.</w:t>
      </w:r>
    </w:p>
    <w:p>
      <w:pPr>
        <w:numPr>
          <w:ilvl w:val="0"/>
          <w:numId w:val="1008"/>
        </w:numPr>
        <w:pStyle w:val="Compact"/>
        <w:spacing w:after="100"/>
      </w:pPr>
      <w:r>
        <w:t xml:space="preserve">Send to kitchen is an explicit workflow separate from payment.</w:t>
      </w:r>
    </w:p>
    <w:p>
      <w:pPr>
        <w:numPr>
          <w:ilvl w:val="0"/>
          <w:numId w:val="1008"/>
        </w:numPr>
        <w:pStyle w:val="Compact"/>
        <w:spacing w:after="100"/>
      </w:pPr>
      <w:r>
        <w:t xml:space="preserve">Ingredient deduction only when recipes and units are configured and the policy is agreed.</w:t>
      </w:r>
    </w:p>
    <w:p>
      <w:pPr>
        <w:numPr>
          <w:ilvl w:val="0"/>
          <w:numId w:val="1008"/>
        </w:numPr>
        <w:pStyle w:val="Compact"/>
        <w:spacing w:after="100"/>
      </w:pPr>
      <w:r>
        <w:t xml:space="preserve">Completed sales keep snapshots of item name, quantity, price, discount and tax.</w:t>
      </w:r>
    </w:p>
    <w:bookmarkEnd w:id="32"/>
    <w:bookmarkStart w:id="33" w:name="bar-and-club"/>
    <w:p>
      <w:pPr>
        <w:pStyle w:val="Heading2"/>
      </w:pPr>
      <w:r>
        <w:t xml:space="preserve">7.2 Bar and club</w:t>
      </w:r>
    </w:p>
    <w:p>
      <w:pPr>
        <w:numPr>
          <w:ilvl w:val="0"/>
          <w:numId w:val="1009"/>
        </w:numPr>
        <w:pStyle w:val="Compact"/>
        <w:spacing w:after="100"/>
      </w:pPr>
      <w:r>
        <w:t xml:space="preserve">Configurable product formats (bottle, crate, can, shot); no single hard-coded conversion.</w:t>
      </w:r>
    </w:p>
    <w:p>
      <w:pPr>
        <w:numPr>
          <w:ilvl w:val="0"/>
          <w:numId w:val="1009"/>
        </w:numPr>
        <w:pStyle w:val="Compact"/>
        <w:spacing w:after="100"/>
      </w:pPr>
      <w:r>
        <w:t xml:space="preserve">Purchase, storage and sale units with explicit conversion factors.</w:t>
      </w:r>
    </w:p>
    <w:p>
      <w:pPr>
        <w:numPr>
          <w:ilvl w:val="0"/>
          <w:numId w:val="1009"/>
        </w:numPr>
        <w:pStyle w:val="Compact"/>
        <w:spacing w:after="100"/>
      </w:pPr>
      <w:r>
        <w:t xml:space="preserve">Main store to bar transfers as paired, traceable movements.</w:t>
      </w:r>
    </w:p>
    <w:p>
      <w:pPr>
        <w:numPr>
          <w:ilvl w:val="0"/>
          <w:numId w:val="1009"/>
        </w:numPr>
        <w:pStyle w:val="Compact"/>
        <w:spacing w:after="100"/>
      </w:pPr>
      <w:r>
        <w:t xml:space="preserve">Wastage, breakage, complimentary items and adjustments with reasons.</w:t>
      </w:r>
    </w:p>
    <w:p>
      <w:pPr>
        <w:numPr>
          <w:ilvl w:val="0"/>
          <w:numId w:val="1009"/>
        </w:numPr>
        <w:pStyle w:val="Compact"/>
        <w:spacing w:after="100"/>
      </w:pPr>
      <w:r>
        <w:t xml:space="preserve">Expected-versus-physical comparison and variance investigation.</w:t>
      </w:r>
    </w:p>
    <w:p>
      <w:pPr>
        <w:numPr>
          <w:ilvl w:val="0"/>
          <w:numId w:val="1009"/>
        </w:numPr>
        <w:pStyle w:val="Compact"/>
        <w:spacing w:after="100"/>
      </w:pPr>
      <w:r>
        <w:t xml:space="preserve">Recipes or portion rules only when the business can maintain them.</w:t>
      </w:r>
    </w:p>
    <w:bookmarkEnd w:id="33"/>
    <w:bookmarkStart w:id="34" w:name="rooms-reservations-and-folios"/>
    <w:p>
      <w:pPr>
        <w:pStyle w:val="Heading2"/>
      </w:pPr>
      <w:r>
        <w:t xml:space="preserve">7.3 Rooms, reservations and folios</w:t>
      </w:r>
    </w:p>
    <w:p>
      <w:pPr>
        <w:numPr>
          <w:ilvl w:val="0"/>
          <w:numId w:val="1010"/>
        </w:numPr>
        <w:pStyle w:val="Compact"/>
        <w:spacing w:after="100"/>
      </w:pPr>
      <w:r>
        <w:t xml:space="preserve">Configurable rooms and room types (about 13 initially, no hard-coded limit).</w:t>
      </w:r>
    </w:p>
    <w:p>
      <w:pPr>
        <w:numPr>
          <w:ilvl w:val="0"/>
          <w:numId w:val="1010"/>
        </w:numPr>
        <w:pStyle w:val="Compact"/>
        <w:spacing w:after="100"/>
      </w:pPr>
      <w:r>
        <w:t xml:space="preserve">Rates, guests, reservations, availability, check-in, check-out, stay extensions.</w:t>
      </w:r>
    </w:p>
    <w:p>
      <w:pPr>
        <w:numPr>
          <w:ilvl w:val="0"/>
          <w:numId w:val="1010"/>
        </w:numPr>
        <w:pStyle w:val="Compact"/>
        <w:spacing w:after="100"/>
      </w:pPr>
      <w:r>
        <w:rPr>
          <w:bCs/>
          <w:b/>
        </w:rPr>
        <w:t xml:space="preserve">No overlapping blocking reservations or stays for a room, enforced by the database</w:t>
      </w:r>
      <w:r>
        <w:t xml:space="preserve"> </w:t>
      </w:r>
      <w:r>
        <w:t xml:space="preserve">(see section 10.3), including concurrent attempts.</w:t>
      </w:r>
    </w:p>
    <w:p>
      <w:pPr>
        <w:numPr>
          <w:ilvl w:val="0"/>
          <w:numId w:val="1010"/>
        </w:numPr>
        <w:pStyle w:val="Compact"/>
        <w:spacing w:after="100"/>
      </w:pPr>
      <w:r>
        <w:t xml:space="preserve">Booking status is separate from physical room status. Room statuses: vacant/ready, reserved, occupied, dirty, cleaning, out-of-service, with defined transitions and roles.</w:t>
      </w:r>
    </w:p>
    <w:p>
      <w:pPr>
        <w:numPr>
          <w:ilvl w:val="0"/>
          <w:numId w:val="1010"/>
        </w:numPr>
        <w:pStyle w:val="Compact"/>
        <w:spacing w:after="100"/>
      </w:pPr>
      <w:r>
        <w:t xml:space="preserve">Deposits, guest folios, restaurant and bar room charges, consolidated checkout.</w:t>
      </w:r>
    </w:p>
    <w:p>
      <w:pPr>
        <w:numPr>
          <w:ilvl w:val="0"/>
          <w:numId w:val="1010"/>
        </w:numPr>
        <w:pStyle w:val="Compact"/>
        <w:spacing w:after="100"/>
      </w:pPr>
      <w:r>
        <w:rPr>
          <w:bCs/>
          <w:b/>
        </w:rPr>
        <w:t xml:space="preserve">A room charge is a folio posting, not a payment.</w:t>
      </w:r>
      <w:r>
        <w:t xml:space="preserve"> </w:t>
      </w:r>
      <w:r>
        <w:t xml:space="preserve">Payment exists only when money is received and recorded.</w:t>
      </w:r>
    </w:p>
    <w:p>
      <w:pPr>
        <w:numPr>
          <w:ilvl w:val="0"/>
          <w:numId w:val="1010"/>
        </w:numPr>
        <w:pStyle w:val="Compact"/>
        <w:spacing w:after="100"/>
      </w:pPr>
      <w:r>
        <w:t xml:space="preserve">Transparent folio items, payments, adjustments and balances; housekeeping tasks.</w:t>
      </w:r>
    </w:p>
    <w:bookmarkEnd w:id="34"/>
    <w:bookmarkStart w:id="35" w:name="inventory-and-purchasing"/>
    <w:p>
      <w:pPr>
        <w:pStyle w:val="Heading2"/>
      </w:pPr>
      <w:r>
        <w:t xml:space="preserve">7.4 Inventory and purchasing</w:t>
      </w:r>
    </w:p>
    <w:p>
      <w:pPr>
        <w:numPr>
          <w:ilvl w:val="0"/>
          <w:numId w:val="1011"/>
        </w:numPr>
        <w:pStyle w:val="Compact"/>
        <w:spacing w:after="100"/>
      </w:pPr>
      <w:r>
        <w:t xml:space="preserve">Items, stock locations, units of measure and conversions.</w:t>
      </w:r>
    </w:p>
    <w:p>
      <w:pPr>
        <w:numPr>
          <w:ilvl w:val="0"/>
          <w:numId w:val="1011"/>
        </w:numPr>
        <w:pStyle w:val="Compact"/>
        <w:spacing w:after="100"/>
      </w:pPr>
      <w:r>
        <w:t xml:space="preserve">Suppliers, purchase records, receiving, purchase lines.</w:t>
      </w:r>
    </w:p>
    <w:p>
      <w:pPr>
        <w:numPr>
          <w:ilvl w:val="0"/>
          <w:numId w:val="1011"/>
        </w:numPr>
        <w:pStyle w:val="Compact"/>
        <w:spacing w:after="100"/>
      </w:pPr>
      <w:r>
        <w:t xml:space="preserve">Transfers, counts, variance, adjustments, wastage, low-stock thresholds.</w:t>
      </w:r>
    </w:p>
    <w:p>
      <w:pPr>
        <w:numPr>
          <w:ilvl w:val="0"/>
          <w:numId w:val="1011"/>
        </w:numPr>
        <w:pStyle w:val="Compact"/>
        <w:spacing w:after="100"/>
      </w:pPr>
      <w:r>
        <w:rPr>
          <w:bCs/>
          <w:b/>
        </w:rPr>
        <w:t xml:space="preserve">Append-only stock movement ledger.</w:t>
      </w:r>
      <w:r>
        <w:t xml:space="preserve"> </w:t>
      </w:r>
      <w:r>
        <w:t xml:space="preserve">Every balance is explained by movements. Mistakes are fixed with compensating movements and reasons, never by editing history.</w:t>
      </w:r>
    </w:p>
    <w:p>
      <w:pPr>
        <w:numPr>
          <w:ilvl w:val="0"/>
          <w:numId w:val="1011"/>
        </w:numPr>
        <w:pStyle w:val="Compact"/>
        <w:spacing w:after="100"/>
      </w:pPr>
      <w:r>
        <w:t xml:space="preserve">Batch and expiry tracking only if discovery confirms it (Could).</w:t>
      </w:r>
    </w:p>
    <w:p>
      <w:pPr>
        <w:numPr>
          <w:ilvl w:val="0"/>
          <w:numId w:val="1011"/>
        </w:numPr>
        <w:pStyle w:val="Compact"/>
        <w:spacing w:after="100"/>
      </w:pPr>
      <w:r>
        <w:t xml:space="preserve">Recipes drive deductions only after reliable recipe and unit data exist.</w:t>
      </w:r>
    </w:p>
    <w:bookmarkEnd w:id="35"/>
    <w:bookmarkStart w:id="36" w:name="payments-shifts-and-cash-up"/>
    <w:p>
      <w:pPr>
        <w:pStyle w:val="Heading2"/>
      </w:pPr>
      <w:r>
        <w:t xml:space="preserve">7.5 Payments, shifts and cash-up</w:t>
      </w:r>
    </w:p>
    <w:p>
      <w:pPr>
        <w:numPr>
          <w:ilvl w:val="0"/>
          <w:numId w:val="1012"/>
        </w:numPr>
        <w:pStyle w:val="Compact"/>
        <w:spacing w:after="100"/>
      </w:pPr>
      <w:r>
        <w:t xml:space="preserve">Configurable methods: cash, M-Pesa, card or bank transfer, room/folio charge where appropriate.</w:t>
      </w:r>
    </w:p>
    <w:p>
      <w:pPr>
        <w:numPr>
          <w:ilvl w:val="0"/>
          <w:numId w:val="1012"/>
        </w:numPr>
        <w:pStyle w:val="Compact"/>
        <w:spacing w:after="100"/>
      </w:pPr>
      <w:r>
        <w:t xml:space="preserve">Deposits, split tender, partial payments, clear balances due.</w:t>
      </w:r>
    </w:p>
    <w:p>
      <w:pPr>
        <w:numPr>
          <w:ilvl w:val="0"/>
          <w:numId w:val="1012"/>
        </w:numPr>
        <w:pStyle w:val="Compact"/>
        <w:spacing w:after="100"/>
      </w:pPr>
      <w:r>
        <w:t xml:space="preserve">M-Pesa is never</w:t>
      </w:r>
      <w:r>
        <w:t xml:space="preserve"> </w:t>
      </w:r>
      <w:r>
        <w:t xml:space="preserve">“</w:t>
      </w:r>
      <w:r>
        <w:t xml:space="preserve">paid</w:t>
      </w:r>
      <w:r>
        <w:t xml:space="preserve">”</w:t>
      </w:r>
      <w:r>
        <w:t xml:space="preserve"> </w:t>
      </w:r>
      <w:r>
        <w:t xml:space="preserve">because someone typed a reference or initiated a request. Until DG-02 is resolved, a manual M-Pesa payment is recorded as</w:t>
      </w:r>
      <w:r>
        <w:t xml:space="preserve"> </w:t>
      </w:r>
      <w:r>
        <w:rPr>
          <w:bCs/>
          <w:b/>
        </w:rPr>
        <w:t xml:space="preserve">pending confirmation</w:t>
      </w:r>
      <w:r>
        <w:t xml:space="preserve"> </w:t>
      </w:r>
      <w:r>
        <w:t xml:space="preserve">and a permitted user confirms it against the actual M-Pesa statement or message, with audit.</w:t>
      </w:r>
    </w:p>
    <w:p>
      <w:pPr>
        <w:numPr>
          <w:ilvl w:val="0"/>
          <w:numId w:val="1012"/>
        </w:numPr>
        <w:pStyle w:val="Compact"/>
        <w:spacing w:after="100"/>
      </w:pPr>
      <w:r>
        <w:t xml:space="preserve">Shift opening with float, cash movements (paid-in, paid-out, expenses where permitted), closing and cash-up.</w:t>
      </w:r>
    </w:p>
    <w:p>
      <w:pPr>
        <w:numPr>
          <w:ilvl w:val="0"/>
          <w:numId w:val="1012"/>
        </w:numPr>
        <w:pStyle w:val="Compact"/>
        <w:spacing w:after="100"/>
      </w:pPr>
      <w:r>
        <w:t xml:space="preserve">Expected cash is calculated from recorded transactions and movements; variance is shown, never silently absorbed.</w:t>
      </w:r>
    </w:p>
    <w:p>
      <w:pPr>
        <w:numPr>
          <w:ilvl w:val="0"/>
          <w:numId w:val="1012"/>
        </w:numPr>
        <w:pStyle w:val="Compact"/>
        <w:spacing w:after="100"/>
      </w:pPr>
      <w:r>
        <w:t xml:space="preserve">Record who opened and closed, timestamps, declared cash and notes.</w:t>
      </w:r>
    </w:p>
    <w:bookmarkEnd w:id="36"/>
    <w:bookmarkStart w:id="37" w:name="kitchen-workflow-in-v1"/>
    <w:p>
      <w:pPr>
        <w:pStyle w:val="Heading2"/>
      </w:pPr>
      <w:r>
        <w:t xml:space="preserve">7.6 Kitchen workflow (in v1)</w:t>
      </w:r>
    </w:p>
    <w:p>
      <w:pPr>
        <w:numPr>
          <w:ilvl w:val="0"/>
          <w:numId w:val="1013"/>
        </w:numPr>
        <w:pStyle w:val="Compact"/>
        <w:spacing w:after="100"/>
      </w:pPr>
      <w:r>
        <w:t xml:space="preserve">Waiter or cashier selects</w:t>
      </w:r>
      <w:r>
        <w:t xml:space="preserve"> </w:t>
      </w:r>
      <w:r>
        <w:rPr>
          <w:bCs/>
          <w:b/>
        </w:rPr>
        <w:t xml:space="preserve">Send to Kitchen</w:t>
      </w:r>
      <w:r>
        <w:t xml:space="preserve">. The backend persists a kitchen ticket with a unique ticket number before reporting success.</w:t>
      </w:r>
    </w:p>
    <w:p>
      <w:pPr>
        <w:numPr>
          <w:ilvl w:val="0"/>
          <w:numId w:val="1013"/>
        </w:numPr>
        <w:pStyle w:val="Compact"/>
        <w:spacing w:after="100"/>
      </w:pPr>
      <w:r>
        <w:t xml:space="preserve">Print the ticket on the existing 80 mm printer; staff carry it to the kitchen.</w:t>
      </w:r>
    </w:p>
    <w:p>
      <w:pPr>
        <w:numPr>
          <w:ilvl w:val="0"/>
          <w:numId w:val="1013"/>
        </w:numPr>
        <w:pStyle w:val="Compact"/>
        <w:spacing w:after="100"/>
      </w:pPr>
      <w:r>
        <w:t xml:space="preserve">The ticket looks different from a receipt: ticket number, time, table or order ID, items, quantities, modifiers, notes, prep instructions.</w:t>
      </w:r>
    </w:p>
    <w:p>
      <w:pPr>
        <w:numPr>
          <w:ilvl w:val="0"/>
          <w:numId w:val="1013"/>
        </w:numPr>
        <w:pStyle w:val="Compact"/>
        <w:spacing w:after="100"/>
      </w:pPr>
      <w:r>
        <w:t xml:space="preserve">Ticket states (submitted, preparing, ready, served, cancelled) are independent of payment status.</w:t>
      </w:r>
    </w:p>
    <w:p>
      <w:pPr>
        <w:numPr>
          <w:ilvl w:val="0"/>
          <w:numId w:val="1013"/>
        </w:numPr>
        <w:pStyle w:val="Compact"/>
        <w:spacing w:after="100"/>
      </w:pPr>
      <w:r>
        <w:t xml:space="preserve">Additions, changes and cancellations after sending create a traceable update ticket. Never erase what the kitchen was told.</w:t>
      </w:r>
    </w:p>
    <w:p>
      <w:pPr>
        <w:numPr>
          <w:ilvl w:val="0"/>
          <w:numId w:val="1013"/>
        </w:numPr>
        <w:pStyle w:val="Compact"/>
        <w:spacing w:after="100"/>
      </w:pPr>
      <w:r>
        <w:t xml:space="preserve">Print retries never duplicate the order. Reprints are marked REPRINT and linked to the original.</w:t>
      </w:r>
    </w:p>
    <w:p>
      <w:pPr>
        <w:numPr>
          <w:ilvl w:val="0"/>
          <w:numId w:val="1013"/>
        </w:numPr>
        <w:pStyle w:val="Compact"/>
        <w:spacing w:after="100"/>
      </w:pPr>
      <w:r>
        <w:t xml:space="preserve">If printing fails, keep the ticket, show the failure, allow retry or fallback.</w:t>
      </w:r>
    </w:p>
    <w:p>
      <w:pPr>
        <w:numPr>
          <w:ilvl w:val="0"/>
          <w:numId w:val="1013"/>
        </w:numPr>
        <w:pStyle w:val="Compact"/>
        <w:spacing w:after="100"/>
      </w:pPr>
      <w:r>
        <w:t xml:space="preserve">Model tickets so a kitchen display or kitchen printer can be added without replacing the order domain. Do not assume kitchen staff can see or use the main computer.</w:t>
      </w:r>
    </w:p>
    <w:bookmarkEnd w:id="37"/>
    <w:bookmarkStart w:id="38" w:name="receipts-bills-and-print-jobs"/>
    <w:p>
      <w:pPr>
        <w:pStyle w:val="Heading2"/>
      </w:pPr>
      <w:r>
        <w:t xml:space="preserve">7.7 Receipts, bills and print jobs</w:t>
      </w:r>
    </w:p>
    <w:p>
      <w:pPr>
        <w:numPr>
          <w:ilvl w:val="0"/>
          <w:numId w:val="1014"/>
        </w:numPr>
        <w:pStyle w:val="Compact"/>
        <w:spacing w:after="100"/>
      </w:pPr>
      <w:r>
        <w:t xml:space="preserve">80 mm receipt: business details, unique receipt number, date and time, items, quantities, prices, discounts, totals, tax representation, payment method and reference, balance due.</w:t>
      </w:r>
    </w:p>
    <w:p>
      <w:pPr>
        <w:numPr>
          <w:ilvl w:val="0"/>
          <w:numId w:val="1014"/>
        </w:numPr>
        <w:pStyle w:val="Compact"/>
        <w:spacing w:after="100"/>
      </w:pPr>
      <w:r>
        <w:t xml:space="preserve">Distinct document types: kitchen ticket, unpaid bill, payment receipt, room folio or final bill, tax invoice.</w:t>
      </w:r>
    </w:p>
    <w:p>
      <w:pPr>
        <w:numPr>
          <w:ilvl w:val="0"/>
          <w:numId w:val="1014"/>
        </w:numPr>
        <w:pStyle w:val="Compact"/>
        <w:spacing w:after="100"/>
      </w:pPr>
      <w:r>
        <w:t xml:space="preserve">Persist the transaction before printing. Printing never creates a sale. A failed print never reverses a valid sale or payment.</w:t>
      </w:r>
    </w:p>
    <w:p>
      <w:pPr>
        <w:numPr>
          <w:ilvl w:val="0"/>
          <w:numId w:val="1014"/>
        </w:numPr>
        <w:pStyle w:val="Compact"/>
        <w:spacing w:after="100"/>
      </w:pPr>
      <w:r>
        <w:t xml:space="preserve">Print-job records hold state and error information without secrets.</w:t>
      </w:r>
    </w:p>
    <w:p>
      <w:pPr>
        <w:numPr>
          <w:ilvl w:val="0"/>
          <w:numId w:val="1014"/>
        </w:numPr>
        <w:pStyle w:val="Compact"/>
        <w:spacing w:after="100"/>
      </w:pPr>
      <w:r>
        <w:t xml:space="preserve">Browser printing may be enough at first but must be tested with the actual printer, browser, paper width and Windows setup.</w:t>
      </w:r>
    </w:p>
    <w:p>
      <w:pPr>
        <w:numPr>
          <w:ilvl w:val="0"/>
          <w:numId w:val="1014"/>
        </w:numPr>
        <w:pStyle w:val="Compact"/>
        <w:spacing w:after="100"/>
      </w:pPr>
      <w:r>
        <w:t xml:space="preserve">Docker gives no browser access to local printers. If direct printing is unreliable, assess a small authenticated Windows print bridge later. It is not assumed in v1.</w:t>
      </w:r>
    </w:p>
    <w:p>
      <w:pPr>
        <w:numPr>
          <w:ilvl w:val="0"/>
          <w:numId w:val="1014"/>
        </w:numPr>
        <w:pStyle w:val="Compact"/>
        <w:spacing w:after="100"/>
      </w:pPr>
      <w:r>
        <w:t xml:space="preserve">Receipt numbers are unique and human-friendly, generated inside the sale transaction from a counter row locked with FOR UPDATE so rolled-back attempts leave no gaps (confirm gap rules with the accountant, DQ-12).</w:t>
      </w:r>
    </w:p>
    <w:bookmarkEnd w:id="38"/>
    <w:bookmarkStart w:id="39" w:name="reports-and-exports"/>
    <w:p>
      <w:pPr>
        <w:pStyle w:val="Heading2"/>
      </w:pPr>
      <w:r>
        <w:t xml:space="preserve">7.8 Reports and exports</w:t>
      </w:r>
    </w:p>
    <w:p>
      <w:pPr>
        <w:numPr>
          <w:ilvl w:val="0"/>
          <w:numId w:val="1015"/>
        </w:numPr>
        <w:pStyle w:val="Compact"/>
        <w:spacing w:after="100"/>
      </w:pPr>
      <w:r>
        <w:t xml:space="preserve">Sales by date, module, item, category, cashier and payment method.</w:t>
      </w:r>
    </w:p>
    <w:p>
      <w:pPr>
        <w:numPr>
          <w:ilvl w:val="0"/>
          <w:numId w:val="1015"/>
        </w:numPr>
        <w:pStyle w:val="Compact"/>
        <w:spacing w:after="100"/>
      </w:pPr>
      <w:r>
        <w:t xml:space="preserve">Discounts, voids, refunds and taxes shown separately.</w:t>
      </w:r>
    </w:p>
    <w:p>
      <w:pPr>
        <w:numPr>
          <w:ilvl w:val="0"/>
          <w:numId w:val="1015"/>
        </w:numPr>
        <w:pStyle w:val="Compact"/>
        <w:spacing w:after="100"/>
      </w:pPr>
      <w:r>
        <w:t xml:space="preserve">Collections by method, outstanding balances, deposits, folio balances.</w:t>
      </w:r>
    </w:p>
    <w:p>
      <w:pPr>
        <w:numPr>
          <w:ilvl w:val="0"/>
          <w:numId w:val="1015"/>
        </w:numPr>
        <w:pStyle w:val="Compact"/>
        <w:spacing w:after="100"/>
      </w:pPr>
      <w:r>
        <w:t xml:space="preserve">Stock movements, on-hand, transfers, wastage, count variance, valuation where cost data is reliable.</w:t>
      </w:r>
    </w:p>
    <w:p>
      <w:pPr>
        <w:numPr>
          <w:ilvl w:val="0"/>
          <w:numId w:val="1015"/>
        </w:numPr>
        <w:pStyle w:val="Compact"/>
        <w:spacing w:after="100"/>
      </w:pPr>
      <w:r>
        <w:t xml:space="preserve">Room occupancy, room revenue, folio balances, room-status summary.</w:t>
      </w:r>
    </w:p>
    <w:p>
      <w:pPr>
        <w:numPr>
          <w:ilvl w:val="0"/>
          <w:numId w:val="1015"/>
        </w:numPr>
        <w:pStyle w:val="Compact"/>
        <w:spacing w:after="100"/>
      </w:pPr>
      <w:r>
        <w:t xml:space="preserve">Expenses and carefully qualified estimated gross profit.</w:t>
      </w:r>
    </w:p>
    <w:p>
      <w:pPr>
        <w:numPr>
          <w:ilvl w:val="0"/>
          <w:numId w:val="1015"/>
        </w:numPr>
        <w:pStyle w:val="Compact"/>
        <w:spacing w:after="100"/>
      </w:pPr>
      <w:r>
        <w:t xml:space="preserve">Permission-controlled CSV exports, audit-logged.</w:t>
      </w:r>
    </w:p>
    <w:p>
      <w:pPr>
        <w:numPr>
          <w:ilvl w:val="0"/>
          <w:numId w:val="1015"/>
        </w:numPr>
        <w:pStyle w:val="Compact"/>
        <w:spacing w:after="100"/>
      </w:pPr>
      <w:r>
        <w:t xml:space="preserve">Always distinguish revenue, actual collections, balances due, stock cost, operating expenses and estimated profit. Do not imply full accounting.</w:t>
      </w:r>
    </w:p>
    <w:bookmarkEnd w:id="39"/>
    <w:bookmarkStart w:id="40" w:name="Xec90146d759b4be1578e11f4a835d4b1079c767"/>
    <w:p>
      <w:pPr>
        <w:pStyle w:val="Heading2"/>
      </w:pPr>
      <w:r>
        <w:t xml:space="preserve">7.9 eTIMS and tax invoicing (decision gate DG-01)</w:t>
      </w:r>
    </w:p>
    <w:p>
      <w:pPr>
        <w:pStyle w:val="FirstParagraph"/>
        <w:spacing w:after="100"/>
      </w:pPr>
      <w:r>
        <w:t xml:space="preserve">The business’s ETR/TIMS/eTIMS position is unknown. Verify obligations, device or provider, invoice requirements, credentials, API access and legal suitability before building. Do not call any receipt a compliant tax invoice until the route is verified and tested.</w:t>
      </w:r>
    </w:p>
    <w:p>
      <w:pPr>
        <w:pStyle w:val="BodyText"/>
        <w:spacing w:after="100"/>
      </w:pPr>
      <w:r>
        <w:t xml:space="preserve">Design only the boundary now: store invoice references, statuses, request and response IDs, response codes, timestamps and error details; model statuses (pending, accepted, rejected, retryable failure, plus provider-specific); use idempotency and controlled retries; support credit notes or corrections per the verified rules; audit every event; protect credentials; document what is and is not integrated and the manual fallback.</w:t>
      </w:r>
    </w:p>
    <w:bookmarkEnd w:id="40"/>
    <w:bookmarkStart w:id="41" w:name="tax-and-pricing-rules"/>
    <w:p>
      <w:pPr>
        <w:pStyle w:val="Heading2"/>
      </w:pPr>
      <w:r>
        <w:t xml:space="preserve">7.10 Tax and pricing rules</w:t>
      </w:r>
    </w:p>
    <w:p>
      <w:pPr>
        <w:numPr>
          <w:ilvl w:val="0"/>
          <w:numId w:val="1016"/>
        </w:numPr>
        <w:pStyle w:val="Compact"/>
        <w:spacing w:after="100"/>
      </w:pPr>
      <w:r>
        <w:t xml:space="preserve">Tax rates are</w:t>
      </w:r>
      <w:r>
        <w:t xml:space="preserve"> </w:t>
      </w:r>
      <w:r>
        <w:rPr>
          <w:bCs/>
          <w:b/>
        </w:rPr>
        <w:t xml:space="preserve">configuration, never hard-coded</w:t>
      </w:r>
      <w:r>
        <w:t xml:space="preserve">. Kenya’s standard VAT rate is 16% at the time of writing; the venue’s treatment of food, drinks and accommodation, any levies, and whether menu prices are tax-inclusive must be confirmed by the business’s accountant (DQ-12). Default assumption A-04: prices are tax-inclusive and the receipt shows the tax portion.</w:t>
      </w:r>
    </w:p>
    <w:p>
      <w:pPr>
        <w:numPr>
          <w:ilvl w:val="0"/>
          <w:numId w:val="1016"/>
        </w:numPr>
        <w:pStyle w:val="Compact"/>
        <w:spacing w:after="100"/>
      </w:pPr>
      <w:r>
        <w:t xml:space="preserve">Each sale line stores the rate and tax amount applied at the time of sale.</w:t>
      </w:r>
    </w:p>
    <w:bookmarkEnd w:id="41"/>
    <w:bookmarkEnd w:id="42"/>
    <w:bookmarkStart w:id="44" w:name="data-model-starting-point"/>
    <w:p>
      <w:pPr>
        <w:pStyle w:val="Heading1"/>
        <w:spacing w:before="360"/>
        <w:pBdr>
          <w:bottom w:val="single" w:sz="8" w:space="2" w:color="0F766E"/>
        </w:pBdr>
      </w:pPr>
      <w:r>
        <w:t xml:space="preserve">8. Data model (starting point)</w:t>
      </w:r>
    </w:p>
    <w:p>
      <w:pPr>
        <w:pStyle w:val="FirstParagraph"/>
        <w:spacing w:after="100"/>
      </w:pPr>
      <w:r>
        <w:t xml:space="preserve">Claude must propose a normalised schema, explain relationships and constraints, and avoid duplication. Preserve every invariant below.</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Domain</w:t>
            </w:r>
          </w:p>
        </w:tc>
        <w:tc>
          <w:tcPr>
            <w:tcW w:type="dxa" w:w="7030"/>
            <w:shd w:val="clear" w:color="auto" w:fill="0E1B2C"/>
          </w:tcPr>
          <w:p>
            <w:pPr>
              <w:pStyle w:val="Compact"/>
              <w:spacing w:after="20"/>
              <w:jc w:val="left"/>
            </w:pPr>
            <w:r>
              <w:rPr>
                <w:b/>
                <w:color w:val="FAF6EF"/>
                <w:sz w:val="19"/>
              </w:rPr>
              <w:t xml:space="preserve">Proposed entities</w:t>
            </w:r>
          </w:p>
        </w:tc>
      </w:tr>
      <w:tr>
        <w:tc>
          <w:tcPr>
            <w:tcW w:type="dxa" w:w="2608"/>
          </w:tcPr>
          <w:p>
            <w:pPr>
              <w:pStyle w:val="Compact"/>
              <w:spacing w:after="20"/>
              <w:jc w:val="left"/>
            </w:pPr>
            <w:r>
              <w:rPr>
                <w:sz w:val="19"/>
              </w:rPr>
              <w:t xml:space="preserve">Identity and access</w:t>
            </w:r>
          </w:p>
        </w:tc>
        <w:tc>
          <w:tcPr>
            <w:tcW w:type="dxa" w:w="7030"/>
          </w:tcPr>
          <w:p>
            <w:pPr>
              <w:pStyle w:val="Compact"/>
              <w:spacing w:after="20"/>
              <w:jc w:val="left"/>
            </w:pPr>
            <w:r>
              <w:rPr>
                <w:sz w:val="19"/>
              </w:rPr>
              <w:t xml:space="preserve">users, roles, permissions, user_roles, role_permissions, sessions, audit_logs</w:t>
            </w:r>
          </w:p>
        </w:tc>
      </w:tr>
      <w:tr>
        <w:tc>
          <w:tcPr>
            <w:tcW w:type="dxa" w:w="2608"/>
            <w:shd w:val="clear" w:color="auto" w:fill="FAF6EF"/>
          </w:tcPr>
          <w:p>
            <w:pPr>
              <w:pStyle w:val="Compact"/>
              <w:spacing w:after="20"/>
              <w:jc w:val="left"/>
            </w:pPr>
            <w:r>
              <w:rPr>
                <w:sz w:val="19"/>
              </w:rPr>
              <w:t xml:space="preserve">Products and POS</w:t>
            </w:r>
          </w:p>
        </w:tc>
        <w:tc>
          <w:tcPr>
            <w:tcW w:type="dxa" w:w="7030"/>
            <w:shd w:val="clear" w:color="auto" w:fill="FAF6EF"/>
          </w:tcPr>
          <w:p>
            <w:pPr>
              <w:pStyle w:val="Compact"/>
              <w:spacing w:after="20"/>
              <w:jc w:val="left"/>
            </w:pPr>
            <w:r>
              <w:rPr>
                <w:sz w:val="19"/>
              </w:rPr>
              <w:t xml:space="preserve">categories, products, modifiers, orders, order_items, kitchen_tickets, kitchen_ticket_items, sales, sale_items</w:t>
            </w:r>
          </w:p>
        </w:tc>
      </w:tr>
      <w:tr>
        <w:tc>
          <w:tcPr>
            <w:tcW w:type="dxa" w:w="2608"/>
          </w:tcPr>
          <w:p>
            <w:pPr>
              <w:pStyle w:val="Compact"/>
              <w:spacing w:after="20"/>
              <w:jc w:val="left"/>
            </w:pPr>
            <w:r>
              <w:rPr>
                <w:sz w:val="19"/>
              </w:rPr>
              <w:t xml:space="preserve">Payments and shifts</w:t>
            </w:r>
          </w:p>
        </w:tc>
        <w:tc>
          <w:tcPr>
            <w:tcW w:type="dxa" w:w="7030"/>
          </w:tcPr>
          <w:p>
            <w:pPr>
              <w:pStyle w:val="Compact"/>
              <w:spacing w:after="20"/>
              <w:jc w:val="left"/>
            </w:pPr>
            <w:r>
              <w:rPr>
                <w:sz w:val="19"/>
              </w:rPr>
              <w:t xml:space="preserve">payments, payment_attempts, refunds, cashier_shifts, cash_movements</w:t>
            </w:r>
          </w:p>
        </w:tc>
      </w:tr>
      <w:tr>
        <w:tc>
          <w:tcPr>
            <w:tcW w:type="dxa" w:w="2608"/>
            <w:shd w:val="clear" w:color="auto" w:fill="FAF6EF"/>
          </w:tcPr>
          <w:p>
            <w:pPr>
              <w:pStyle w:val="Compact"/>
              <w:spacing w:after="20"/>
              <w:jc w:val="left"/>
            </w:pPr>
            <w:r>
              <w:rPr>
                <w:sz w:val="19"/>
              </w:rPr>
              <w:t xml:space="preserve">Inventory</w:t>
            </w:r>
          </w:p>
        </w:tc>
        <w:tc>
          <w:tcPr>
            <w:tcW w:type="dxa" w:w="7030"/>
            <w:shd w:val="clear" w:color="auto" w:fill="FAF6EF"/>
          </w:tcPr>
          <w:p>
            <w:pPr>
              <w:pStyle w:val="Compact"/>
              <w:spacing w:after="20"/>
              <w:jc w:val="left"/>
            </w:pPr>
            <w:r>
              <w:rPr>
                <w:sz w:val="19"/>
              </w:rPr>
              <w:t xml:space="preserve">inventory_items, stock_locations, units_of_measure, unit_conversions, recipes, recipe_items, inventory_movements, suppliers, purchases, purchase_items, stock_counts, stock_count_lines</w:t>
            </w:r>
          </w:p>
        </w:tc>
      </w:tr>
      <w:tr>
        <w:tc>
          <w:tcPr>
            <w:tcW w:type="dxa" w:w="2608"/>
          </w:tcPr>
          <w:p>
            <w:pPr>
              <w:pStyle w:val="Compact"/>
              <w:spacing w:after="20"/>
              <w:jc w:val="left"/>
            </w:pPr>
            <w:r>
              <w:rPr>
                <w:sz w:val="19"/>
              </w:rPr>
              <w:t xml:space="preserve">Rooms and guests</w:t>
            </w:r>
          </w:p>
        </w:tc>
        <w:tc>
          <w:tcPr>
            <w:tcW w:type="dxa" w:w="7030"/>
          </w:tcPr>
          <w:p>
            <w:pPr>
              <w:pStyle w:val="Compact"/>
              <w:spacing w:after="20"/>
              <w:jc w:val="left"/>
            </w:pPr>
            <w:r>
              <w:rPr>
                <w:sz w:val="19"/>
              </w:rPr>
              <w:t xml:space="preserve">room_types, rooms, rate_plans, guests, reservations, stays, guest_folios, folio_items, folio_payments, housekeeping_tasks, room_status_history</w:t>
            </w:r>
          </w:p>
        </w:tc>
      </w:tr>
      <w:tr>
        <w:tc>
          <w:tcPr>
            <w:tcW w:type="dxa" w:w="2608"/>
            <w:shd w:val="clear" w:color="auto" w:fill="FAF6EF"/>
          </w:tcPr>
          <w:p>
            <w:pPr>
              <w:pStyle w:val="Compact"/>
              <w:spacing w:after="20"/>
              <w:jc w:val="left"/>
            </w:pPr>
            <w:r>
              <w:rPr>
                <w:sz w:val="19"/>
              </w:rPr>
              <w:t xml:space="preserve">Printing and integrations</w:t>
            </w:r>
          </w:p>
        </w:tc>
        <w:tc>
          <w:tcPr>
            <w:tcW w:type="dxa" w:w="7030"/>
            <w:shd w:val="clear" w:color="auto" w:fill="FAF6EF"/>
          </w:tcPr>
          <w:p>
            <w:pPr>
              <w:pStyle w:val="Compact"/>
              <w:spacing w:after="20"/>
              <w:jc w:val="left"/>
            </w:pPr>
            <w:r>
              <w:rPr>
                <w:sz w:val="19"/>
              </w:rPr>
              <w:t xml:space="preserve">receipt_records, print_jobs, tax_invoices, integration_events, idempotency_records, document_counters</w:t>
            </w:r>
          </w:p>
        </w:tc>
      </w:tr>
      <w:tr>
        <w:tc>
          <w:tcPr>
            <w:tcW w:type="dxa" w:w="2608"/>
          </w:tcPr>
          <w:p>
            <w:pPr>
              <w:pStyle w:val="Compact"/>
              <w:spacing w:after="20"/>
              <w:jc w:val="left"/>
            </w:pPr>
            <w:r>
              <w:rPr>
                <w:sz w:val="19"/>
              </w:rPr>
              <w:t xml:space="preserve">Operations</w:t>
            </w:r>
          </w:p>
        </w:tc>
        <w:tc>
          <w:tcPr>
            <w:tcW w:type="dxa" w:w="7030"/>
          </w:tcPr>
          <w:p>
            <w:pPr>
              <w:pStyle w:val="Compact"/>
              <w:spacing w:after="20"/>
              <w:jc w:val="left"/>
            </w:pPr>
            <w:r>
              <w:rPr>
                <w:sz w:val="19"/>
              </w:rPr>
              <w:t xml:space="preserve">manual_receipt_reconciliations (outage entries), system_settings</w:t>
            </w:r>
          </w:p>
        </w:tc>
      </w:tr>
    </w:tbl>
    <w:bookmarkStart w:id="43" w:name="integrity-principles"/>
    <w:p>
      <w:pPr>
        <w:pStyle w:val="Heading2"/>
      </w:pPr>
      <w:r>
        <w:t xml:space="preserve">8.1 Integrity principles</w:t>
      </w:r>
    </w:p>
    <w:p>
      <w:pPr>
        <w:numPr>
          <w:ilvl w:val="0"/>
          <w:numId w:val="1017"/>
        </w:numPr>
        <w:pStyle w:val="Compact"/>
        <w:spacing w:after="100"/>
      </w:pPr>
      <w:r>
        <w:t xml:space="preserve">Constraints for uniqueness, foreign keys and valid relationships, plus backend validation.</w:t>
      </w:r>
    </w:p>
    <w:p>
      <w:pPr>
        <w:numPr>
          <w:ilvl w:val="0"/>
          <w:numId w:val="1017"/>
        </w:numPr>
        <w:pStyle w:val="Compact"/>
        <w:spacing w:after="100"/>
      </w:pPr>
      <w:r>
        <w:t xml:space="preserve">Sale lines are immutable snapshots.</w:t>
      </w:r>
    </w:p>
    <w:p>
      <w:pPr>
        <w:numPr>
          <w:ilvl w:val="0"/>
          <w:numId w:val="1017"/>
        </w:numPr>
        <w:pStyle w:val="Compact"/>
        <w:spacing w:after="100"/>
      </w:pPr>
      <w:r>
        <w:t xml:space="preserve">Inventory balances derive from movements. Folio balances derive from items, payments and adjustments. Expected cash derives from payments and cash movements.</w:t>
      </w:r>
    </w:p>
    <w:p>
      <w:pPr>
        <w:numPr>
          <w:ilvl w:val="0"/>
          <w:numId w:val="1017"/>
        </w:numPr>
        <w:pStyle w:val="Compact"/>
        <w:spacing w:after="100"/>
      </w:pPr>
      <w:r>
        <w:t xml:space="preserve">Idempotency keys and unique constraints on sale and payment requests, provider callbacks, stock movements, folio postings and tax-invoice retries.</w:t>
      </w:r>
    </w:p>
    <w:p>
      <w:pPr>
        <w:numPr>
          <w:ilvl w:val="0"/>
          <w:numId w:val="1017"/>
        </w:numPr>
        <w:pStyle w:val="Compact"/>
        <w:spacing w:after="100"/>
      </w:pPr>
      <w:r>
        <w:t xml:space="preserve">Audit history is separate from mutable operational data and has a retention policy.</w:t>
      </w:r>
    </w:p>
    <w:p>
      <w:pPr>
        <w:numPr>
          <w:ilvl w:val="0"/>
          <w:numId w:val="1017"/>
        </w:numPr>
        <w:pStyle w:val="Compact"/>
        <w:spacing w:after="100"/>
      </w:pPr>
      <w:r>
        <w:t xml:space="preserve">Explicit statuses with valid transitions; no ambiguous boolean combinations.</w:t>
      </w:r>
    </w:p>
    <w:p>
      <w:pPr>
        <w:numPr>
          <w:ilvl w:val="0"/>
          <w:numId w:val="1017"/>
        </w:numPr>
        <w:pStyle w:val="Compact"/>
        <w:spacing w:after="100"/>
      </w:pPr>
      <w:r>
        <w:t xml:space="preserve">Index common search, filter and join fields. Test concurrent double booking, duplicate payment and stock oversell.</w:t>
      </w:r>
    </w:p>
    <w:bookmarkEnd w:id="43"/>
    <w:bookmarkEnd w:id="44"/>
    <w:bookmarkStart w:id="45" w:name="X3a09c03935567fd68c524449d018ec157a0dd37"/>
    <w:p>
      <w:pPr>
        <w:pStyle w:val="Heading1"/>
        <w:spacing w:before="360"/>
        <w:pBdr>
          <w:bottom w:val="single" w:sz="8" w:space="2" w:color="0F766E"/>
        </w:pBdr>
      </w:pPr>
      <w:r>
        <w:t xml:space="preserve">9. State machines (to be diagrammed and tested)</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Entity</w:t>
            </w:r>
          </w:p>
        </w:tc>
        <w:tc>
          <w:tcPr>
            <w:tcW w:type="dxa" w:w="7030"/>
            <w:shd w:val="clear" w:color="auto" w:fill="0E1B2C"/>
          </w:tcPr>
          <w:p>
            <w:pPr>
              <w:pStyle w:val="Compact"/>
              <w:spacing w:after="20"/>
              <w:jc w:val="left"/>
            </w:pPr>
            <w:r>
              <w:rPr>
                <w:b/>
                <w:color w:val="FAF6EF"/>
                <w:sz w:val="19"/>
              </w:rPr>
              <w:t xml:space="preserve">States and notes</w:t>
            </w:r>
          </w:p>
        </w:tc>
      </w:tr>
      <w:tr>
        <w:tc>
          <w:tcPr>
            <w:tcW w:type="dxa" w:w="2608"/>
          </w:tcPr>
          <w:p>
            <w:pPr>
              <w:pStyle w:val="Compact"/>
              <w:spacing w:after="20"/>
              <w:jc w:val="left"/>
            </w:pPr>
            <w:r>
              <w:rPr>
                <w:sz w:val="19"/>
              </w:rPr>
              <w:t xml:space="preserve">Order</w:t>
            </w:r>
          </w:p>
        </w:tc>
        <w:tc>
          <w:tcPr>
            <w:tcW w:type="dxa" w:w="7030"/>
          </w:tcPr>
          <w:p>
            <w:pPr>
              <w:pStyle w:val="Compact"/>
              <w:spacing w:after="20"/>
              <w:jc w:val="left"/>
            </w:pPr>
            <w:r>
              <w:rPr>
                <w:sz w:val="19"/>
              </w:rPr>
              <w:t xml:space="preserve">open, sent (at least one ticket), finalised, cancelled. Edits only while open or sent; finalised is immutable.</w:t>
            </w:r>
          </w:p>
        </w:tc>
      </w:tr>
      <w:tr>
        <w:tc>
          <w:tcPr>
            <w:tcW w:type="dxa" w:w="2608"/>
            <w:shd w:val="clear" w:color="auto" w:fill="FAF6EF"/>
          </w:tcPr>
          <w:p>
            <w:pPr>
              <w:pStyle w:val="Compact"/>
              <w:spacing w:after="20"/>
              <w:jc w:val="left"/>
            </w:pPr>
            <w:r>
              <w:rPr>
                <w:sz w:val="19"/>
              </w:rPr>
              <w:t xml:space="preserve">Kitchen ticket</w:t>
            </w:r>
          </w:p>
        </w:tc>
        <w:tc>
          <w:tcPr>
            <w:tcW w:type="dxa" w:w="7030"/>
            <w:shd w:val="clear" w:color="auto" w:fill="FAF6EF"/>
          </w:tcPr>
          <w:p>
            <w:pPr>
              <w:pStyle w:val="Compact"/>
              <w:spacing w:after="20"/>
              <w:jc w:val="left"/>
            </w:pPr>
            <w:r>
              <w:rPr>
                <w:sz w:val="19"/>
              </w:rPr>
              <w:t xml:space="preserve">submitted, preparing, ready, served, cancelled. Update tickets reference the parent ticket.</w:t>
            </w:r>
          </w:p>
        </w:tc>
      </w:tr>
      <w:tr>
        <w:tc>
          <w:tcPr>
            <w:tcW w:type="dxa" w:w="2608"/>
          </w:tcPr>
          <w:p>
            <w:pPr>
              <w:pStyle w:val="Compact"/>
              <w:spacing w:after="20"/>
              <w:jc w:val="left"/>
            </w:pPr>
            <w:r>
              <w:rPr>
                <w:sz w:val="19"/>
              </w:rPr>
              <w:t xml:space="preserve">Payment</w:t>
            </w:r>
          </w:p>
        </w:tc>
        <w:tc>
          <w:tcPr>
            <w:tcW w:type="dxa" w:w="7030"/>
          </w:tcPr>
          <w:p>
            <w:pPr>
              <w:pStyle w:val="Compact"/>
              <w:spacing w:after="20"/>
              <w:jc w:val="left"/>
            </w:pPr>
            <w:r>
              <w:rPr>
                <w:sz w:val="19"/>
              </w:rPr>
              <w:t xml:space="preserve">pending_confirmation, confirmed, failed, reversed. Cash is confirmed on entry; manual M-Pesa starts pending.</w:t>
            </w:r>
          </w:p>
        </w:tc>
      </w:tr>
      <w:tr>
        <w:tc>
          <w:tcPr>
            <w:tcW w:type="dxa" w:w="2608"/>
            <w:shd w:val="clear" w:color="auto" w:fill="FAF6EF"/>
          </w:tcPr>
          <w:p>
            <w:pPr>
              <w:pStyle w:val="Compact"/>
              <w:spacing w:after="20"/>
              <w:jc w:val="left"/>
            </w:pPr>
            <w:r>
              <w:rPr>
                <w:sz w:val="19"/>
              </w:rPr>
              <w:t xml:space="preserve">Sale</w:t>
            </w:r>
          </w:p>
        </w:tc>
        <w:tc>
          <w:tcPr>
            <w:tcW w:type="dxa" w:w="7030"/>
            <w:shd w:val="clear" w:color="auto" w:fill="FAF6EF"/>
          </w:tcPr>
          <w:p>
            <w:pPr>
              <w:pStyle w:val="Compact"/>
              <w:spacing w:after="20"/>
              <w:jc w:val="left"/>
            </w:pPr>
            <w:r>
              <w:rPr>
                <w:sz w:val="19"/>
              </w:rPr>
              <w:t xml:space="preserve">finalised, partially_refunded, refunded, voided. Corrections are compensating records.</w:t>
            </w:r>
          </w:p>
        </w:tc>
      </w:tr>
      <w:tr>
        <w:tc>
          <w:tcPr>
            <w:tcW w:type="dxa" w:w="2608"/>
          </w:tcPr>
          <w:p>
            <w:pPr>
              <w:pStyle w:val="Compact"/>
              <w:spacing w:after="20"/>
              <w:jc w:val="left"/>
            </w:pPr>
            <w:r>
              <w:rPr>
                <w:sz w:val="19"/>
              </w:rPr>
              <w:t xml:space="preserve">Reservation</w:t>
            </w:r>
          </w:p>
        </w:tc>
        <w:tc>
          <w:tcPr>
            <w:tcW w:type="dxa" w:w="7030"/>
          </w:tcPr>
          <w:p>
            <w:pPr>
              <w:pStyle w:val="Compact"/>
              <w:spacing w:after="20"/>
              <w:jc w:val="left"/>
            </w:pPr>
            <w:r>
              <w:rPr>
                <w:sz w:val="19"/>
              </w:rPr>
              <w:t xml:space="preserve">tentative, confirmed, checked_in, checked_out, cancelled, no_show. Blocking statuses are defined in DQ-09.</w:t>
            </w:r>
          </w:p>
        </w:tc>
      </w:tr>
      <w:tr>
        <w:tc>
          <w:tcPr>
            <w:tcW w:type="dxa" w:w="2608"/>
            <w:shd w:val="clear" w:color="auto" w:fill="FAF6EF"/>
          </w:tcPr>
          <w:p>
            <w:pPr>
              <w:pStyle w:val="Compact"/>
              <w:spacing w:after="20"/>
              <w:jc w:val="left"/>
            </w:pPr>
            <w:r>
              <w:rPr>
                <w:sz w:val="19"/>
              </w:rPr>
              <w:t xml:space="preserve">Room (physical)</w:t>
            </w:r>
          </w:p>
        </w:tc>
        <w:tc>
          <w:tcPr>
            <w:tcW w:type="dxa" w:w="7030"/>
            <w:shd w:val="clear" w:color="auto" w:fill="FAF6EF"/>
          </w:tcPr>
          <w:p>
            <w:pPr>
              <w:pStyle w:val="Compact"/>
              <w:spacing w:after="20"/>
              <w:jc w:val="left"/>
            </w:pPr>
            <w:r>
              <w:rPr>
                <w:sz w:val="19"/>
              </w:rPr>
              <w:t xml:space="preserve">vacant_ready, reserved, occupied, dirty, cleaning, out_of_service.</w:t>
            </w:r>
          </w:p>
        </w:tc>
      </w:tr>
      <w:tr>
        <w:tc>
          <w:tcPr>
            <w:tcW w:type="dxa" w:w="2608"/>
          </w:tcPr>
          <w:p>
            <w:pPr>
              <w:pStyle w:val="Compact"/>
              <w:spacing w:after="20"/>
              <w:jc w:val="left"/>
            </w:pPr>
            <w:r>
              <w:rPr>
                <w:sz w:val="19"/>
              </w:rPr>
              <w:t xml:space="preserve">Folio</w:t>
            </w:r>
          </w:p>
        </w:tc>
        <w:tc>
          <w:tcPr>
            <w:tcW w:type="dxa" w:w="7030"/>
          </w:tcPr>
          <w:p>
            <w:pPr>
              <w:pStyle w:val="Compact"/>
              <w:spacing w:after="20"/>
              <w:jc w:val="left"/>
            </w:pPr>
            <w:r>
              <w:rPr>
                <w:sz w:val="19"/>
              </w:rPr>
              <w:t xml:space="preserve">open, settled, closed. Closing needs zero balance or approved write-off.</w:t>
            </w:r>
          </w:p>
        </w:tc>
      </w:tr>
      <w:tr>
        <w:tc>
          <w:tcPr>
            <w:tcW w:type="dxa" w:w="2608"/>
            <w:shd w:val="clear" w:color="auto" w:fill="FAF6EF"/>
          </w:tcPr>
          <w:p>
            <w:pPr>
              <w:pStyle w:val="Compact"/>
              <w:spacing w:after="20"/>
              <w:jc w:val="left"/>
            </w:pPr>
            <w:r>
              <w:rPr>
                <w:sz w:val="19"/>
              </w:rPr>
              <w:t xml:space="preserve">Print job</w:t>
            </w:r>
          </w:p>
        </w:tc>
        <w:tc>
          <w:tcPr>
            <w:tcW w:type="dxa" w:w="7030"/>
            <w:shd w:val="clear" w:color="auto" w:fill="FAF6EF"/>
          </w:tcPr>
          <w:p>
            <w:pPr>
              <w:pStyle w:val="Compact"/>
              <w:spacing w:after="20"/>
              <w:jc w:val="left"/>
            </w:pPr>
            <w:r>
              <w:rPr>
                <w:sz w:val="19"/>
              </w:rPr>
              <w:t xml:space="preserve">queued, printed, failed, reprinted. Retry affects only the job.</w:t>
            </w:r>
          </w:p>
        </w:tc>
      </w:tr>
      <w:tr>
        <w:tc>
          <w:tcPr>
            <w:tcW w:type="dxa" w:w="2608"/>
          </w:tcPr>
          <w:p>
            <w:pPr>
              <w:pStyle w:val="Compact"/>
              <w:spacing w:after="20"/>
              <w:jc w:val="left"/>
            </w:pPr>
            <w:r>
              <w:rPr>
                <w:sz w:val="19"/>
              </w:rPr>
              <w:t xml:space="preserve">Tax invoice</w:t>
            </w:r>
          </w:p>
        </w:tc>
        <w:tc>
          <w:tcPr>
            <w:tcW w:type="dxa" w:w="7030"/>
          </w:tcPr>
          <w:p>
            <w:pPr>
              <w:pStyle w:val="Compact"/>
              <w:spacing w:after="20"/>
              <w:jc w:val="left"/>
            </w:pPr>
            <w:r>
              <w:rPr>
                <w:sz w:val="19"/>
              </w:rPr>
              <w:t xml:space="preserve">pending, accepted, rejected, retryable_failure (extend per provider).</w:t>
            </w:r>
          </w:p>
        </w:tc>
      </w:tr>
      <w:tr>
        <w:tc>
          <w:tcPr>
            <w:tcW w:type="dxa" w:w="2608"/>
            <w:shd w:val="clear" w:color="auto" w:fill="FAF6EF"/>
          </w:tcPr>
          <w:p>
            <w:pPr>
              <w:pStyle w:val="Compact"/>
              <w:spacing w:after="20"/>
              <w:jc w:val="left"/>
            </w:pPr>
            <w:r>
              <w:rPr>
                <w:sz w:val="19"/>
              </w:rPr>
              <w:t xml:space="preserve">Shift</w:t>
            </w:r>
          </w:p>
        </w:tc>
        <w:tc>
          <w:tcPr>
            <w:tcW w:type="dxa" w:w="7030"/>
            <w:shd w:val="clear" w:color="auto" w:fill="FAF6EF"/>
          </w:tcPr>
          <w:p>
            <w:pPr>
              <w:pStyle w:val="Compact"/>
              <w:spacing w:after="20"/>
              <w:jc w:val="left"/>
            </w:pPr>
            <w:r>
              <w:rPr>
                <w:sz w:val="19"/>
              </w:rPr>
              <w:t xml:space="preserve">open, closed, reconciled.</w:t>
            </w:r>
          </w:p>
        </w:tc>
      </w:tr>
    </w:tbl>
    <w:bookmarkEnd w:id="45"/>
    <w:bookmarkStart w:id="55" w:name="critical-workflows-and-invariants"/>
    <w:p>
      <w:pPr>
        <w:pStyle w:val="Heading1"/>
        <w:spacing w:before="360"/>
        <w:pBdr>
          <w:bottom w:val="single" w:sz="8" w:space="2" w:color="0F766E"/>
        </w:pBdr>
      </w:pPr>
      <w:r>
        <w:t xml:space="preserve">10. Critical workflows and invariants</w:t>
      </w:r>
    </w:p>
    <w:bookmarkStart w:id="46" w:name="sale-finalisation"/>
    <w:p>
      <w:pPr>
        <w:pStyle w:val="Heading2"/>
      </w:pPr>
      <w:r>
        <w:t xml:space="preserve">10.1 Sale finalisation</w:t>
      </w:r>
    </w:p>
    <w:p>
      <w:pPr>
        <w:numPr>
          <w:ilvl w:val="0"/>
          <w:numId w:val="1018"/>
        </w:numPr>
        <w:pStyle w:val="Compact"/>
        <w:spacing w:after="100"/>
      </w:pPr>
      <w:r>
        <w:t xml:space="preserve">Authenticate and authorise on the backend.</w:t>
      </w:r>
    </w:p>
    <w:p>
      <w:pPr>
        <w:numPr>
          <w:ilvl w:val="0"/>
          <w:numId w:val="1018"/>
        </w:numPr>
        <w:pStyle w:val="Compact"/>
        <w:spacing w:after="100"/>
      </w:pPr>
      <w:r>
        <w:t xml:space="preserve">Validate order, prices (taken from the server, never the client), discount permission, quantities, payment allocation and stock rules.</w:t>
      </w:r>
    </w:p>
    <w:p>
      <w:pPr>
        <w:numPr>
          <w:ilvl w:val="0"/>
          <w:numId w:val="1018"/>
        </w:numPr>
        <w:pStyle w:val="Compact"/>
        <w:spacing w:after="100"/>
      </w:pPr>
      <w:r>
        <w:t xml:space="preserve">In one database transaction save the sale, line snapshots, payments or due balance, stock movements, audit data and receipt number.</w:t>
      </w:r>
    </w:p>
    <w:p>
      <w:pPr>
        <w:numPr>
          <w:ilvl w:val="0"/>
          <w:numId w:val="1018"/>
        </w:numPr>
        <w:pStyle w:val="Compact"/>
        <w:spacing w:after="100"/>
      </w:pPr>
      <w:r>
        <w:t xml:space="preserve">Idempotency key plus unique constraints prevent duplicate finalisation on retry. Same key with a different request body is rejected.</w:t>
      </w:r>
    </w:p>
    <w:p>
      <w:pPr>
        <w:numPr>
          <w:ilvl w:val="0"/>
          <w:numId w:val="1018"/>
        </w:numPr>
        <w:pStyle w:val="Compact"/>
        <w:spacing w:after="100"/>
      </w:pPr>
      <w:r>
        <w:t xml:space="preserve">Commit before reporting success. Print afterwards as a separate action.</w:t>
      </w:r>
    </w:p>
    <w:bookmarkEnd w:id="46"/>
    <w:bookmarkStart w:id="47" w:name="refunds-voids-and-corrections"/>
    <w:p>
      <w:pPr>
        <w:pStyle w:val="Heading2"/>
      </w:pPr>
      <w:r>
        <w:t xml:space="preserve">10.2 Refunds, voids and corrections</w:t>
      </w:r>
    </w:p>
    <w:p>
      <w:pPr>
        <w:pStyle w:val="FirstParagraph"/>
        <w:spacing w:after="100"/>
      </w:pPr>
      <w:r>
        <w:t xml:space="preserve">Never edit completed transactions destructively. Use authorised compensating records with reasons, references to the original, audit events and matching payment and stock corrections. Reports must show the net position clearly.</w:t>
      </w:r>
    </w:p>
    <w:bookmarkEnd w:id="47"/>
    <w:bookmarkStart w:id="48" w:name="room-booking-concurrency"/>
    <w:p>
      <w:pPr>
        <w:pStyle w:val="Heading2"/>
      </w:pPr>
      <w:r>
        <w:t xml:space="preserve">10.3 Room booking concurrency</w:t>
      </w:r>
    </w:p>
    <w:p>
      <w:pPr>
        <w:pStyle w:val="FirstParagraph"/>
        <w:spacing w:after="100"/>
      </w:pPr>
      <w:r>
        <w:t xml:space="preserve">Availability checks alone are not enough. Use a PostgreSQL exclusion constraint over the room and a half-open date range (check-in inclusive, check-out exclusive) limited to blocking statuses, using the btree_gist extension, so simultaneous attempts cannot both succeed. Verify the extension is available on the chosen Supabase plan. Define check-in and check-out times and blocking statuses in discovery (DQ-09).</w:t>
      </w:r>
    </w:p>
    <w:bookmarkEnd w:id="48"/>
    <w:bookmarkStart w:id="49" w:name="inventory-movements"/>
    <w:p>
      <w:pPr>
        <w:pStyle w:val="Heading2"/>
      </w:pPr>
      <w:r>
        <w:t xml:space="preserve">10.4 Inventory movements</w:t>
      </w:r>
    </w:p>
    <w:p>
      <w:pPr>
        <w:pStyle w:val="FirstParagraph"/>
        <w:spacing w:after="100"/>
      </w:pPr>
      <w:r>
        <w:t xml:space="preserve">Receiving, transfer, consumption, wastage, breakage, count adjustments and reversals create movements. A transfer has linked source and destination movements. The ledger rejects updates and deletes (database rule or trigger). Policy on negative stock is configurable; default A-06 is to warn and require a permitted override with a reason.</w:t>
      </w:r>
    </w:p>
    <w:bookmarkEnd w:id="49"/>
    <w:bookmarkStart w:id="50" w:name="Xe170cefd1ffc02325d192dc6afd938cd662eba3"/>
    <w:p>
      <w:pPr>
        <w:pStyle w:val="Heading2"/>
      </w:pPr>
      <w:r>
        <w:t xml:space="preserve">10.5 Asynchronous callbacks (M-Pesa and similar)</w:t>
      </w:r>
    </w:p>
    <w:p>
      <w:pPr>
        <w:pStyle w:val="FirstParagraph"/>
        <w:spacing w:after="100"/>
      </w:pPr>
      <w:r>
        <w:t xml:space="preserve">Verify authenticity with the provider’s documented mechanism, persist events first, make handlers idempotent, cope with duplicate and out-of-order notifications, and reconcile uncertain states. A client-supplied reference is never proof of payment.</w:t>
      </w:r>
    </w:p>
    <w:bookmarkEnd w:id="50"/>
    <w:bookmarkStart w:id="51" w:name="print-reliability"/>
    <w:p>
      <w:pPr>
        <w:pStyle w:val="Heading2"/>
      </w:pPr>
      <w:r>
        <w:t xml:space="preserve">10.6 Print reliability</w:t>
      </w:r>
    </w:p>
    <w:p>
      <w:pPr>
        <w:pStyle w:val="FirstParagraph"/>
        <w:spacing w:after="100"/>
      </w:pPr>
      <w:r>
        <w:t xml:space="preserve">Persist the sale or ticket first, record print attempts separately, show clear results, retry only the print, and reprint the same document with a visible marker and reference.</w:t>
      </w:r>
    </w:p>
    <w:bookmarkEnd w:id="51"/>
    <w:bookmarkStart w:id="52" w:name="audit-trail"/>
    <w:p>
      <w:pPr>
        <w:pStyle w:val="Heading2"/>
      </w:pPr>
      <w:r>
        <w:t xml:space="preserve">10.7 Audit trail</w:t>
      </w:r>
    </w:p>
    <w:p>
      <w:pPr>
        <w:pStyle w:val="FirstParagraph"/>
        <w:spacing w:after="100"/>
      </w:pPr>
      <w:r>
        <w:t xml:space="preserve">Sensitive events record actor, action, entity ID, timestamp, reason or reference, result, and before/after values where useful. Audited actions include discounts, voids, refunds, manual stock adjustments, folio adjustments, role and permission changes, payment confirmation and reconciliation, tax submissions, exports and Super Admin actions. Never log secrets. Restrict access and keep records when accounts are deactivated.</w:t>
      </w:r>
    </w:p>
    <w:bookmarkEnd w:id="52"/>
    <w:bookmarkStart w:id="53" w:name="idempotency-design"/>
    <w:p>
      <w:pPr>
        <w:pStyle w:val="Heading2"/>
      </w:pPr>
      <w:r>
        <w:t xml:space="preserve">10.8 Idempotency design</w:t>
      </w:r>
    </w:p>
    <w:p>
      <w:pPr>
        <w:pStyle w:val="FirstParagraph"/>
        <w:spacing w:after="100"/>
      </w:pPr>
      <w:r>
        <w:t xml:space="preserve">POST endpoints that create money or stock effects require an</w:t>
      </w:r>
      <w:r>
        <w:t xml:space="preserve"> </w:t>
      </w:r>
      <w:r>
        <w:rPr>
          <w:rStyle w:val="VerbatimChar"/>
        </w:rPr>
        <w:t xml:space="preserve">Idempotency-Key</w:t>
      </w:r>
      <w:r>
        <w:t xml:space="preserve"> </w:t>
      </w:r>
      <w:r>
        <w:t xml:space="preserve">header. The API stores key, user, endpoint, request hash, response and status in</w:t>
      </w:r>
      <w:r>
        <w:t xml:space="preserve"> </w:t>
      </w:r>
      <w:r>
        <w:rPr>
          <w:rStyle w:val="VerbatimChar"/>
        </w:rPr>
        <w:t xml:space="preserve">idempotency_records</w:t>
      </w:r>
      <w:r>
        <w:t xml:space="preserve"> </w:t>
      </w:r>
      <w:r>
        <w:t xml:space="preserve">with a unique constraint on (key, endpoint). A repeat with the same hash returns the stored response; a repeat with a different hash returns 422. Keys expire after a documented period.</w:t>
      </w:r>
    </w:p>
    <w:bookmarkEnd w:id="53"/>
    <w:bookmarkStart w:id="54" w:name="api-conventions"/>
    <w:p>
      <w:pPr>
        <w:pStyle w:val="Heading2"/>
      </w:pPr>
      <w:r>
        <w:t xml:space="preserve">10.9 API conventions</w:t>
      </w:r>
    </w:p>
    <w:p>
      <w:pPr>
        <w:pStyle w:val="FirstParagraph"/>
        <w:spacing w:after="100"/>
      </w:pPr>
      <w:r>
        <w:t xml:space="preserve">JSON REST under</w:t>
      </w:r>
      <w:r>
        <w:t xml:space="preserve"> </w:t>
      </w:r>
      <w:r>
        <w:rPr>
          <w:rStyle w:val="VerbatimChar"/>
        </w:rPr>
        <w:t xml:space="preserve">/api/v1</w:t>
      </w:r>
      <w:r>
        <w:t xml:space="preserve">. Consistent error body (code, message, field errors, request ID). Pagination on lists. Request size limits. Request ID on every log line. Health at</w:t>
      </w:r>
      <w:r>
        <w:t xml:space="preserve"> </w:t>
      </w:r>
      <w:r>
        <w:rPr>
          <w:rStyle w:val="VerbatimChar"/>
        </w:rPr>
        <w:t xml:space="preserve">/healthz</w:t>
      </w:r>
      <w:r>
        <w:t xml:space="preserve"> </w:t>
      </w:r>
      <w:r>
        <w:t xml:space="preserve">(process up) and</w:t>
      </w:r>
      <w:r>
        <w:t xml:space="preserve"> </w:t>
      </w:r>
      <w:r>
        <w:rPr>
          <w:rStyle w:val="VerbatimChar"/>
        </w:rPr>
        <w:t xml:space="preserve">/readyz</w:t>
      </w:r>
      <w:r>
        <w:t xml:space="preserve"> </w:t>
      </w:r>
      <w:r>
        <w:t xml:space="preserve">(database reachable). OpenAPI kept in step with the code.</w:t>
      </w:r>
    </w:p>
    <w:bookmarkEnd w:id="54"/>
    <w:bookmarkEnd w:id="55"/>
    <w:bookmarkStart w:id="57" w:name="hardware-printing-and-preliminary-costs"/>
    <w:p>
      <w:pPr>
        <w:pStyle w:val="Heading1"/>
        <w:spacing w:before="360"/>
        <w:pBdr>
          <w:bottom w:val="single" w:sz="8" w:space="2" w:color="0F766E"/>
        </w:pBdr>
      </w:pPr>
      <w:r>
        <w:t xml:space="preserve">11. Hardware, printing and preliminary costs</w:t>
      </w:r>
    </w:p>
    <w:p>
      <w:pPr>
        <w:pStyle w:val="FirstParagraph"/>
        <w:spacing w:after="100"/>
      </w:pPr>
      <w:r>
        <w:t xml:space="preserve">Use an existing suitable Windows computer, one 80 mm thermal printer and a UPS. Verify the PC’s condition, Windows version, ports, network, browser, printer model and driver, paper width, cutter, and where the printer and kitchen physically are before buying anything.</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041"/>
        <w:gridCol w:w="2494"/>
        <w:gridCol w:w="5103"/>
      </w:tblGrid>
      <w:tr>
        <w:trPr>
          <w:tblHeader w:val="true"/>
          <w:tblHeader w:val="true"/>
        </w:trPr>
        <w:tc>
          <w:tcPr>
            <w:tcW w:type="dxa" w:w="2041"/>
            <w:shd w:val="clear" w:color="auto" w:fill="0E1B2C"/>
          </w:tcPr>
          <w:p>
            <w:pPr>
              <w:pStyle w:val="Compact"/>
              <w:spacing w:after="20"/>
              <w:jc w:val="left"/>
            </w:pPr>
            <w:r>
              <w:rPr>
                <w:b/>
                <w:color w:val="FAF6EF"/>
                <w:sz w:val="19"/>
              </w:rPr>
              <w:t xml:space="preserve">Item</w:t>
            </w:r>
          </w:p>
        </w:tc>
        <w:tc>
          <w:tcPr>
            <w:tcW w:type="dxa" w:w="2494"/>
            <w:shd w:val="clear" w:color="auto" w:fill="0E1B2C"/>
          </w:tcPr>
          <w:p>
            <w:pPr>
              <w:pStyle w:val="Compact"/>
              <w:spacing w:after="20"/>
              <w:jc w:val="left"/>
            </w:pPr>
            <w:r>
              <w:rPr>
                <w:b/>
                <w:color w:val="FAF6EF"/>
                <w:sz w:val="19"/>
              </w:rPr>
              <w:t xml:space="preserve">Preliminary estimate (KES)</w:t>
            </w:r>
          </w:p>
        </w:tc>
        <w:tc>
          <w:tcPr>
            <w:tcW w:type="dxa" w:w="5102"/>
            <w:shd w:val="clear" w:color="auto" w:fill="0E1B2C"/>
          </w:tcPr>
          <w:p>
            <w:pPr>
              <w:pStyle w:val="Compact"/>
              <w:spacing w:after="20"/>
              <w:jc w:val="left"/>
            </w:pPr>
            <w:r>
              <w:rPr>
                <w:b/>
                <w:color w:val="FAF6EF"/>
                <w:sz w:val="19"/>
              </w:rPr>
              <w:t xml:space="preserve">Notes</w:t>
            </w:r>
          </w:p>
        </w:tc>
      </w:tr>
      <w:tr>
        <w:tc>
          <w:tcPr>
            <w:tcW w:type="dxa" w:w="2041"/>
          </w:tcPr>
          <w:p>
            <w:pPr>
              <w:pStyle w:val="Compact"/>
              <w:spacing w:after="20"/>
              <w:jc w:val="left"/>
            </w:pPr>
            <w:r>
              <w:rPr>
                <w:sz w:val="19"/>
              </w:rPr>
              <w:t xml:space="preserve">80 mm thermal printer</w:t>
            </w:r>
          </w:p>
        </w:tc>
        <w:tc>
          <w:tcPr>
            <w:tcW w:type="dxa" w:w="2494"/>
          </w:tcPr>
          <w:p>
            <w:pPr>
              <w:pStyle w:val="Compact"/>
              <w:spacing w:after="20"/>
              <w:jc w:val="left"/>
            </w:pPr>
            <w:r>
              <w:rPr>
                <w:sz w:val="19"/>
              </w:rPr>
              <w:t xml:space="preserve">5,500 – 8,500</w:t>
            </w:r>
          </w:p>
        </w:tc>
        <w:tc>
          <w:tcPr>
            <w:tcW w:type="dxa" w:w="5102"/>
          </w:tcPr>
          <w:p>
            <w:pPr>
              <w:pStyle w:val="Compact"/>
              <w:spacing w:after="20"/>
              <w:jc w:val="left"/>
            </w:pPr>
            <w:r>
              <w:rPr>
                <w:sz w:val="19"/>
              </w:rPr>
              <w:t xml:space="preserve">Indicative only, not a quote. Confirm model, connection, drivers, paper width.</w:t>
            </w:r>
          </w:p>
        </w:tc>
      </w:tr>
      <w:tr>
        <w:tc>
          <w:tcPr>
            <w:tcW w:type="dxa" w:w="2041"/>
            <w:shd w:val="clear" w:color="auto" w:fill="FAF6EF"/>
          </w:tcPr>
          <w:p>
            <w:pPr>
              <w:pStyle w:val="Compact"/>
              <w:spacing w:after="20"/>
              <w:jc w:val="left"/>
            </w:pPr>
            <w:r>
              <w:rPr>
                <w:sz w:val="19"/>
              </w:rPr>
              <w:t xml:space="preserve">UPS</w:t>
            </w:r>
          </w:p>
        </w:tc>
        <w:tc>
          <w:tcPr>
            <w:tcW w:type="dxa" w:w="2494"/>
            <w:shd w:val="clear" w:color="auto" w:fill="FAF6EF"/>
          </w:tcPr>
          <w:p>
            <w:pPr>
              <w:pStyle w:val="Compact"/>
              <w:spacing w:after="20"/>
              <w:jc w:val="left"/>
            </w:pPr>
            <w:r>
              <w:rPr>
                <w:sz w:val="19"/>
              </w:rPr>
              <w:t xml:space="preserve">4,000 – 8,000</w:t>
            </w:r>
          </w:p>
        </w:tc>
        <w:tc>
          <w:tcPr>
            <w:tcW w:type="dxa" w:w="5102"/>
            <w:shd w:val="clear" w:color="auto" w:fill="FAF6EF"/>
          </w:tcPr>
          <w:p>
            <w:pPr>
              <w:pStyle w:val="Compact"/>
              <w:spacing w:after="20"/>
              <w:jc w:val="left"/>
            </w:pPr>
            <w:r>
              <w:rPr>
                <w:sz w:val="19"/>
              </w:rPr>
              <w:t xml:space="preserve">Indicative only. Size for PC and router load and desired runtime.</w:t>
            </w:r>
          </w:p>
        </w:tc>
      </w:tr>
      <w:tr>
        <w:tc>
          <w:tcPr>
            <w:tcW w:type="dxa" w:w="2041"/>
          </w:tcPr>
          <w:p>
            <w:pPr>
              <w:pStyle w:val="Compact"/>
              <w:spacing w:after="20"/>
              <w:jc w:val="left"/>
            </w:pPr>
            <w:r>
              <w:rPr>
                <w:sz w:val="19"/>
              </w:rPr>
              <w:t xml:space="preserve">Initial add-on allowance</w:t>
            </w:r>
          </w:p>
        </w:tc>
        <w:tc>
          <w:tcPr>
            <w:tcW w:type="dxa" w:w="2494"/>
          </w:tcPr>
          <w:p>
            <w:pPr>
              <w:pStyle w:val="Compact"/>
              <w:spacing w:after="20"/>
              <w:jc w:val="left"/>
            </w:pPr>
            <w:r>
              <w:rPr>
                <w:sz w:val="19"/>
              </w:rPr>
              <w:t xml:space="preserve">12,000 – 25,000</w:t>
            </w:r>
          </w:p>
        </w:tc>
        <w:tc>
          <w:tcPr>
            <w:tcW w:type="dxa" w:w="5102"/>
          </w:tcPr>
          <w:p>
            <w:pPr>
              <w:pStyle w:val="Compact"/>
              <w:spacing w:after="20"/>
              <w:jc w:val="left"/>
            </w:pPr>
            <w:r>
              <w:rPr>
                <w:sz w:val="19"/>
              </w:rPr>
              <w:t xml:space="preserve">Rough allowance if the existing PC is suitable. Recheck against current quotes.</w:t>
            </w:r>
          </w:p>
        </w:tc>
      </w:tr>
    </w:tbl>
    <w:p>
      <w:pPr>
        <w:pStyle w:val="BodyText"/>
        <w:spacing w:after="100"/>
      </w:pPr>
      <w:r>
        <w:t xml:space="preserve">Not included: software development, hosting, domain, internet, thermal paper, support, eTIMS, M-Pesa, replacement computer, kitchen display, kitchen printer. Recheck prices before quoting.</w:t>
      </w:r>
    </w:p>
    <w:p>
      <w:pPr>
        <w:pStyle w:val="BodyText"/>
        <w:spacing w:after="100"/>
      </w:pPr>
      <w:r>
        <w:t xml:space="preserve">Thermal receipts print in one colour, so receipt and ticket layouts must be strictly black on white, with no fine lines and no tinted backgrounds.</w:t>
      </w:r>
    </w:p>
    <w:bookmarkStart w:id="56" w:name="outage-procedure"/>
    <w:p>
      <w:pPr>
        <w:pStyle w:val="Heading2"/>
      </w:pPr>
      <w:r>
        <w:t xml:space="preserve">11.1 Outage procedure</w:t>
      </w:r>
    </w:p>
    <w:p>
      <w:pPr>
        <w:numPr>
          <w:ilvl w:val="0"/>
          <w:numId w:val="1019"/>
        </w:numPr>
        <w:pStyle w:val="Compact"/>
        <w:spacing w:after="100"/>
      </w:pPr>
      <w:r>
        <w:t xml:space="preserve">Tell staff the cloud POS is unavailable and switch to the manual procedure.</w:t>
      </w:r>
    </w:p>
    <w:p>
      <w:pPr>
        <w:numPr>
          <w:ilvl w:val="0"/>
          <w:numId w:val="1019"/>
        </w:numPr>
        <w:pStyle w:val="Compact"/>
        <w:spacing w:after="100"/>
      </w:pPr>
      <w:r>
        <w:t xml:space="preserve">Use pre-numbered receipts and a sales log: date and time, items, quantities, totals, payment method and reference, staff member.</w:t>
      </w:r>
    </w:p>
    <w:p>
      <w:pPr>
        <w:numPr>
          <w:ilvl w:val="0"/>
          <w:numId w:val="1019"/>
        </w:numPr>
        <w:pStyle w:val="Compact"/>
        <w:spacing w:after="100"/>
      </w:pPr>
      <w:r>
        <w:t xml:space="preserve">Keep manual records sequential and secure. Note cancellations, never destroy records.</w:t>
      </w:r>
    </w:p>
    <w:p>
      <w:pPr>
        <w:numPr>
          <w:ilvl w:val="0"/>
          <w:numId w:val="1019"/>
        </w:numPr>
        <w:pStyle w:val="Compact"/>
        <w:spacing w:after="100"/>
      </w:pPr>
      <w:r>
        <w:t xml:space="preserve">When service returns, an authorised user enters each transaction through a dedicated reconciliation screen with the original manual receipt number.</w:t>
      </w:r>
    </w:p>
    <w:p>
      <w:pPr>
        <w:numPr>
          <w:ilvl w:val="0"/>
          <w:numId w:val="1019"/>
        </w:numPr>
        <w:pStyle w:val="Compact"/>
        <w:spacing w:after="100"/>
      </w:pPr>
      <w:r>
        <w:t xml:space="preserve">Prevent double entry if a transaction may already have reached the system.</w:t>
      </w:r>
    </w:p>
    <w:p>
      <w:pPr>
        <w:numPr>
          <w:ilvl w:val="0"/>
          <w:numId w:val="1019"/>
        </w:numPr>
        <w:pStyle w:val="Compact"/>
        <w:spacing w:after="100"/>
      </w:pPr>
      <w:r>
        <w:t xml:space="preserve">Record who reconciled, when, the source receipt number and any discrepancy. Reconcile cash, M-Pesa and stock effects.</w:t>
      </w:r>
    </w:p>
    <w:bookmarkEnd w:id="56"/>
    <w:bookmarkEnd w:id="57"/>
    <w:bookmarkStart w:id="61" w:name="deployment-operations-and-reliability"/>
    <w:p>
      <w:pPr>
        <w:pStyle w:val="Heading1"/>
        <w:spacing w:before="360"/>
        <w:pBdr>
          <w:bottom w:val="single" w:sz="8" w:space="2" w:color="0F766E"/>
        </w:pBdr>
      </w:pPr>
      <w:r>
        <w:t xml:space="preserve">12. Deployment, operations and reliability</w:t>
      </w:r>
    </w:p>
    <w:bookmarkStart w:id="58" w:name="deployment-topology"/>
    <w:p>
      <w:pPr>
        <w:pStyle w:val="Heading2"/>
      </w:pPr>
      <w:r>
        <w:t xml:space="preserve">12.1 Deployment topology</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041"/>
        <w:gridCol w:w="2494"/>
        <w:gridCol w:w="5103"/>
      </w:tblGrid>
      <w:tr>
        <w:trPr>
          <w:tblHeader w:val="true"/>
          <w:tblHeader w:val="true"/>
        </w:trPr>
        <w:tc>
          <w:tcPr>
            <w:tcW w:type="dxa" w:w="2041"/>
            <w:shd w:val="clear" w:color="auto" w:fill="0E1B2C"/>
          </w:tcPr>
          <w:p>
            <w:pPr>
              <w:pStyle w:val="Compact"/>
              <w:spacing w:after="20"/>
              <w:jc w:val="left"/>
            </w:pPr>
            <w:r>
              <w:rPr>
                <w:b/>
                <w:color w:val="FAF6EF"/>
                <w:sz w:val="19"/>
              </w:rPr>
              <w:t xml:space="preserve">Component</w:t>
            </w:r>
          </w:p>
        </w:tc>
        <w:tc>
          <w:tcPr>
            <w:tcW w:type="dxa" w:w="2494"/>
            <w:shd w:val="clear" w:color="auto" w:fill="0E1B2C"/>
          </w:tcPr>
          <w:p>
            <w:pPr>
              <w:pStyle w:val="Compact"/>
              <w:spacing w:after="20"/>
              <w:jc w:val="left"/>
            </w:pPr>
            <w:r>
              <w:rPr>
                <w:b/>
                <w:color w:val="FAF6EF"/>
                <w:sz w:val="19"/>
              </w:rPr>
              <w:t xml:space="preserve">Where</w:t>
            </w:r>
          </w:p>
        </w:tc>
        <w:tc>
          <w:tcPr>
            <w:tcW w:type="dxa" w:w="5102"/>
            <w:shd w:val="clear" w:color="auto" w:fill="0E1B2C"/>
          </w:tcPr>
          <w:p>
            <w:pPr>
              <w:pStyle w:val="Compact"/>
              <w:spacing w:after="20"/>
              <w:jc w:val="left"/>
            </w:pPr>
            <w:r>
              <w:rPr>
                <w:b/>
                <w:color w:val="FAF6EF"/>
                <w:sz w:val="19"/>
              </w:rPr>
              <w:t xml:space="preserve">Notes</w:t>
            </w:r>
          </w:p>
        </w:tc>
      </w:tr>
      <w:tr>
        <w:tc>
          <w:tcPr>
            <w:tcW w:type="dxa" w:w="2041"/>
          </w:tcPr>
          <w:p>
            <w:pPr>
              <w:pStyle w:val="Compact"/>
              <w:spacing w:after="20"/>
              <w:jc w:val="left"/>
            </w:pPr>
            <w:r>
              <w:rPr>
                <w:sz w:val="19"/>
              </w:rPr>
              <w:t xml:space="preserve">Next.js frontend</w:t>
            </w:r>
          </w:p>
        </w:tc>
        <w:tc>
          <w:tcPr>
            <w:tcW w:type="dxa" w:w="2494"/>
          </w:tcPr>
          <w:p>
            <w:pPr>
              <w:pStyle w:val="Compact"/>
              <w:spacing w:after="20"/>
              <w:jc w:val="left"/>
            </w:pPr>
            <w:r>
              <w:rPr>
                <w:sz w:val="19"/>
              </w:rPr>
              <w:t xml:space="preserve">Vercel</w:t>
            </w:r>
          </w:p>
        </w:tc>
        <w:tc>
          <w:tcPr>
            <w:tcW w:type="dxa" w:w="5102"/>
          </w:tcPr>
          <w:p>
            <w:pPr>
              <w:pStyle w:val="Compact"/>
              <w:spacing w:after="20"/>
              <w:jc w:val="left"/>
            </w:pPr>
            <w:r>
              <w:rPr>
                <w:sz w:val="19"/>
              </w:rPr>
              <w:t xml:space="preserve">Rewrites</w:t>
            </w:r>
            <w:r>
              <w:rPr>
                <w:sz w:val="19"/>
              </w:rPr>
              <w:t xml:space="preserve"> </w:t>
            </w:r>
            <w:r>
              <w:rPr>
                <w:rStyle w:val="VerbatimChar"/>
                <w:sz w:val="19"/>
              </w:rPr>
              <w:t xml:space="preserve">/api/*</w:t>
            </w:r>
            <w:r>
              <w:rPr>
                <w:sz w:val="19"/>
              </w:rPr>
              <w:t xml:space="preserve"> </w:t>
            </w:r>
            <w:r>
              <w:rPr>
                <w:sz w:val="19"/>
              </w:rPr>
              <w:t xml:space="preserve">to the API. Environment variables set in Vercel.</w:t>
            </w:r>
          </w:p>
        </w:tc>
      </w:tr>
      <w:tr>
        <w:tc>
          <w:tcPr>
            <w:tcW w:type="dxa" w:w="2041"/>
            <w:shd w:val="clear" w:color="auto" w:fill="FAF6EF"/>
          </w:tcPr>
          <w:p>
            <w:pPr>
              <w:pStyle w:val="Compact"/>
              <w:spacing w:after="20"/>
              <w:jc w:val="left"/>
            </w:pPr>
            <w:r>
              <w:rPr>
                <w:sz w:val="19"/>
              </w:rPr>
              <w:t xml:space="preserve">Go API</w:t>
            </w:r>
          </w:p>
        </w:tc>
        <w:tc>
          <w:tcPr>
            <w:tcW w:type="dxa" w:w="2494"/>
            <w:shd w:val="clear" w:color="auto" w:fill="FAF6EF"/>
          </w:tcPr>
          <w:p>
            <w:pPr>
              <w:pStyle w:val="Compact"/>
              <w:spacing w:after="20"/>
              <w:jc w:val="left"/>
            </w:pPr>
            <w:r>
              <w:rPr>
                <w:sz w:val="19"/>
              </w:rPr>
              <w:t xml:space="preserve">Render (Docker web service, paid instance for live use)</w:t>
            </w:r>
          </w:p>
        </w:tc>
        <w:tc>
          <w:tcPr>
            <w:tcW w:type="dxa" w:w="5102"/>
            <w:shd w:val="clear" w:color="auto" w:fill="FAF6EF"/>
          </w:tcPr>
          <w:p>
            <w:pPr>
              <w:pStyle w:val="Compact"/>
              <w:spacing w:after="20"/>
              <w:jc w:val="left"/>
            </w:pPr>
            <w:r>
              <w:rPr>
                <w:sz w:val="19"/>
              </w:rPr>
              <w:t xml:space="preserve">Health check on</w:t>
            </w:r>
            <w:r>
              <w:rPr>
                <w:sz w:val="19"/>
              </w:rPr>
              <w:t xml:space="preserve"> </w:t>
            </w:r>
            <w:r>
              <w:rPr>
                <w:rStyle w:val="VerbatimChar"/>
                <w:sz w:val="19"/>
              </w:rPr>
              <w:t xml:space="preserve">/readyz</w:t>
            </w:r>
            <w:r>
              <w:rPr>
                <w:sz w:val="19"/>
              </w:rPr>
              <w:t xml:space="preserve">. Secrets in Render environment.</w:t>
            </w:r>
          </w:p>
        </w:tc>
      </w:tr>
      <w:tr>
        <w:tc>
          <w:tcPr>
            <w:tcW w:type="dxa" w:w="2041"/>
          </w:tcPr>
          <w:p>
            <w:pPr>
              <w:pStyle w:val="Compact"/>
              <w:spacing w:after="20"/>
              <w:jc w:val="left"/>
            </w:pPr>
            <w:r>
              <w:rPr>
                <w:sz w:val="19"/>
              </w:rPr>
              <w:t xml:space="preserve">PostgreSQL</w:t>
            </w:r>
          </w:p>
        </w:tc>
        <w:tc>
          <w:tcPr>
            <w:tcW w:type="dxa" w:w="2494"/>
          </w:tcPr>
          <w:p>
            <w:pPr>
              <w:pStyle w:val="Compact"/>
              <w:spacing w:after="20"/>
              <w:jc w:val="left"/>
            </w:pPr>
            <w:r>
              <w:rPr>
                <w:sz w:val="19"/>
              </w:rPr>
              <w:t xml:space="preserve">Supabase (paid plan for live use)</w:t>
            </w:r>
          </w:p>
        </w:tc>
        <w:tc>
          <w:tcPr>
            <w:tcW w:type="dxa" w:w="5102"/>
          </w:tcPr>
          <w:p>
            <w:pPr>
              <w:pStyle w:val="Compact"/>
              <w:spacing w:after="20"/>
              <w:jc w:val="left"/>
            </w:pPr>
            <w:r>
              <w:rPr>
                <w:sz w:val="19"/>
              </w:rPr>
              <w:t xml:space="preserve">Reached only from the API through a connection pooler. See notes below.</w:t>
            </w:r>
          </w:p>
        </w:tc>
      </w:tr>
      <w:tr>
        <w:tc>
          <w:tcPr>
            <w:tcW w:type="dxa" w:w="2041"/>
            <w:shd w:val="clear" w:color="auto" w:fill="FAF6EF"/>
          </w:tcPr>
          <w:p>
            <w:pPr>
              <w:pStyle w:val="Compact"/>
              <w:spacing w:after="20"/>
              <w:jc w:val="left"/>
            </w:pPr>
            <w:r>
              <w:rPr>
                <w:sz w:val="19"/>
              </w:rPr>
              <w:t xml:space="preserve">DNS, domain, HTTPS</w:t>
            </w:r>
          </w:p>
        </w:tc>
        <w:tc>
          <w:tcPr>
            <w:tcW w:type="dxa" w:w="2494"/>
            <w:shd w:val="clear" w:color="auto" w:fill="FAF6EF"/>
          </w:tcPr>
          <w:p>
            <w:pPr>
              <w:pStyle w:val="Compact"/>
              <w:spacing w:after="20"/>
              <w:jc w:val="left"/>
            </w:pPr>
            <w:r>
              <w:rPr>
                <w:sz w:val="19"/>
              </w:rPr>
              <w:t xml:space="preserve">Cloudflare</w:t>
            </w:r>
          </w:p>
        </w:tc>
        <w:tc>
          <w:tcPr>
            <w:tcW w:type="dxa" w:w="5102"/>
            <w:shd w:val="clear" w:color="auto" w:fill="FAF6EF"/>
          </w:tcPr>
          <w:p>
            <w:pPr>
              <w:pStyle w:val="Compact"/>
              <w:spacing w:after="20"/>
              <w:jc w:val="left"/>
            </w:pPr>
            <w:r>
              <w:rPr>
                <w:sz w:val="19"/>
              </w:rPr>
              <w:t xml:space="preserve">App subdomain to Vercel, API subdomain to Render if used directly.</w:t>
            </w:r>
          </w:p>
        </w:tc>
      </w:tr>
      <w:tr>
        <w:tc>
          <w:tcPr>
            <w:tcW w:type="dxa" w:w="2041"/>
          </w:tcPr>
          <w:p>
            <w:pPr>
              <w:pStyle w:val="Compact"/>
              <w:spacing w:after="20"/>
              <w:jc w:val="left"/>
            </w:pPr>
            <w:r>
              <w:rPr>
                <w:sz w:val="19"/>
              </w:rPr>
              <w:t xml:space="preserve">Source and CI</w:t>
            </w:r>
          </w:p>
        </w:tc>
        <w:tc>
          <w:tcPr>
            <w:tcW w:type="dxa" w:w="2494"/>
          </w:tcPr>
          <w:p>
            <w:pPr>
              <w:pStyle w:val="Compact"/>
              <w:spacing w:after="20"/>
              <w:jc w:val="left"/>
            </w:pPr>
            <w:r>
              <w:rPr>
                <w:sz w:val="19"/>
              </w:rPr>
              <w:t xml:space="preserve">GitHub, GitHub Actions</w:t>
            </w:r>
          </w:p>
        </w:tc>
        <w:tc>
          <w:tcPr>
            <w:tcW w:type="dxa" w:w="5102"/>
          </w:tcPr>
          <w:p>
            <w:pPr>
              <w:pStyle w:val="Compact"/>
              <w:spacing w:after="20"/>
              <w:jc w:val="left"/>
            </w:pPr>
            <w:r>
              <w:rPr>
                <w:sz w:val="19"/>
              </w:rPr>
              <w:t xml:space="preserve">Build, test, lint, migration check.</w:t>
            </w:r>
          </w:p>
        </w:tc>
      </w:tr>
    </w:tbl>
    <w:bookmarkEnd w:id="58"/>
    <w:bookmarkStart w:id="59" w:name="X57fd7749630cfe6fa6586f888d82c723fafe550"/>
    <w:p>
      <w:pPr>
        <w:pStyle w:val="Heading2"/>
      </w:pPr>
      <w:r>
        <w:t xml:space="preserve">12.2 Supabase notes (verify against current documentation before relying on them)</w:t>
      </w:r>
    </w:p>
    <w:p>
      <w:pPr>
        <w:numPr>
          <w:ilvl w:val="0"/>
          <w:numId w:val="1020"/>
        </w:numPr>
        <w:pStyle w:val="Compact"/>
        <w:spacing w:after="100"/>
      </w:pPr>
      <w:r>
        <w:t xml:space="preserve">Use Supabase purely as managed PostgreSQL. Do not call the Supabase Data API from the browser.</w:t>
      </w:r>
    </w:p>
    <w:p>
      <w:pPr>
        <w:numPr>
          <w:ilvl w:val="0"/>
          <w:numId w:val="1020"/>
        </w:numPr>
        <w:pStyle w:val="Compact"/>
        <w:spacing w:after="100"/>
      </w:pPr>
      <w:r>
        <w:t xml:space="preserve">Enable row-level security on application tables with no policies for the public roles, so the auto-generated Data API cannot expose them, and keep the service-role key out of every client.</w:t>
      </w:r>
    </w:p>
    <w:p>
      <w:pPr>
        <w:numPr>
          <w:ilvl w:val="0"/>
          <w:numId w:val="1020"/>
        </w:numPr>
        <w:pStyle w:val="Compact"/>
        <w:spacing w:after="100"/>
      </w:pPr>
      <w:r>
        <w:t xml:space="preserve">Pooler: a long-running API should use the session-mode pooler or a direct connection. If transaction-mode pooling is used, configure pgx accordingly (it does not support prepared statements in that mode).</w:t>
      </w:r>
    </w:p>
    <w:p>
      <w:pPr>
        <w:numPr>
          <w:ilvl w:val="0"/>
          <w:numId w:val="1020"/>
        </w:numPr>
        <w:pStyle w:val="Compact"/>
        <w:spacing w:after="100"/>
      </w:pPr>
      <w:r>
        <w:t xml:space="preserve">Confirm IPv4 and IPv6 behaviour between Render and Supabase, backup frequency and retention, project pausing, and pricing.</w:t>
      </w:r>
    </w:p>
    <w:bookmarkEnd w:id="59"/>
    <w:bookmarkStart w:id="60" w:name="operational-requirements"/>
    <w:p>
      <w:pPr>
        <w:pStyle w:val="Heading2"/>
      </w:pPr>
      <w:r>
        <w:t xml:space="preserve">12.3 Operational requirements</w:t>
      </w:r>
    </w:p>
    <w:p>
      <w:pPr>
        <w:numPr>
          <w:ilvl w:val="0"/>
          <w:numId w:val="1021"/>
        </w:numPr>
        <w:pStyle w:val="Compact"/>
        <w:spacing w:after="100"/>
      </w:pPr>
      <w:r>
        <w:t xml:space="preserve">HTTPS for all public traffic; secure cookie settings.</w:t>
      </w:r>
    </w:p>
    <w:p>
      <w:pPr>
        <w:numPr>
          <w:ilvl w:val="0"/>
          <w:numId w:val="1021"/>
        </w:numPr>
        <w:pStyle w:val="Compact"/>
        <w:spacing w:after="100"/>
      </w:pPr>
      <w:r>
        <w:t xml:space="preserve">Separate development and production configuration;</w:t>
      </w:r>
      <w:r>
        <w:t xml:space="preserve"> </w:t>
      </w:r>
      <w:r>
        <w:rPr>
          <w:rStyle w:val="VerbatimChar"/>
        </w:rPr>
        <w:t xml:space="preserve">.env.example</w:t>
      </w:r>
      <w:r>
        <w:t xml:space="preserve"> </w:t>
      </w:r>
      <w:r>
        <w:t xml:space="preserve">with names and safe placeholders only.</w:t>
      </w:r>
    </w:p>
    <w:p>
      <w:pPr>
        <w:numPr>
          <w:ilvl w:val="0"/>
          <w:numId w:val="1021"/>
        </w:numPr>
        <w:pStyle w:val="Compact"/>
        <w:spacing w:after="100"/>
      </w:pPr>
      <w:r>
        <w:t xml:space="preserve">Compose with health checks for local development; multi-stage builds; lean runtime images.</w:t>
      </w:r>
    </w:p>
    <w:p>
      <w:pPr>
        <w:numPr>
          <w:ilvl w:val="0"/>
          <w:numId w:val="1021"/>
        </w:numPr>
        <w:pStyle w:val="Compact"/>
        <w:spacing w:after="100"/>
      </w:pPr>
      <w:r>
        <w:t xml:space="preserve">Backups configured and</w:t>
      </w:r>
      <w:r>
        <w:t xml:space="preserve"> </w:t>
      </w:r>
      <w:r>
        <w:rPr>
          <w:bCs/>
          <w:b/>
        </w:rPr>
        <w:t xml:space="preserve">a restore tested</w:t>
      </w:r>
      <w:r>
        <w:t xml:space="preserve">. A backup is not proven until restored.</w:t>
      </w:r>
    </w:p>
    <w:p>
      <w:pPr>
        <w:numPr>
          <w:ilvl w:val="0"/>
          <w:numId w:val="1021"/>
        </w:numPr>
        <w:pStyle w:val="Compact"/>
        <w:spacing w:after="100"/>
      </w:pPr>
      <w:r>
        <w:t xml:space="preserve">Structured logs, health and readiness endpoints, error monitoring.</w:t>
      </w:r>
    </w:p>
    <w:p>
      <w:pPr>
        <w:numPr>
          <w:ilvl w:val="0"/>
          <w:numId w:val="1021"/>
        </w:numPr>
        <w:pStyle w:val="Compact"/>
        <w:spacing w:after="100"/>
      </w:pPr>
      <w:r>
        <w:t xml:space="preserve">Controlled production deploy and migration procedure; documented rollback choices. Do not promise every migration can be reversed.</w:t>
      </w:r>
    </w:p>
    <w:p>
      <w:pPr>
        <w:numPr>
          <w:ilvl w:val="0"/>
          <w:numId w:val="1021"/>
        </w:numPr>
        <w:pStyle w:val="Compact"/>
        <w:spacing w:after="100"/>
      </w:pPr>
      <w:r>
        <w:t xml:space="preserve">Free Render services spin down and free Supabase projects can pause. Free tiers are acceptable for demos only; live POS use needs plans confirmed as always-on.</w:t>
      </w:r>
    </w:p>
    <w:p>
      <w:pPr>
        <w:numPr>
          <w:ilvl w:val="0"/>
          <w:numId w:val="1021"/>
        </w:numPr>
        <w:pStyle w:val="Compact"/>
        <w:spacing w:after="100"/>
      </w:pPr>
      <w:r>
        <w:t xml:space="preserve">Two-factor authentication on domain, GitHub, hosting and database accounts.</w:t>
      </w:r>
    </w:p>
    <w:bookmarkEnd w:id="60"/>
    <w:bookmarkEnd w:id="61"/>
    <w:bookmarkStart w:id="62" w:name="security-and-privacy"/>
    <w:p>
      <w:pPr>
        <w:pStyle w:val="Heading1"/>
        <w:spacing w:before="360"/>
        <w:pBdr>
          <w:bottom w:val="single" w:sz="8" w:space="2" w:color="0F766E"/>
        </w:pBdr>
      </w:pPr>
      <w:r>
        <w:t xml:space="preserve">13. Security and privacy</w:t>
      </w:r>
    </w:p>
    <w:p>
      <w:pPr>
        <w:numPr>
          <w:ilvl w:val="0"/>
          <w:numId w:val="1022"/>
        </w:numPr>
        <w:pStyle w:val="Compact"/>
        <w:spacing w:after="100"/>
      </w:pPr>
      <w:r>
        <w:t xml:space="preserve">Backend authorisation on every protected endpoint and sensitive operation.</w:t>
      </w:r>
    </w:p>
    <w:p>
      <w:pPr>
        <w:numPr>
          <w:ilvl w:val="0"/>
          <w:numId w:val="1022"/>
        </w:numPr>
        <w:pStyle w:val="Compact"/>
        <w:spacing w:after="100"/>
      </w:pPr>
      <w:r>
        <w:t xml:space="preserve">Secure password hashing, login rate limiting, session expiry and revocation, sensible lockout.</w:t>
      </w:r>
    </w:p>
    <w:p>
      <w:pPr>
        <w:numPr>
          <w:ilvl w:val="0"/>
          <w:numId w:val="1022"/>
        </w:numPr>
        <w:pStyle w:val="Compact"/>
        <w:spacing w:after="100"/>
      </w:pPr>
      <w:r>
        <w:t xml:space="preserve">Super Admin separated from operational roles, with careful recovery.</w:t>
      </w:r>
    </w:p>
    <w:p>
      <w:pPr>
        <w:numPr>
          <w:ilvl w:val="0"/>
          <w:numId w:val="1022"/>
        </w:numPr>
        <w:pStyle w:val="Compact"/>
        <w:spacing w:after="100"/>
      </w:pPr>
      <w:r>
        <w:t xml:space="preserve">No service-role keys or privileged credentials in frontend code.</w:t>
      </w:r>
    </w:p>
    <w:p>
      <w:pPr>
        <w:numPr>
          <w:ilvl w:val="0"/>
          <w:numId w:val="1022"/>
        </w:numPr>
        <w:pStyle w:val="Compact"/>
        <w:spacing w:after="100"/>
      </w:pPr>
      <w:r>
        <w:t xml:space="preserve">Parameterised SQL, strict validation, safe error responses, request size and rate limits.</w:t>
      </w:r>
    </w:p>
    <w:p>
      <w:pPr>
        <w:numPr>
          <w:ilvl w:val="0"/>
          <w:numId w:val="1022"/>
        </w:numPr>
        <w:pStyle w:val="Compact"/>
        <w:spacing w:after="100"/>
      </w:pPr>
      <w:r>
        <w:t xml:space="preserve">Redact secrets from logs, crash reports and client errors.</w:t>
      </w:r>
    </w:p>
    <w:p>
      <w:pPr>
        <w:numPr>
          <w:ilvl w:val="0"/>
          <w:numId w:val="1022"/>
        </w:numPr>
        <w:pStyle w:val="Compact"/>
        <w:spacing w:after="100"/>
      </w:pPr>
      <w:r>
        <w:t xml:space="preserve">Least-privilege staff and service credentials; deactivate leavers promptly.</w:t>
      </w:r>
    </w:p>
    <w:p>
      <w:pPr>
        <w:numPr>
          <w:ilvl w:val="0"/>
          <w:numId w:val="1022"/>
        </w:numPr>
        <w:pStyle w:val="Compact"/>
        <w:spacing w:after="100"/>
      </w:pPr>
      <w:r>
        <w:t xml:space="preserve">Protect guest information; restrict exports and visibility by role.</w:t>
      </w:r>
    </w:p>
    <w:p>
      <w:pPr>
        <w:numPr>
          <w:ilvl w:val="0"/>
          <w:numId w:val="1022"/>
        </w:numPr>
        <w:pStyle w:val="Compact"/>
        <w:spacing w:after="100"/>
      </w:pPr>
      <w:r>
        <w:t xml:space="preserve">Define backup retention, access and restore tests.</w:t>
      </w:r>
    </w:p>
    <w:bookmarkEnd w:id="62"/>
    <w:bookmarkStart w:id="63" w:name="delivery-phases"/>
    <w:p>
      <w:pPr>
        <w:pStyle w:val="Heading1"/>
        <w:spacing w:before="360"/>
        <w:pBdr>
          <w:bottom w:val="single" w:sz="8" w:space="2" w:color="0F766E"/>
        </w:pBdr>
      </w:pPr>
      <w:r>
        <w:t xml:space="preserve">14. Delivery phases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Phase</w:t>
            </w:r>
          </w:p>
        </w:tc>
        <w:tc>
          <w:tcPr>
            <w:tcW w:type="dxa" w:w="7030"/>
            <w:shd w:val="clear" w:color="auto" w:fill="0E1B2C"/>
          </w:tcPr>
          <w:p>
            <w:pPr>
              <w:pStyle w:val="Compact"/>
              <w:spacing w:after="20"/>
              <w:jc w:val="left"/>
            </w:pPr>
            <w:r>
              <w:rPr>
                <w:b/>
                <w:color w:val="FAF6EF"/>
                <w:sz w:val="19"/>
              </w:rPr>
              <w:t xml:space="preserve">Scope and exit objective</w:t>
            </w:r>
          </w:p>
        </w:tc>
      </w:tr>
      <w:tr>
        <w:tc>
          <w:tcPr>
            <w:tcW w:type="dxa" w:w="2608"/>
          </w:tcPr>
          <w:p>
            <w:pPr>
              <w:pStyle w:val="Compact"/>
              <w:spacing w:after="20"/>
              <w:jc w:val="left"/>
            </w:pPr>
            <w:r>
              <w:rPr>
                <w:sz w:val="19"/>
              </w:rPr>
              <w:t xml:space="preserve">0 Discovery</w:t>
            </w:r>
          </w:p>
        </w:tc>
        <w:tc>
          <w:tcPr>
            <w:tcW w:type="dxa" w:w="7030"/>
          </w:tcPr>
          <w:p>
            <w:pPr>
              <w:pStyle w:val="Compact"/>
              <w:spacing w:after="20"/>
              <w:jc w:val="left"/>
            </w:pPr>
            <w:r>
              <w:rPr>
                <w:sz w:val="19"/>
              </w:rPr>
              <w:t xml:space="preserve">Verify hardware, printer, internet, menu, units, room rules, payment flows, eTIMS route, staff, kitchen layout, budget, timeline.</w:t>
            </w:r>
          </w:p>
        </w:tc>
      </w:tr>
      <w:tr>
        <w:tc>
          <w:tcPr>
            <w:tcW w:type="dxa" w:w="2608"/>
            <w:shd w:val="clear" w:color="auto" w:fill="FAF6EF"/>
          </w:tcPr>
          <w:p>
            <w:pPr>
              <w:pStyle w:val="Compact"/>
              <w:spacing w:after="20"/>
              <w:jc w:val="left"/>
            </w:pPr>
            <w:r>
              <w:rPr>
                <w:sz w:val="19"/>
              </w:rPr>
              <w:t xml:space="preserve">1 Foundation</w:t>
            </w:r>
          </w:p>
        </w:tc>
        <w:tc>
          <w:tcPr>
            <w:tcW w:type="dxa" w:w="7030"/>
            <w:shd w:val="clear" w:color="auto" w:fill="FAF6EF"/>
          </w:tcPr>
          <w:p>
            <w:pPr>
              <w:pStyle w:val="Compact"/>
              <w:spacing w:after="20"/>
              <w:jc w:val="left"/>
            </w:pPr>
            <w:r>
              <w:rPr>
                <w:sz w:val="19"/>
              </w:rPr>
              <w:t xml:space="preserve">Repository, architecture, config, migrations, authentication, RBAC, audit, health checks, Docker workflow, deployment and backup plan.</w:t>
            </w:r>
          </w:p>
        </w:tc>
      </w:tr>
      <w:tr>
        <w:tc>
          <w:tcPr>
            <w:tcW w:type="dxa" w:w="2608"/>
          </w:tcPr>
          <w:p>
            <w:pPr>
              <w:pStyle w:val="Compact"/>
              <w:spacing w:after="20"/>
              <w:jc w:val="left"/>
            </w:pPr>
            <w:r>
              <w:rPr>
                <w:sz w:val="19"/>
              </w:rPr>
              <w:t xml:space="preserve">2 POS, payments, kitchen</w:t>
            </w:r>
          </w:p>
        </w:tc>
        <w:tc>
          <w:tcPr>
            <w:tcW w:type="dxa" w:w="7030"/>
          </w:tcPr>
          <w:p>
            <w:pPr>
              <w:pStyle w:val="Compact"/>
              <w:spacing w:after="20"/>
              <w:jc w:val="left"/>
            </w:pPr>
            <w:r>
              <w:rPr>
                <w:sz w:val="19"/>
              </w:rPr>
              <w:t xml:space="preserve">Menu and orders, finalisation, payments, shifts, receipts, kitchen tickets, reprints, outage reconciliation.</w:t>
            </w:r>
          </w:p>
        </w:tc>
      </w:tr>
      <w:tr>
        <w:tc>
          <w:tcPr>
            <w:tcW w:type="dxa" w:w="2608"/>
            <w:shd w:val="clear" w:color="auto" w:fill="FAF6EF"/>
          </w:tcPr>
          <w:p>
            <w:pPr>
              <w:pStyle w:val="Compact"/>
              <w:spacing w:after="20"/>
              <w:jc w:val="left"/>
            </w:pPr>
            <w:r>
              <w:rPr>
                <w:sz w:val="19"/>
              </w:rPr>
              <w:t xml:space="preserve">3 Inventory</w:t>
            </w:r>
          </w:p>
        </w:tc>
        <w:tc>
          <w:tcPr>
            <w:tcW w:type="dxa" w:w="7030"/>
            <w:shd w:val="clear" w:color="auto" w:fill="FAF6EF"/>
          </w:tcPr>
          <w:p>
            <w:pPr>
              <w:pStyle w:val="Compact"/>
              <w:spacing w:after="20"/>
              <w:jc w:val="left"/>
            </w:pPr>
            <w:r>
              <w:rPr>
                <w:sz w:val="19"/>
              </w:rPr>
              <w:t xml:space="preserve">Items, units, suppliers, receiving, ledger, transfers, counts, wastage, optional recipe deductions.</w:t>
            </w:r>
          </w:p>
        </w:tc>
      </w:tr>
      <w:tr>
        <w:tc>
          <w:tcPr>
            <w:tcW w:type="dxa" w:w="2608"/>
          </w:tcPr>
          <w:p>
            <w:pPr>
              <w:pStyle w:val="Compact"/>
              <w:spacing w:after="20"/>
              <w:jc w:val="left"/>
            </w:pPr>
            <w:r>
              <w:rPr>
                <w:sz w:val="19"/>
              </w:rPr>
              <w:t xml:space="preserve">4 Rooms and folios</w:t>
            </w:r>
          </w:p>
        </w:tc>
        <w:tc>
          <w:tcPr>
            <w:tcW w:type="dxa" w:w="7030"/>
          </w:tcPr>
          <w:p>
            <w:pPr>
              <w:pStyle w:val="Compact"/>
              <w:spacing w:after="20"/>
              <w:jc w:val="left"/>
            </w:pPr>
            <w:r>
              <w:rPr>
                <w:sz w:val="19"/>
              </w:rPr>
              <w:t xml:space="preserve">Rooms, reservations, overlap prevention, guests, check-in/out, housekeeping, folios, room charges, checkout.</w:t>
            </w:r>
          </w:p>
        </w:tc>
      </w:tr>
      <w:tr>
        <w:tc>
          <w:tcPr>
            <w:tcW w:type="dxa" w:w="2608"/>
            <w:shd w:val="clear" w:color="auto" w:fill="FAF6EF"/>
          </w:tcPr>
          <w:p>
            <w:pPr>
              <w:pStyle w:val="Compact"/>
              <w:spacing w:after="20"/>
              <w:jc w:val="left"/>
            </w:pPr>
            <w:r>
              <w:rPr>
                <w:sz w:val="19"/>
              </w:rPr>
              <w:t xml:space="preserve">5 Reports and controls</w:t>
            </w:r>
          </w:p>
        </w:tc>
        <w:tc>
          <w:tcPr>
            <w:tcW w:type="dxa" w:w="7030"/>
            <w:shd w:val="clear" w:color="auto" w:fill="FAF6EF"/>
          </w:tcPr>
          <w:p>
            <w:pPr>
              <w:pStyle w:val="Compact"/>
              <w:spacing w:after="20"/>
              <w:jc w:val="left"/>
            </w:pPr>
            <w:r>
              <w:rPr>
                <w:sz w:val="19"/>
              </w:rPr>
              <w:t xml:space="preserve">Reports, CSV, audit views, reconciliation controls.</w:t>
            </w:r>
          </w:p>
        </w:tc>
      </w:tr>
      <w:tr>
        <w:tc>
          <w:tcPr>
            <w:tcW w:type="dxa" w:w="2608"/>
          </w:tcPr>
          <w:p>
            <w:pPr>
              <w:pStyle w:val="Compact"/>
              <w:spacing w:after="20"/>
              <w:jc w:val="left"/>
            </w:pPr>
            <w:r>
              <w:rPr>
                <w:sz w:val="19"/>
              </w:rPr>
              <w:t xml:space="preserve">6 Integrations</w:t>
            </w:r>
          </w:p>
        </w:tc>
        <w:tc>
          <w:tcPr>
            <w:tcW w:type="dxa" w:w="7030"/>
          </w:tcPr>
          <w:p>
            <w:pPr>
              <w:pStyle w:val="Compact"/>
              <w:spacing w:after="20"/>
              <w:jc w:val="left"/>
            </w:pPr>
            <w:r>
              <w:rPr>
                <w:sz w:val="19"/>
              </w:rPr>
              <w:t xml:space="preserve">eTIMS and M-Pesa, only after verification.</w:t>
            </w:r>
          </w:p>
        </w:tc>
      </w:tr>
      <w:tr>
        <w:tc>
          <w:tcPr>
            <w:tcW w:type="dxa" w:w="2608"/>
            <w:shd w:val="clear" w:color="auto" w:fill="FAF6EF"/>
          </w:tcPr>
          <w:p>
            <w:pPr>
              <w:pStyle w:val="Compact"/>
              <w:spacing w:after="20"/>
              <w:jc w:val="left"/>
            </w:pPr>
            <w:r>
              <w:rPr>
                <w:sz w:val="19"/>
              </w:rPr>
              <w:t xml:space="preserve">7 Pilot and handover</w:t>
            </w:r>
          </w:p>
        </w:tc>
        <w:tc>
          <w:tcPr>
            <w:tcW w:type="dxa" w:w="7030"/>
            <w:shd w:val="clear" w:color="auto" w:fill="FAF6EF"/>
          </w:tcPr>
          <w:p>
            <w:pPr>
              <w:pStyle w:val="Compact"/>
              <w:spacing w:after="20"/>
              <w:jc w:val="left"/>
            </w:pPr>
            <w:r>
              <w:rPr>
                <w:sz w:val="19"/>
              </w:rPr>
              <w:t xml:space="preserve">Real hardware testing, scenario tests, training, restore test, operating guide, limitations.</w:t>
            </w:r>
          </w:p>
        </w:tc>
      </w:tr>
    </w:tbl>
    <w:p>
      <w:pPr>
        <w:pStyle w:val="BodyText"/>
        <w:spacing w:after="100"/>
      </w:pPr>
      <w:r>
        <w:t xml:space="preserve">No fixed timeline is promised until Phase 0 is complete.</w:t>
      </w:r>
    </w:p>
    <w:bookmarkEnd w:id="63"/>
    <w:bookmarkStart w:id="64" w:name="acceptance-criteria"/>
    <w:p>
      <w:pPr>
        <w:pStyle w:val="Heading1"/>
        <w:spacing w:before="360"/>
        <w:pBdr>
          <w:bottom w:val="single" w:sz="8" w:space="2" w:color="0F766E"/>
        </w:pBdr>
      </w:pPr>
      <w:r>
        <w:t xml:space="preserve">15. Acceptance criteria</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360"/>
        <w:gridCol w:w="8278"/>
      </w:tblGrid>
      <w:tr>
        <w:trPr>
          <w:tblHeader w:val="true"/>
          <w:tblHeader w:val="true"/>
        </w:trPr>
        <w:tc>
          <w:tcPr>
            <w:tcW w:type="dxa" w:w="1361"/>
            <w:shd w:val="clear" w:color="auto" w:fill="0E1B2C"/>
          </w:tcPr>
          <w:p>
            <w:pPr>
              <w:pStyle w:val="Compact"/>
              <w:spacing w:after="20"/>
              <w:jc w:val="left"/>
            </w:pPr>
            <w:r>
              <w:rPr>
                <w:b/>
                <w:color w:val="FAF6EF"/>
                <w:sz w:val="19"/>
              </w:rPr>
              <w:t xml:space="preserve">ID</w:t>
            </w:r>
          </w:p>
        </w:tc>
        <w:tc>
          <w:tcPr>
            <w:tcW w:type="dxa" w:w="8277"/>
            <w:shd w:val="clear" w:color="auto" w:fill="0E1B2C"/>
          </w:tcPr>
          <w:p>
            <w:pPr>
              <w:pStyle w:val="Compact"/>
              <w:spacing w:after="20"/>
              <w:jc w:val="left"/>
            </w:pPr>
            <w:r>
              <w:rPr>
                <w:b/>
                <w:color w:val="FAF6EF"/>
                <w:sz w:val="19"/>
              </w:rPr>
              <w:t xml:space="preserve">Criterion</w:t>
            </w:r>
          </w:p>
        </w:tc>
      </w:tr>
      <w:tr>
        <w:tc>
          <w:tcPr>
            <w:tcW w:type="dxa" w:w="1361"/>
          </w:tcPr>
          <w:p>
            <w:pPr>
              <w:pStyle w:val="Compact"/>
              <w:spacing w:after="20"/>
              <w:jc w:val="left"/>
            </w:pPr>
            <w:r>
              <w:rPr>
                <w:sz w:val="19"/>
              </w:rPr>
              <w:t xml:space="preserve">AC-01</w:t>
            </w:r>
          </w:p>
        </w:tc>
        <w:tc>
          <w:tcPr>
            <w:tcW w:type="dxa" w:w="8277"/>
          </w:tcPr>
          <w:p>
            <w:pPr>
              <w:pStyle w:val="Compact"/>
              <w:spacing w:after="20"/>
              <w:jc w:val="left"/>
            </w:pPr>
            <w:r>
              <w:rPr>
                <w:sz w:val="19"/>
              </w:rPr>
              <w:t xml:space="preserve">A completed sale has one durable identity and correct item, price, discount, tax and payment snapshots; retrying the same request cannot create a duplicate.</w:t>
            </w:r>
          </w:p>
        </w:tc>
      </w:tr>
      <w:tr>
        <w:tc>
          <w:tcPr>
            <w:tcW w:type="dxa" w:w="1361"/>
            <w:shd w:val="clear" w:color="auto" w:fill="FAF6EF"/>
          </w:tcPr>
          <w:p>
            <w:pPr>
              <w:pStyle w:val="Compact"/>
              <w:spacing w:after="20"/>
              <w:jc w:val="left"/>
            </w:pPr>
            <w:r>
              <w:rPr>
                <w:sz w:val="19"/>
              </w:rPr>
              <w:t xml:space="preserve">AC-02</w:t>
            </w:r>
          </w:p>
        </w:tc>
        <w:tc>
          <w:tcPr>
            <w:tcW w:type="dxa" w:w="8277"/>
            <w:shd w:val="clear" w:color="auto" w:fill="FAF6EF"/>
          </w:tcPr>
          <w:p>
            <w:pPr>
              <w:pStyle w:val="Compact"/>
              <w:spacing w:after="20"/>
              <w:jc w:val="left"/>
            </w:pPr>
            <w:r>
              <w:rPr>
                <w:sz w:val="19"/>
              </w:rPr>
              <w:t xml:space="preserve">Payment retries and duplicate provider callbacks cannot double-record collections.</w:t>
            </w:r>
          </w:p>
        </w:tc>
      </w:tr>
      <w:tr>
        <w:tc>
          <w:tcPr>
            <w:tcW w:type="dxa" w:w="1361"/>
          </w:tcPr>
          <w:p>
            <w:pPr>
              <w:pStyle w:val="Compact"/>
              <w:spacing w:after="20"/>
              <w:jc w:val="left"/>
            </w:pPr>
            <w:r>
              <w:rPr>
                <w:sz w:val="19"/>
              </w:rPr>
              <w:t xml:space="preserve">AC-03</w:t>
            </w:r>
          </w:p>
        </w:tc>
        <w:tc>
          <w:tcPr>
            <w:tcW w:type="dxa" w:w="8277"/>
          </w:tcPr>
          <w:p>
            <w:pPr>
              <w:pStyle w:val="Compact"/>
              <w:spacing w:after="20"/>
              <w:jc w:val="left"/>
            </w:pPr>
            <w:r>
              <w:rPr>
                <w:sz w:val="19"/>
              </w:rPr>
              <w:t xml:space="preserve">Print failure never loses or duplicates a saved sale. Reprints reference the original and are visibly marked.</w:t>
            </w:r>
          </w:p>
        </w:tc>
      </w:tr>
      <w:tr>
        <w:tc>
          <w:tcPr>
            <w:tcW w:type="dxa" w:w="1361"/>
            <w:shd w:val="clear" w:color="auto" w:fill="FAF6EF"/>
          </w:tcPr>
          <w:p>
            <w:pPr>
              <w:pStyle w:val="Compact"/>
              <w:spacing w:after="20"/>
              <w:jc w:val="left"/>
            </w:pPr>
            <w:r>
              <w:rPr>
                <w:sz w:val="19"/>
              </w:rPr>
              <w:t xml:space="preserve">AC-04</w:t>
            </w:r>
          </w:p>
        </w:tc>
        <w:tc>
          <w:tcPr>
            <w:tcW w:type="dxa" w:w="8277"/>
            <w:shd w:val="clear" w:color="auto" w:fill="FAF6EF"/>
          </w:tcPr>
          <w:p>
            <w:pPr>
              <w:pStyle w:val="Compact"/>
              <w:spacing w:after="20"/>
              <w:jc w:val="left"/>
            </w:pPr>
            <w:r>
              <w:rPr>
                <w:sz w:val="19"/>
              </w:rPr>
              <w:t xml:space="preserve">Kitchen tickets are persisted before printing; ticket status is independent of payment; changes and cancellations are traceable.</w:t>
            </w:r>
          </w:p>
        </w:tc>
      </w:tr>
      <w:tr>
        <w:tc>
          <w:tcPr>
            <w:tcW w:type="dxa" w:w="1361"/>
          </w:tcPr>
          <w:p>
            <w:pPr>
              <w:pStyle w:val="Compact"/>
              <w:spacing w:after="20"/>
              <w:jc w:val="left"/>
            </w:pPr>
            <w:r>
              <w:rPr>
                <w:sz w:val="19"/>
              </w:rPr>
              <w:t xml:space="preserve">AC-05</w:t>
            </w:r>
          </w:p>
        </w:tc>
        <w:tc>
          <w:tcPr>
            <w:tcW w:type="dxa" w:w="8277"/>
          </w:tcPr>
          <w:p>
            <w:pPr>
              <w:pStyle w:val="Compact"/>
              <w:spacing w:after="20"/>
              <w:jc w:val="left"/>
            </w:pPr>
            <w:r>
              <w:rPr>
                <w:sz w:val="19"/>
              </w:rPr>
              <w:t xml:space="preserve">Refunds, voids and discounts require the intended permission and a reason, and are audited.</w:t>
            </w:r>
          </w:p>
        </w:tc>
      </w:tr>
      <w:tr>
        <w:tc>
          <w:tcPr>
            <w:tcW w:type="dxa" w:w="1361"/>
            <w:shd w:val="clear" w:color="auto" w:fill="FAF6EF"/>
          </w:tcPr>
          <w:p>
            <w:pPr>
              <w:pStyle w:val="Compact"/>
              <w:spacing w:after="20"/>
              <w:jc w:val="left"/>
            </w:pPr>
            <w:r>
              <w:rPr>
                <w:sz w:val="19"/>
              </w:rPr>
              <w:t xml:space="preserve">AC-06</w:t>
            </w:r>
          </w:p>
        </w:tc>
        <w:tc>
          <w:tcPr>
            <w:tcW w:type="dxa" w:w="8277"/>
            <w:shd w:val="clear" w:color="auto" w:fill="FAF6EF"/>
          </w:tcPr>
          <w:p>
            <w:pPr>
              <w:pStyle w:val="Compact"/>
              <w:spacing w:after="20"/>
              <w:jc w:val="left"/>
            </w:pPr>
            <w:r>
              <w:rPr>
                <w:sz w:val="19"/>
              </w:rPr>
              <w:t xml:space="preserve">Stock receiving, transfer, consumption, wastage and adjustment reconcile through movements; conversions are correct; history stays traceable.</w:t>
            </w:r>
          </w:p>
        </w:tc>
      </w:tr>
      <w:tr>
        <w:tc>
          <w:tcPr>
            <w:tcW w:type="dxa" w:w="1361"/>
          </w:tcPr>
          <w:p>
            <w:pPr>
              <w:pStyle w:val="Compact"/>
              <w:spacing w:after="20"/>
              <w:jc w:val="left"/>
            </w:pPr>
            <w:r>
              <w:rPr>
                <w:sz w:val="19"/>
              </w:rPr>
              <w:t xml:space="preserve">AC-07</w:t>
            </w:r>
          </w:p>
        </w:tc>
        <w:tc>
          <w:tcPr>
            <w:tcW w:type="dxa" w:w="8277"/>
          </w:tcPr>
          <w:p>
            <w:pPr>
              <w:pStyle w:val="Compact"/>
              <w:spacing w:after="20"/>
              <w:jc w:val="left"/>
            </w:pPr>
            <w:r>
              <w:rPr>
                <w:sz w:val="19"/>
              </w:rPr>
              <w:t xml:space="preserve">About 13 rooms are configurable without code changes; overlapping reservations are blocked under concurrent attempts.</w:t>
            </w:r>
          </w:p>
        </w:tc>
      </w:tr>
      <w:tr>
        <w:tc>
          <w:tcPr>
            <w:tcW w:type="dxa" w:w="1361"/>
            <w:shd w:val="clear" w:color="auto" w:fill="FAF6EF"/>
          </w:tcPr>
          <w:p>
            <w:pPr>
              <w:pStyle w:val="Compact"/>
              <w:spacing w:after="20"/>
              <w:jc w:val="left"/>
            </w:pPr>
            <w:r>
              <w:rPr>
                <w:sz w:val="19"/>
              </w:rPr>
              <w:t xml:space="preserve">AC-08</w:t>
            </w:r>
          </w:p>
        </w:tc>
        <w:tc>
          <w:tcPr>
            <w:tcW w:type="dxa" w:w="8277"/>
            <w:shd w:val="clear" w:color="auto" w:fill="FAF6EF"/>
          </w:tcPr>
          <w:p>
            <w:pPr>
              <w:pStyle w:val="Compact"/>
              <w:spacing w:after="20"/>
              <w:jc w:val="left"/>
            </w:pPr>
            <w:r>
              <w:rPr>
                <w:sz w:val="19"/>
              </w:rPr>
              <w:t xml:space="preserve">Guest folios reconcile from items, payments and adjustments; a room charge is never recorded as cash received.</w:t>
            </w:r>
          </w:p>
        </w:tc>
      </w:tr>
      <w:tr>
        <w:tc>
          <w:tcPr>
            <w:tcW w:type="dxa" w:w="1361"/>
          </w:tcPr>
          <w:p>
            <w:pPr>
              <w:pStyle w:val="Compact"/>
              <w:spacing w:after="20"/>
              <w:jc w:val="left"/>
            </w:pPr>
            <w:r>
              <w:rPr>
                <w:sz w:val="19"/>
              </w:rPr>
              <w:t xml:space="preserve">AC-09</w:t>
            </w:r>
          </w:p>
        </w:tc>
        <w:tc>
          <w:tcPr>
            <w:tcW w:type="dxa" w:w="8277"/>
          </w:tcPr>
          <w:p>
            <w:pPr>
              <w:pStyle w:val="Compact"/>
              <w:spacing w:after="20"/>
              <w:jc w:val="left"/>
            </w:pPr>
            <w:r>
              <w:rPr>
                <w:sz w:val="19"/>
              </w:rPr>
              <w:t xml:space="preserve">Expected shift cash is reproducible from transactions and cash movements; declared-cash variance is visible.</w:t>
            </w:r>
          </w:p>
        </w:tc>
      </w:tr>
      <w:tr>
        <w:tc>
          <w:tcPr>
            <w:tcW w:type="dxa" w:w="1361"/>
            <w:shd w:val="clear" w:color="auto" w:fill="FAF6EF"/>
          </w:tcPr>
          <w:p>
            <w:pPr>
              <w:pStyle w:val="Compact"/>
              <w:spacing w:after="20"/>
              <w:jc w:val="left"/>
            </w:pPr>
            <w:r>
              <w:rPr>
                <w:sz w:val="19"/>
              </w:rPr>
              <w:t xml:space="preserve">AC-10</w:t>
            </w:r>
          </w:p>
        </w:tc>
        <w:tc>
          <w:tcPr>
            <w:tcW w:type="dxa" w:w="8277"/>
            <w:shd w:val="clear" w:color="auto" w:fill="FAF6EF"/>
          </w:tcPr>
          <w:p>
            <w:pPr>
              <w:pStyle w:val="Compact"/>
              <w:spacing w:after="20"/>
              <w:jc w:val="left"/>
            </w:pPr>
            <w:r>
              <w:rPr>
                <w:sz w:val="19"/>
              </w:rPr>
              <w:t xml:space="preserve">The backend denies unauthorised API calls even if the frontend is bypassed.</w:t>
            </w:r>
          </w:p>
        </w:tc>
      </w:tr>
      <w:tr>
        <w:tc>
          <w:tcPr>
            <w:tcW w:type="dxa" w:w="1361"/>
          </w:tcPr>
          <w:p>
            <w:pPr>
              <w:pStyle w:val="Compact"/>
              <w:spacing w:after="20"/>
              <w:jc w:val="left"/>
            </w:pPr>
            <w:r>
              <w:rPr>
                <w:sz w:val="19"/>
              </w:rPr>
              <w:t xml:space="preserve">AC-11</w:t>
            </w:r>
          </w:p>
        </w:tc>
        <w:tc>
          <w:tcPr>
            <w:tcW w:type="dxa" w:w="8277"/>
          </w:tcPr>
          <w:p>
            <w:pPr>
              <w:pStyle w:val="Compact"/>
              <w:spacing w:after="20"/>
              <w:jc w:val="left"/>
            </w:pPr>
            <w:r>
              <w:rPr>
                <w:sz w:val="19"/>
              </w:rPr>
              <w:t xml:space="preserve">Business Manager cannot grant Super Admin or system.admin through normal role configuration.</w:t>
            </w:r>
          </w:p>
        </w:tc>
      </w:tr>
      <w:tr>
        <w:tc>
          <w:tcPr>
            <w:tcW w:type="dxa" w:w="1361"/>
            <w:shd w:val="clear" w:color="auto" w:fill="FAF6EF"/>
          </w:tcPr>
          <w:p>
            <w:pPr>
              <w:pStyle w:val="Compact"/>
              <w:spacing w:after="20"/>
              <w:jc w:val="left"/>
            </w:pPr>
            <w:r>
              <w:rPr>
                <w:sz w:val="19"/>
              </w:rPr>
              <w:t xml:space="preserve">AC-12</w:t>
            </w:r>
          </w:p>
        </w:tc>
        <w:tc>
          <w:tcPr>
            <w:tcW w:type="dxa" w:w="8277"/>
            <w:shd w:val="clear" w:color="auto" w:fill="FAF6EF"/>
          </w:tcPr>
          <w:p>
            <w:pPr>
              <w:pStyle w:val="Compact"/>
              <w:spacing w:after="20"/>
              <w:jc w:val="left"/>
            </w:pPr>
            <w:r>
              <w:rPr>
                <w:sz w:val="19"/>
              </w:rPr>
              <w:t xml:space="preserve">The last active Super Admin cannot be removed; deactivating a user keeps transaction history.</w:t>
            </w:r>
          </w:p>
        </w:tc>
      </w:tr>
      <w:tr>
        <w:tc>
          <w:tcPr>
            <w:tcW w:type="dxa" w:w="1361"/>
          </w:tcPr>
          <w:p>
            <w:pPr>
              <w:pStyle w:val="Compact"/>
              <w:spacing w:after="20"/>
              <w:jc w:val="left"/>
            </w:pPr>
            <w:r>
              <w:rPr>
                <w:sz w:val="19"/>
              </w:rPr>
              <w:t xml:space="preserve">AC-13</w:t>
            </w:r>
          </w:p>
        </w:tc>
        <w:tc>
          <w:tcPr>
            <w:tcW w:type="dxa" w:w="8277"/>
          </w:tcPr>
          <w:p>
            <w:pPr>
              <w:pStyle w:val="Compact"/>
              <w:spacing w:after="20"/>
              <w:jc w:val="left"/>
            </w:pPr>
            <w:r>
              <w:rPr>
                <w:sz w:val="19"/>
              </w:rPr>
              <w:t xml:space="preserve">All schema changes use migrations; the production migration procedure is documented.</w:t>
            </w:r>
          </w:p>
        </w:tc>
      </w:tr>
      <w:tr>
        <w:tc>
          <w:tcPr>
            <w:tcW w:type="dxa" w:w="1361"/>
            <w:shd w:val="clear" w:color="auto" w:fill="FAF6EF"/>
          </w:tcPr>
          <w:p>
            <w:pPr>
              <w:pStyle w:val="Compact"/>
              <w:spacing w:after="20"/>
              <w:jc w:val="left"/>
            </w:pPr>
            <w:r>
              <w:rPr>
                <w:sz w:val="19"/>
              </w:rPr>
              <w:t xml:space="preserve">AC-14</w:t>
            </w:r>
          </w:p>
        </w:tc>
        <w:tc>
          <w:tcPr>
            <w:tcW w:type="dxa" w:w="8277"/>
            <w:shd w:val="clear" w:color="auto" w:fill="FAF6EF"/>
          </w:tcPr>
          <w:p>
            <w:pPr>
              <w:pStyle w:val="Compact"/>
              <w:spacing w:after="20"/>
              <w:jc w:val="left"/>
            </w:pPr>
            <w:r>
              <w:rPr>
                <w:sz w:val="19"/>
              </w:rPr>
              <w:t xml:space="preserve">No secrets are committed or sent to the browser; public traffic uses HTTPS.</w:t>
            </w:r>
          </w:p>
        </w:tc>
      </w:tr>
      <w:tr>
        <w:tc>
          <w:tcPr>
            <w:tcW w:type="dxa" w:w="1361"/>
          </w:tcPr>
          <w:p>
            <w:pPr>
              <w:pStyle w:val="Compact"/>
              <w:spacing w:after="20"/>
              <w:jc w:val="left"/>
            </w:pPr>
            <w:r>
              <w:rPr>
                <w:sz w:val="19"/>
              </w:rPr>
              <w:t xml:space="preserve">AC-15</w:t>
            </w:r>
          </w:p>
        </w:tc>
        <w:tc>
          <w:tcPr>
            <w:tcW w:type="dxa" w:w="8277"/>
          </w:tcPr>
          <w:p>
            <w:pPr>
              <w:pStyle w:val="Compact"/>
              <w:spacing w:after="20"/>
              <w:jc w:val="left"/>
            </w:pPr>
            <w:r>
              <w:rPr>
                <w:sz w:val="19"/>
              </w:rPr>
              <w:t xml:space="preserve">Backups are configured and a restore test has succeeded.</w:t>
            </w:r>
          </w:p>
        </w:tc>
      </w:tr>
      <w:tr>
        <w:tc>
          <w:tcPr>
            <w:tcW w:type="dxa" w:w="1361"/>
            <w:shd w:val="clear" w:color="auto" w:fill="FAF6EF"/>
          </w:tcPr>
          <w:p>
            <w:pPr>
              <w:pStyle w:val="Compact"/>
              <w:spacing w:after="20"/>
              <w:jc w:val="left"/>
            </w:pPr>
            <w:r>
              <w:rPr>
                <w:sz w:val="19"/>
              </w:rPr>
              <w:t xml:space="preserve">AC-16</w:t>
            </w:r>
          </w:p>
        </w:tc>
        <w:tc>
          <w:tcPr>
            <w:tcW w:type="dxa" w:w="8277"/>
            <w:shd w:val="clear" w:color="auto" w:fill="FAF6EF"/>
          </w:tcPr>
          <w:p>
            <w:pPr>
              <w:pStyle w:val="Compact"/>
              <w:spacing w:after="20"/>
              <w:jc w:val="left"/>
            </w:pPr>
            <w:r>
              <w:rPr>
                <w:sz w:val="19"/>
              </w:rPr>
              <w:t xml:space="preserve">The actual printer and Windows and browser workflow have been tested on site or representative hardware.</w:t>
            </w:r>
          </w:p>
        </w:tc>
      </w:tr>
      <w:tr>
        <w:tc>
          <w:tcPr>
            <w:tcW w:type="dxa" w:w="1361"/>
          </w:tcPr>
          <w:p>
            <w:pPr>
              <w:pStyle w:val="Compact"/>
              <w:spacing w:after="20"/>
              <w:jc w:val="left"/>
            </w:pPr>
            <w:r>
              <w:rPr>
                <w:sz w:val="19"/>
              </w:rPr>
              <w:t xml:space="preserve">AC-17</w:t>
            </w:r>
          </w:p>
        </w:tc>
        <w:tc>
          <w:tcPr>
            <w:tcW w:type="dxa" w:w="8277"/>
          </w:tcPr>
          <w:p>
            <w:pPr>
              <w:pStyle w:val="Compact"/>
              <w:spacing w:after="20"/>
              <w:jc w:val="left"/>
            </w:pPr>
            <w:r>
              <w:rPr>
                <w:sz w:val="19"/>
              </w:rPr>
              <w:t xml:space="preserve">The manual outage and reconciliation procedure is documented and staff understand online-first limits.</w:t>
            </w:r>
          </w:p>
        </w:tc>
      </w:tr>
      <w:tr>
        <w:tc>
          <w:tcPr>
            <w:tcW w:type="dxa" w:w="1361"/>
            <w:shd w:val="clear" w:color="auto" w:fill="FAF6EF"/>
          </w:tcPr>
          <w:p>
            <w:pPr>
              <w:pStyle w:val="Compact"/>
              <w:spacing w:after="20"/>
              <w:jc w:val="left"/>
            </w:pPr>
            <w:r>
              <w:rPr>
                <w:sz w:val="19"/>
              </w:rPr>
              <w:t xml:space="preserve">AC-18</w:t>
            </w:r>
          </w:p>
        </w:tc>
        <w:tc>
          <w:tcPr>
            <w:tcW w:type="dxa" w:w="8277"/>
            <w:shd w:val="clear" w:color="auto" w:fill="FAF6EF"/>
          </w:tcPr>
          <w:p>
            <w:pPr>
              <w:pStyle w:val="Compact"/>
              <w:spacing w:after="20"/>
              <w:jc w:val="left"/>
            </w:pPr>
            <w:r>
              <w:rPr>
                <w:sz w:val="19"/>
              </w:rPr>
              <w:t xml:space="preserve">The eTIMS route and invoice states are documented and tested before any compliance claim.</w:t>
            </w:r>
          </w:p>
        </w:tc>
      </w:tr>
      <w:tr>
        <w:tc>
          <w:tcPr>
            <w:tcW w:type="dxa" w:w="1361"/>
          </w:tcPr>
          <w:p>
            <w:pPr>
              <w:pStyle w:val="Compact"/>
              <w:spacing w:after="20"/>
              <w:jc w:val="left"/>
            </w:pPr>
            <w:r>
              <w:rPr>
                <w:sz w:val="19"/>
              </w:rPr>
              <w:t xml:space="preserve">AC-19</w:t>
            </w:r>
          </w:p>
        </w:tc>
        <w:tc>
          <w:tcPr>
            <w:tcW w:type="dxa" w:w="8277"/>
          </w:tcPr>
          <w:p>
            <w:pPr>
              <w:pStyle w:val="Compact"/>
              <w:spacing w:after="20"/>
              <w:jc w:val="left"/>
            </w:pPr>
            <w:r>
              <w:rPr>
                <w:sz w:val="19"/>
              </w:rPr>
              <w:t xml:space="preserve">M-Pesa paid status rests on the verified flow, not a typed reference.</w:t>
            </w:r>
          </w:p>
        </w:tc>
      </w:tr>
      <w:tr>
        <w:tc>
          <w:tcPr>
            <w:tcW w:type="dxa" w:w="1361"/>
            <w:shd w:val="clear" w:color="auto" w:fill="FAF6EF"/>
          </w:tcPr>
          <w:p>
            <w:pPr>
              <w:pStyle w:val="Compact"/>
              <w:spacing w:after="20"/>
              <w:jc w:val="left"/>
            </w:pPr>
            <w:r>
              <w:rPr>
                <w:sz w:val="19"/>
              </w:rPr>
              <w:t xml:space="preserve">AC-20</w:t>
            </w:r>
          </w:p>
        </w:tc>
        <w:tc>
          <w:tcPr>
            <w:tcW w:type="dxa" w:w="8277"/>
            <w:shd w:val="clear" w:color="auto" w:fill="FAF6EF"/>
          </w:tcPr>
          <w:p>
            <w:pPr>
              <w:pStyle w:val="Compact"/>
              <w:spacing w:after="20"/>
              <w:jc w:val="left"/>
            </w:pPr>
            <w:r>
              <w:rPr>
                <w:sz w:val="19"/>
              </w:rPr>
              <w:t xml:space="preserve">Reports distinguish sales, collections, balances due, expenses and estimated gross profit.</w:t>
            </w:r>
          </w:p>
        </w:tc>
      </w:tr>
      <w:tr>
        <w:tc>
          <w:tcPr>
            <w:tcW w:type="dxa" w:w="1361"/>
          </w:tcPr>
          <w:p>
            <w:pPr>
              <w:pStyle w:val="Compact"/>
              <w:spacing w:after="20"/>
              <w:jc w:val="left"/>
            </w:pPr>
            <w:r>
              <w:rPr>
                <w:sz w:val="19"/>
              </w:rPr>
              <w:t xml:space="preserve">AC-21</w:t>
            </w:r>
          </w:p>
        </w:tc>
        <w:tc>
          <w:tcPr>
            <w:tcW w:type="dxa" w:w="8277"/>
          </w:tcPr>
          <w:p>
            <w:pPr>
              <w:pStyle w:val="Compact"/>
              <w:spacing w:after="20"/>
              <w:jc w:val="left"/>
            </w:pPr>
            <w:r>
              <w:rPr>
                <w:sz w:val="19"/>
              </w:rPr>
              <w:t xml:space="preserve">Training, known limitations, deployment details and handover are completed.</w:t>
            </w:r>
          </w:p>
        </w:tc>
      </w:tr>
    </w:tbl>
    <w:bookmarkEnd w:id="64"/>
    <w:bookmarkStart w:id="66" w:name="discovery-questions-with-defaults"/>
    <w:p>
      <w:pPr>
        <w:pStyle w:val="Heading1"/>
        <w:spacing w:before="360"/>
        <w:pBdr>
          <w:bottom w:val="single" w:sz="8" w:space="2" w:color="0F766E"/>
        </w:pBdr>
      </w:pPr>
      <w:r>
        <w:t xml:space="preserve">16. Discovery questions with defaults</w:t>
      </w:r>
    </w:p>
    <w:p>
      <w:pPr>
        <w:pStyle w:val="FirstParagraph"/>
        <w:spacing w:after="100"/>
      </w:pPr>
      <w:r>
        <w:t xml:space="preserve">Where the client has not answered, the build proceeds on the default and logs it as an assumption.</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907"/>
        <w:gridCol w:w="4309"/>
        <w:gridCol w:w="4422"/>
      </w:tblGrid>
      <w:tr>
        <w:trPr>
          <w:tblHeader w:val="true"/>
          <w:tblHeader w:val="true"/>
        </w:trPr>
        <w:tc>
          <w:tcPr>
            <w:tcW w:type="dxa" w:w="907"/>
            <w:shd w:val="clear" w:color="auto" w:fill="0E1B2C"/>
          </w:tcPr>
          <w:p>
            <w:pPr>
              <w:pStyle w:val="Compact"/>
              <w:spacing w:after="20"/>
              <w:jc w:val="left"/>
            </w:pPr>
            <w:r>
              <w:rPr>
                <w:b/>
                <w:color w:val="FAF6EF"/>
                <w:sz w:val="19"/>
              </w:rPr>
              <w:t xml:space="preserve">ID</w:t>
            </w:r>
          </w:p>
        </w:tc>
        <w:tc>
          <w:tcPr>
            <w:tcW w:type="dxa" w:w="4309"/>
            <w:shd w:val="clear" w:color="auto" w:fill="0E1B2C"/>
          </w:tcPr>
          <w:p>
            <w:pPr>
              <w:pStyle w:val="Compact"/>
              <w:spacing w:after="20"/>
              <w:jc w:val="left"/>
            </w:pPr>
            <w:r>
              <w:rPr>
                <w:b/>
                <w:color w:val="FAF6EF"/>
                <w:sz w:val="19"/>
              </w:rPr>
              <w:t xml:space="preserve">Question</w:t>
            </w:r>
          </w:p>
        </w:tc>
        <w:tc>
          <w:tcPr>
            <w:tcW w:type="dxa" w:w="4422"/>
            <w:shd w:val="clear" w:color="auto" w:fill="0E1B2C"/>
          </w:tcPr>
          <w:p>
            <w:pPr>
              <w:pStyle w:val="Compact"/>
              <w:spacing w:after="20"/>
              <w:jc w:val="left"/>
            </w:pPr>
            <w:r>
              <w:rPr>
                <w:b/>
                <w:color w:val="FAF6EF"/>
                <w:sz w:val="19"/>
              </w:rPr>
              <w:t xml:space="preserve">Default if unanswered</w:t>
            </w:r>
          </w:p>
        </w:tc>
      </w:tr>
      <w:tr>
        <w:tc>
          <w:tcPr>
            <w:tcW w:type="dxa" w:w="907"/>
          </w:tcPr>
          <w:p>
            <w:pPr>
              <w:pStyle w:val="Compact"/>
              <w:spacing w:after="20"/>
              <w:jc w:val="left"/>
            </w:pPr>
            <w:r>
              <w:rPr>
                <w:sz w:val="19"/>
              </w:rPr>
              <w:t xml:space="preserve">DQ-01</w:t>
            </w:r>
          </w:p>
        </w:tc>
        <w:tc>
          <w:tcPr>
            <w:tcW w:type="dxa" w:w="4309"/>
          </w:tcPr>
          <w:p>
            <w:pPr>
              <w:pStyle w:val="Compact"/>
              <w:spacing w:after="20"/>
              <w:jc w:val="left"/>
            </w:pPr>
            <w:r>
              <w:rPr>
                <w:sz w:val="19"/>
              </w:rPr>
              <w:t xml:space="preserve">Business name, address, receipt header, contact details, logo?</w:t>
            </w:r>
          </w:p>
        </w:tc>
        <w:tc>
          <w:tcPr>
            <w:tcW w:type="dxa" w:w="4422"/>
          </w:tcPr>
          <w:p>
            <w:pPr>
              <w:pStyle w:val="Compact"/>
              <w:spacing w:after="20"/>
              <w:jc w:val="left"/>
            </w:pPr>
            <w:r>
              <w:rPr>
                <w:sz w:val="19"/>
              </w:rPr>
              <w:t xml:space="preserve">Placeholder name</w:t>
            </w:r>
            <w:r>
              <w:rPr>
                <w:sz w:val="19"/>
              </w:rPr>
              <w:t xml:space="preserve"> </w:t>
            </w:r>
            <w:r>
              <w:rPr>
                <w:sz w:val="19"/>
              </w:rPr>
              <w:t xml:space="preserve">“</w:t>
            </w:r>
            <w:r>
              <w:rPr>
                <w:sz w:val="19"/>
              </w:rPr>
              <w:t xml:space="preserve">Zuscar Venue</w:t>
            </w:r>
            <w:r>
              <w:rPr>
                <w:sz w:val="19"/>
              </w:rPr>
              <w:t xml:space="preserve">”</w:t>
            </w:r>
            <w:r>
              <w:rPr>
                <w:sz w:val="19"/>
              </w:rPr>
              <w:t xml:space="preserve">; text header; logo from the supplied set.</w:t>
            </w:r>
          </w:p>
        </w:tc>
      </w:tr>
      <w:tr>
        <w:tc>
          <w:tcPr>
            <w:tcW w:type="dxa" w:w="907"/>
            <w:shd w:val="clear" w:color="auto" w:fill="FAF6EF"/>
          </w:tcPr>
          <w:p>
            <w:pPr>
              <w:pStyle w:val="Compact"/>
              <w:spacing w:after="20"/>
              <w:jc w:val="left"/>
            </w:pPr>
            <w:r>
              <w:rPr>
                <w:sz w:val="19"/>
              </w:rPr>
              <w:t xml:space="preserve">DQ-02</w:t>
            </w:r>
          </w:p>
        </w:tc>
        <w:tc>
          <w:tcPr>
            <w:tcW w:type="dxa" w:w="4309"/>
            <w:shd w:val="clear" w:color="auto" w:fill="FAF6EF"/>
          </w:tcPr>
          <w:p>
            <w:pPr>
              <w:pStyle w:val="Compact"/>
              <w:spacing w:after="20"/>
              <w:jc w:val="left"/>
            </w:pPr>
            <w:r>
              <w:rPr>
                <w:sz w:val="19"/>
              </w:rPr>
              <w:t xml:space="preserve">Windows PC version, RAM, browser, ports, condition, maintainer?</w:t>
            </w:r>
          </w:p>
        </w:tc>
        <w:tc>
          <w:tcPr>
            <w:tcW w:type="dxa" w:w="4422"/>
            <w:shd w:val="clear" w:color="auto" w:fill="FAF6EF"/>
          </w:tcPr>
          <w:p>
            <w:pPr>
              <w:pStyle w:val="Compact"/>
              <w:spacing w:after="20"/>
              <w:jc w:val="left"/>
            </w:pPr>
            <w:r>
              <w:rPr>
                <w:sz w:val="19"/>
              </w:rPr>
              <w:t xml:space="preserve">Windows 10 or 11, Chrome or Edge current, USB printer.</w:t>
            </w:r>
          </w:p>
        </w:tc>
      </w:tr>
      <w:tr>
        <w:tc>
          <w:tcPr>
            <w:tcW w:type="dxa" w:w="907"/>
          </w:tcPr>
          <w:p>
            <w:pPr>
              <w:pStyle w:val="Compact"/>
              <w:spacing w:after="20"/>
              <w:jc w:val="left"/>
            </w:pPr>
            <w:r>
              <w:rPr>
                <w:sz w:val="19"/>
              </w:rPr>
              <w:t xml:space="preserve">DQ-03</w:t>
            </w:r>
          </w:p>
        </w:tc>
        <w:tc>
          <w:tcPr>
            <w:tcW w:type="dxa" w:w="4309"/>
          </w:tcPr>
          <w:p>
            <w:pPr>
              <w:pStyle w:val="Compact"/>
              <w:spacing w:after="20"/>
              <w:jc w:val="left"/>
            </w:pPr>
            <w:r>
              <w:rPr>
                <w:sz w:val="19"/>
              </w:rPr>
              <w:t xml:space="preserve">Printer model, USB or network, drivers, location?</w:t>
            </w:r>
          </w:p>
        </w:tc>
        <w:tc>
          <w:tcPr>
            <w:tcW w:type="dxa" w:w="4422"/>
          </w:tcPr>
          <w:p>
            <w:pPr>
              <w:pStyle w:val="Compact"/>
              <w:spacing w:after="20"/>
              <w:jc w:val="left"/>
            </w:pPr>
            <w:r>
              <w:rPr>
                <w:sz w:val="19"/>
              </w:rPr>
              <w:t xml:space="preserve">Generic 80 mm ESC/POS-class USB thermal printer; browser printing with a 72 mm print width.</w:t>
            </w:r>
          </w:p>
        </w:tc>
      </w:tr>
      <w:tr>
        <w:tc>
          <w:tcPr>
            <w:tcW w:type="dxa" w:w="907"/>
            <w:shd w:val="clear" w:color="auto" w:fill="FAF6EF"/>
          </w:tcPr>
          <w:p>
            <w:pPr>
              <w:pStyle w:val="Compact"/>
              <w:spacing w:after="20"/>
              <w:jc w:val="left"/>
            </w:pPr>
            <w:r>
              <w:rPr>
                <w:sz w:val="19"/>
              </w:rPr>
              <w:t xml:space="preserve">DQ-04</w:t>
            </w:r>
          </w:p>
        </w:tc>
        <w:tc>
          <w:tcPr>
            <w:tcW w:type="dxa" w:w="4309"/>
            <w:shd w:val="clear" w:color="auto" w:fill="FAF6EF"/>
          </w:tcPr>
          <w:p>
            <w:pPr>
              <w:pStyle w:val="Compact"/>
              <w:spacing w:after="20"/>
              <w:jc w:val="left"/>
            </w:pPr>
            <w:r>
              <w:rPr>
                <w:sz w:val="19"/>
              </w:rPr>
              <w:t xml:space="preserve">Kitchen position relative to cashier; usable screen?</w:t>
            </w:r>
          </w:p>
        </w:tc>
        <w:tc>
          <w:tcPr>
            <w:tcW w:type="dxa" w:w="4422"/>
            <w:shd w:val="clear" w:color="auto" w:fill="FAF6EF"/>
          </w:tcPr>
          <w:p>
            <w:pPr>
              <w:pStyle w:val="Compact"/>
              <w:spacing w:after="20"/>
              <w:jc w:val="left"/>
            </w:pPr>
            <w:r>
              <w:rPr>
                <w:sz w:val="19"/>
              </w:rPr>
              <w:t xml:space="preserve">Kitchen is a short walk away; no screen; paper tickets.</w:t>
            </w:r>
          </w:p>
        </w:tc>
      </w:tr>
      <w:tr>
        <w:tc>
          <w:tcPr>
            <w:tcW w:type="dxa" w:w="907"/>
          </w:tcPr>
          <w:p>
            <w:pPr>
              <w:pStyle w:val="Compact"/>
              <w:spacing w:after="20"/>
              <w:jc w:val="left"/>
            </w:pPr>
            <w:r>
              <w:rPr>
                <w:sz w:val="19"/>
              </w:rPr>
              <w:t xml:space="preserve">DQ-05</w:t>
            </w:r>
          </w:p>
        </w:tc>
        <w:tc>
          <w:tcPr>
            <w:tcW w:type="dxa" w:w="4309"/>
          </w:tcPr>
          <w:p>
            <w:pPr>
              <w:pStyle w:val="Compact"/>
              <w:spacing w:after="20"/>
              <w:jc w:val="left"/>
            </w:pPr>
            <w:r>
              <w:rPr>
                <w:sz w:val="19"/>
              </w:rPr>
              <w:t xml:space="preserve">Internet provider, reliability, router and UPS?</w:t>
            </w:r>
          </w:p>
        </w:tc>
        <w:tc>
          <w:tcPr>
            <w:tcW w:type="dxa" w:w="4422"/>
          </w:tcPr>
          <w:p>
            <w:pPr>
              <w:pStyle w:val="Compact"/>
              <w:spacing w:after="20"/>
              <w:jc w:val="left"/>
            </w:pPr>
            <w:r>
              <w:rPr>
                <w:sz w:val="19"/>
              </w:rPr>
              <w:t xml:space="preserve">Single provider, occasional outages; manual procedure documented.</w:t>
            </w:r>
          </w:p>
        </w:tc>
      </w:tr>
      <w:tr>
        <w:tc>
          <w:tcPr>
            <w:tcW w:type="dxa" w:w="907"/>
            <w:shd w:val="clear" w:color="auto" w:fill="FAF6EF"/>
          </w:tcPr>
          <w:p>
            <w:pPr>
              <w:pStyle w:val="Compact"/>
              <w:spacing w:after="20"/>
              <w:jc w:val="left"/>
            </w:pPr>
            <w:r>
              <w:rPr>
                <w:sz w:val="19"/>
              </w:rPr>
              <w:t xml:space="preserve">DQ-06</w:t>
            </w:r>
          </w:p>
        </w:tc>
        <w:tc>
          <w:tcPr>
            <w:tcW w:type="dxa" w:w="4309"/>
            <w:shd w:val="clear" w:color="auto" w:fill="FAF6EF"/>
          </w:tcPr>
          <w:p>
            <w:pPr>
              <w:pStyle w:val="Compact"/>
              <w:spacing w:after="20"/>
              <w:jc w:val="left"/>
            </w:pPr>
            <w:r>
              <w:rPr>
                <w:sz w:val="19"/>
              </w:rPr>
              <w:t xml:space="preserve">Menu, categories, modifiers, dine-in and takeaway, table layout?</w:t>
            </w:r>
          </w:p>
        </w:tc>
        <w:tc>
          <w:tcPr>
            <w:tcW w:type="dxa" w:w="4422"/>
            <w:shd w:val="clear" w:color="auto" w:fill="FAF6EF"/>
          </w:tcPr>
          <w:p>
            <w:pPr>
              <w:pStyle w:val="Compact"/>
              <w:spacing w:after="20"/>
              <w:jc w:val="left"/>
            </w:pPr>
            <w:r>
              <w:rPr>
                <w:sz w:val="19"/>
              </w:rPr>
              <w:t xml:space="preserve">Sample menu seeded; tables numbered 1 to 20; editable in admin.</w:t>
            </w:r>
          </w:p>
        </w:tc>
      </w:tr>
      <w:tr>
        <w:tc>
          <w:tcPr>
            <w:tcW w:type="dxa" w:w="907"/>
          </w:tcPr>
          <w:p>
            <w:pPr>
              <w:pStyle w:val="Compact"/>
              <w:spacing w:after="20"/>
              <w:jc w:val="left"/>
            </w:pPr>
            <w:r>
              <w:rPr>
                <w:sz w:val="19"/>
              </w:rPr>
              <w:t xml:space="preserve">DQ-07</w:t>
            </w:r>
          </w:p>
        </w:tc>
        <w:tc>
          <w:tcPr>
            <w:tcW w:type="dxa" w:w="4309"/>
          </w:tcPr>
          <w:p>
            <w:pPr>
              <w:pStyle w:val="Compact"/>
              <w:spacing w:after="20"/>
              <w:jc w:val="left"/>
            </w:pPr>
            <w:r>
              <w:rPr>
                <w:sz w:val="19"/>
              </w:rPr>
              <w:t xml:space="preserve">Bar units, conversions, transfers, complimentary and wastage rules?</w:t>
            </w:r>
          </w:p>
        </w:tc>
        <w:tc>
          <w:tcPr>
            <w:tcW w:type="dxa" w:w="4422"/>
          </w:tcPr>
          <w:p>
            <w:pPr>
              <w:pStyle w:val="Compact"/>
              <w:spacing w:after="20"/>
              <w:jc w:val="left"/>
            </w:pPr>
            <w:r>
              <w:rPr>
                <w:sz w:val="19"/>
              </w:rPr>
              <w:t xml:space="preserve">Configurable per item; sample bottle, crate and shot conversions seeded.</w:t>
            </w:r>
          </w:p>
        </w:tc>
      </w:tr>
      <w:tr>
        <w:tc>
          <w:tcPr>
            <w:tcW w:type="dxa" w:w="907"/>
            <w:shd w:val="clear" w:color="auto" w:fill="FAF6EF"/>
          </w:tcPr>
          <w:p>
            <w:pPr>
              <w:pStyle w:val="Compact"/>
              <w:spacing w:after="20"/>
              <w:jc w:val="left"/>
            </w:pPr>
            <w:r>
              <w:rPr>
                <w:sz w:val="19"/>
              </w:rPr>
              <w:t xml:space="preserve">DQ-08</w:t>
            </w:r>
          </w:p>
        </w:tc>
        <w:tc>
          <w:tcPr>
            <w:tcW w:type="dxa" w:w="4309"/>
            <w:shd w:val="clear" w:color="auto" w:fill="FAF6EF"/>
          </w:tcPr>
          <w:p>
            <w:pPr>
              <w:pStyle w:val="Compact"/>
              <w:spacing w:after="20"/>
              <w:jc w:val="left"/>
            </w:pPr>
            <w:r>
              <w:rPr>
                <w:sz w:val="19"/>
              </w:rPr>
              <w:t xml:space="preserve">Recipes and portions available and maintainable?</w:t>
            </w:r>
          </w:p>
        </w:tc>
        <w:tc>
          <w:tcPr>
            <w:tcW w:type="dxa" w:w="4422"/>
            <w:shd w:val="clear" w:color="auto" w:fill="FAF6EF"/>
          </w:tcPr>
          <w:p>
            <w:pPr>
              <w:pStyle w:val="Compact"/>
              <w:spacing w:after="20"/>
              <w:jc w:val="left"/>
            </w:pPr>
            <w:r>
              <w:rPr>
                <w:sz w:val="19"/>
              </w:rPr>
              <w:t xml:space="preserve">Recipes optional and off; deduct stock per sold unit only for items marked as stock-tracked.</w:t>
            </w:r>
          </w:p>
        </w:tc>
      </w:tr>
      <w:tr>
        <w:tc>
          <w:tcPr>
            <w:tcW w:type="dxa" w:w="907"/>
          </w:tcPr>
          <w:p>
            <w:pPr>
              <w:pStyle w:val="Compact"/>
              <w:spacing w:after="20"/>
              <w:jc w:val="left"/>
            </w:pPr>
            <w:r>
              <w:rPr>
                <w:sz w:val="19"/>
              </w:rPr>
              <w:t xml:space="preserve">DQ-09</w:t>
            </w:r>
          </w:p>
        </w:tc>
        <w:tc>
          <w:tcPr>
            <w:tcW w:type="dxa" w:w="4309"/>
          </w:tcPr>
          <w:p>
            <w:pPr>
              <w:pStyle w:val="Compact"/>
              <w:spacing w:after="20"/>
              <w:jc w:val="left"/>
            </w:pPr>
            <w:r>
              <w:rPr>
                <w:sz w:val="19"/>
              </w:rPr>
              <w:t xml:space="preserve">Rooms, types, rates, check-in and out times, deposits, cancellation and no-show rules, blocking statuses?</w:t>
            </w:r>
          </w:p>
        </w:tc>
        <w:tc>
          <w:tcPr>
            <w:tcW w:type="dxa" w:w="4422"/>
          </w:tcPr>
          <w:p>
            <w:pPr>
              <w:pStyle w:val="Compact"/>
              <w:spacing w:after="20"/>
              <w:jc w:val="left"/>
            </w:pPr>
            <w:r>
              <w:rPr>
                <w:sz w:val="19"/>
              </w:rPr>
              <w:t xml:space="preserve">13 rooms in 3 types; check-in 14:00, check-out 11:00; confirmed and checked_in block; tentative does not.</w:t>
            </w:r>
          </w:p>
        </w:tc>
      </w:tr>
      <w:tr>
        <w:tc>
          <w:tcPr>
            <w:tcW w:type="dxa" w:w="907"/>
            <w:shd w:val="clear" w:color="auto" w:fill="FAF6EF"/>
          </w:tcPr>
          <w:p>
            <w:pPr>
              <w:pStyle w:val="Compact"/>
              <w:spacing w:after="20"/>
              <w:jc w:val="left"/>
            </w:pPr>
            <w:r>
              <w:rPr>
                <w:sz w:val="19"/>
              </w:rPr>
              <w:t xml:space="preserve">DQ-10</w:t>
            </w:r>
          </w:p>
        </w:tc>
        <w:tc>
          <w:tcPr>
            <w:tcW w:type="dxa" w:w="4309"/>
            <w:shd w:val="clear" w:color="auto" w:fill="FAF6EF"/>
          </w:tcPr>
          <w:p>
            <w:pPr>
              <w:pStyle w:val="Compact"/>
              <w:spacing w:after="20"/>
              <w:jc w:val="left"/>
            </w:pPr>
            <w:r>
              <w:rPr>
                <w:sz w:val="19"/>
              </w:rPr>
              <w:t xml:space="preserve">Payment methods today; M-Pesa Till, Paybill, STK Push or C2B; account owner?</w:t>
            </w:r>
          </w:p>
        </w:tc>
        <w:tc>
          <w:tcPr>
            <w:tcW w:type="dxa" w:w="4422"/>
            <w:shd w:val="clear" w:color="auto" w:fill="FAF6EF"/>
          </w:tcPr>
          <w:p>
            <w:pPr>
              <w:pStyle w:val="Compact"/>
              <w:spacing w:after="20"/>
              <w:jc w:val="left"/>
            </w:pPr>
            <w:r>
              <w:rPr>
                <w:sz w:val="19"/>
              </w:rPr>
              <w:t xml:space="preserve">Cash, M-Pesa (manual, pending confirmation), card or bank (manual).</w:t>
            </w:r>
          </w:p>
        </w:tc>
      </w:tr>
      <w:tr>
        <w:tc>
          <w:tcPr>
            <w:tcW w:type="dxa" w:w="907"/>
          </w:tcPr>
          <w:p>
            <w:pPr>
              <w:pStyle w:val="Compact"/>
              <w:spacing w:after="20"/>
              <w:jc w:val="left"/>
            </w:pPr>
            <w:r>
              <w:rPr>
                <w:sz w:val="19"/>
              </w:rPr>
              <w:t xml:space="preserve">DQ-11</w:t>
            </w:r>
          </w:p>
        </w:tc>
        <w:tc>
          <w:tcPr>
            <w:tcW w:type="dxa" w:w="4309"/>
          </w:tcPr>
          <w:p>
            <w:pPr>
              <w:pStyle w:val="Compact"/>
              <w:spacing w:after="20"/>
              <w:jc w:val="left"/>
            </w:pPr>
            <w:r>
              <w:rPr>
                <w:sz w:val="19"/>
              </w:rPr>
              <w:t xml:space="preserve">eTIMS, ETR or TIMS setup and obligation?</w:t>
            </w:r>
          </w:p>
        </w:tc>
        <w:tc>
          <w:tcPr>
            <w:tcW w:type="dxa" w:w="4422"/>
          </w:tcPr>
          <w:p>
            <w:pPr>
              <w:pStyle w:val="Compact"/>
              <w:spacing w:after="20"/>
              <w:jc w:val="left"/>
            </w:pPr>
            <w:r>
              <w:rPr>
                <w:sz w:val="19"/>
              </w:rPr>
              <w:t xml:space="preserve">None assumed; tax-invoice module stays a documented stub (DG-01).</w:t>
            </w:r>
          </w:p>
        </w:tc>
      </w:tr>
      <w:tr>
        <w:tc>
          <w:tcPr>
            <w:tcW w:type="dxa" w:w="907"/>
            <w:shd w:val="clear" w:color="auto" w:fill="FAF6EF"/>
          </w:tcPr>
          <w:p>
            <w:pPr>
              <w:pStyle w:val="Compact"/>
              <w:spacing w:after="20"/>
              <w:jc w:val="left"/>
            </w:pPr>
            <w:r>
              <w:rPr>
                <w:sz w:val="19"/>
              </w:rPr>
              <w:t xml:space="preserve">DQ-12</w:t>
            </w:r>
          </w:p>
        </w:tc>
        <w:tc>
          <w:tcPr>
            <w:tcW w:type="dxa" w:w="4309"/>
            <w:shd w:val="clear" w:color="auto" w:fill="FAF6EF"/>
          </w:tcPr>
          <w:p>
            <w:pPr>
              <w:pStyle w:val="Compact"/>
              <w:spacing w:after="20"/>
              <w:jc w:val="left"/>
            </w:pPr>
            <w:r>
              <w:rPr>
                <w:sz w:val="19"/>
              </w:rPr>
              <w:t xml:space="preserve">VAT and levy treatment, price inclusivity, receipt gap rules, meaning of profit?</w:t>
            </w:r>
          </w:p>
        </w:tc>
        <w:tc>
          <w:tcPr>
            <w:tcW w:type="dxa" w:w="4422"/>
            <w:shd w:val="clear" w:color="auto" w:fill="FAF6EF"/>
          </w:tcPr>
          <w:p>
            <w:pPr>
              <w:pStyle w:val="Compact"/>
              <w:spacing w:after="20"/>
              <w:jc w:val="left"/>
            </w:pPr>
            <w:r>
              <w:rPr>
                <w:sz w:val="19"/>
              </w:rPr>
              <w:t xml:space="preserve">Prices tax-inclusive at a configurable rate; gapless receipt numbers; profit = sales minus recorded stock cost minus expenses, labelled estimated.</w:t>
            </w:r>
          </w:p>
        </w:tc>
      </w:tr>
      <w:tr>
        <w:tc>
          <w:tcPr>
            <w:tcW w:type="dxa" w:w="907"/>
          </w:tcPr>
          <w:p>
            <w:pPr>
              <w:pStyle w:val="Compact"/>
              <w:spacing w:after="20"/>
              <w:jc w:val="left"/>
            </w:pPr>
            <w:r>
              <w:rPr>
                <w:sz w:val="19"/>
              </w:rPr>
              <w:t xml:space="preserve">DQ-13</w:t>
            </w:r>
          </w:p>
        </w:tc>
        <w:tc>
          <w:tcPr>
            <w:tcW w:type="dxa" w:w="4309"/>
          </w:tcPr>
          <w:p>
            <w:pPr>
              <w:pStyle w:val="Compact"/>
              <w:spacing w:after="20"/>
              <w:jc w:val="left"/>
            </w:pPr>
            <w:r>
              <w:rPr>
                <w:sz w:val="19"/>
              </w:rPr>
              <w:t xml:space="preserve">Staff list, role needs, authorised Super Admin, recovery process?</w:t>
            </w:r>
          </w:p>
        </w:tc>
        <w:tc>
          <w:tcPr>
            <w:tcW w:type="dxa" w:w="4422"/>
          </w:tcPr>
          <w:p>
            <w:pPr>
              <w:pStyle w:val="Compact"/>
              <w:spacing w:after="20"/>
              <w:jc w:val="left"/>
            </w:pPr>
            <w:r>
              <w:rPr>
                <w:sz w:val="19"/>
              </w:rPr>
              <w:t xml:space="preserve">Starter roles as in section 4; owner is Super Admin.</w:t>
            </w:r>
          </w:p>
        </w:tc>
      </w:tr>
      <w:tr>
        <w:tc>
          <w:tcPr>
            <w:tcW w:type="dxa" w:w="907"/>
            <w:shd w:val="clear" w:color="auto" w:fill="FAF6EF"/>
          </w:tcPr>
          <w:p>
            <w:pPr>
              <w:pStyle w:val="Compact"/>
              <w:spacing w:after="20"/>
              <w:jc w:val="left"/>
            </w:pPr>
            <w:r>
              <w:rPr>
                <w:sz w:val="19"/>
              </w:rPr>
              <w:t xml:space="preserve">DQ-14</w:t>
            </w:r>
          </w:p>
        </w:tc>
        <w:tc>
          <w:tcPr>
            <w:tcW w:type="dxa" w:w="4309"/>
            <w:shd w:val="clear" w:color="auto" w:fill="FAF6EF"/>
          </w:tcPr>
          <w:p>
            <w:pPr>
              <w:pStyle w:val="Compact"/>
              <w:spacing w:after="20"/>
              <w:jc w:val="left"/>
            </w:pPr>
            <w:r>
              <w:rPr>
                <w:sz w:val="19"/>
              </w:rPr>
              <w:t xml:space="preserve">Management reports needed?</w:t>
            </w:r>
          </w:p>
        </w:tc>
        <w:tc>
          <w:tcPr>
            <w:tcW w:type="dxa" w:w="4422"/>
            <w:shd w:val="clear" w:color="auto" w:fill="FAF6EF"/>
          </w:tcPr>
          <w:p>
            <w:pPr>
              <w:pStyle w:val="Compact"/>
              <w:spacing w:after="20"/>
              <w:jc w:val="left"/>
            </w:pPr>
            <w:r>
              <w:rPr>
                <w:sz w:val="19"/>
              </w:rPr>
              <w:t xml:space="preserve">Reports in section 7.8.</w:t>
            </w:r>
          </w:p>
        </w:tc>
      </w:tr>
      <w:tr>
        <w:tc>
          <w:tcPr>
            <w:tcW w:type="dxa" w:w="907"/>
          </w:tcPr>
          <w:p>
            <w:pPr>
              <w:pStyle w:val="Compact"/>
              <w:spacing w:after="20"/>
              <w:jc w:val="left"/>
            </w:pPr>
            <w:r>
              <w:rPr>
                <w:sz w:val="19"/>
              </w:rPr>
              <w:t xml:space="preserve">DQ-15</w:t>
            </w:r>
          </w:p>
        </w:tc>
        <w:tc>
          <w:tcPr>
            <w:tcW w:type="dxa" w:w="4309"/>
          </w:tcPr>
          <w:p>
            <w:pPr>
              <w:pStyle w:val="Compact"/>
              <w:spacing w:after="20"/>
              <w:jc w:val="left"/>
            </w:pPr>
            <w:r>
              <w:rPr>
                <w:sz w:val="19"/>
              </w:rPr>
              <w:t xml:space="preserve">Budget for build, hosting, domain, hardware, support, integrations?</w:t>
            </w:r>
          </w:p>
        </w:tc>
        <w:tc>
          <w:tcPr>
            <w:tcW w:type="dxa" w:w="4422"/>
          </w:tcPr>
          <w:p>
            <w:pPr>
              <w:pStyle w:val="Compact"/>
              <w:spacing w:after="20"/>
              <w:jc w:val="left"/>
            </w:pPr>
            <w:r>
              <w:rPr>
                <w:sz w:val="19"/>
              </w:rPr>
              <w:t xml:space="preserve">Not assumed; paid always-on tiers recommended for live use.</w:t>
            </w:r>
          </w:p>
        </w:tc>
      </w:tr>
      <w:tr>
        <w:tc>
          <w:tcPr>
            <w:tcW w:type="dxa" w:w="907"/>
            <w:shd w:val="clear" w:color="auto" w:fill="FAF6EF"/>
          </w:tcPr>
          <w:p>
            <w:pPr>
              <w:pStyle w:val="Compact"/>
              <w:spacing w:after="20"/>
              <w:jc w:val="left"/>
            </w:pPr>
            <w:r>
              <w:rPr>
                <w:sz w:val="19"/>
              </w:rPr>
              <w:t xml:space="preserve">DQ-16</w:t>
            </w:r>
          </w:p>
        </w:tc>
        <w:tc>
          <w:tcPr>
            <w:tcW w:type="dxa" w:w="4309"/>
            <w:shd w:val="clear" w:color="auto" w:fill="FAF6EF"/>
          </w:tcPr>
          <w:p>
            <w:pPr>
              <w:pStyle w:val="Compact"/>
              <w:spacing w:after="20"/>
              <w:jc w:val="left"/>
            </w:pPr>
            <w:r>
              <w:rPr>
                <w:sz w:val="19"/>
              </w:rPr>
              <w:t xml:space="preserve">Go-live date, testers and approvers per module?</w:t>
            </w:r>
          </w:p>
        </w:tc>
        <w:tc>
          <w:tcPr>
            <w:tcW w:type="dxa" w:w="4422"/>
            <w:shd w:val="clear" w:color="auto" w:fill="FAF6EF"/>
          </w:tcPr>
          <w:p>
            <w:pPr>
              <w:pStyle w:val="Compact"/>
              <w:spacing w:after="20"/>
              <w:jc w:val="left"/>
            </w:pPr>
            <w:r>
              <w:rPr>
                <w:sz w:val="19"/>
              </w:rPr>
              <w:t xml:space="preserve">No date; pilot after Phase 7.</w:t>
            </w:r>
          </w:p>
        </w:tc>
      </w:tr>
      <w:tr>
        <w:tc>
          <w:tcPr>
            <w:tcW w:type="dxa" w:w="907"/>
          </w:tcPr>
          <w:p>
            <w:pPr>
              <w:pStyle w:val="Compact"/>
              <w:spacing w:after="20"/>
              <w:jc w:val="left"/>
            </w:pPr>
            <w:r>
              <w:rPr>
                <w:sz w:val="19"/>
              </w:rPr>
              <w:t xml:space="preserve">DQ-17</w:t>
            </w:r>
          </w:p>
        </w:tc>
        <w:tc>
          <w:tcPr>
            <w:tcW w:type="dxa" w:w="4309"/>
          </w:tcPr>
          <w:p>
            <w:pPr>
              <w:pStyle w:val="Compact"/>
              <w:spacing w:after="20"/>
              <w:jc w:val="left"/>
            </w:pPr>
            <w:r>
              <w:rPr>
                <w:sz w:val="19"/>
              </w:rPr>
              <w:t xml:space="preserve">Data to import from spreadsheets or paper?</w:t>
            </w:r>
          </w:p>
        </w:tc>
        <w:tc>
          <w:tcPr>
            <w:tcW w:type="dxa" w:w="4422"/>
          </w:tcPr>
          <w:p>
            <w:pPr>
              <w:pStyle w:val="Compact"/>
              <w:spacing w:after="20"/>
              <w:jc w:val="left"/>
            </w:pPr>
            <w:r>
              <w:rPr>
                <w:sz w:val="19"/>
              </w:rPr>
              <w:t xml:space="preserve">None in v1; CSV import is a Could.</w:t>
            </w:r>
          </w:p>
        </w:tc>
      </w:tr>
      <w:tr>
        <w:tc>
          <w:tcPr>
            <w:tcW w:type="dxa" w:w="907"/>
            <w:shd w:val="clear" w:color="auto" w:fill="FAF6EF"/>
          </w:tcPr>
          <w:p>
            <w:pPr>
              <w:pStyle w:val="Compact"/>
              <w:spacing w:after="20"/>
              <w:jc w:val="left"/>
            </w:pPr>
            <w:r>
              <w:rPr>
                <w:sz w:val="19"/>
              </w:rPr>
              <w:t xml:space="preserve">DQ-18</w:t>
            </w:r>
          </w:p>
        </w:tc>
        <w:tc>
          <w:tcPr>
            <w:tcW w:type="dxa" w:w="4309"/>
            <w:shd w:val="clear" w:color="auto" w:fill="FAF6EF"/>
          </w:tcPr>
          <w:p>
            <w:pPr>
              <w:pStyle w:val="Compact"/>
              <w:spacing w:after="20"/>
              <w:jc w:val="left"/>
            </w:pPr>
            <w:r>
              <w:rPr>
                <w:sz w:val="19"/>
              </w:rPr>
              <w:t xml:space="preserve">Retention, privacy, backup and support expectations?</w:t>
            </w:r>
          </w:p>
        </w:tc>
        <w:tc>
          <w:tcPr>
            <w:tcW w:type="dxa" w:w="4422"/>
            <w:shd w:val="clear" w:color="auto" w:fill="FAF6EF"/>
          </w:tcPr>
          <w:p>
            <w:pPr>
              <w:pStyle w:val="Compact"/>
              <w:spacing w:after="20"/>
              <w:jc w:val="left"/>
            </w:pPr>
            <w:r>
              <w:rPr>
                <w:sz w:val="19"/>
              </w:rPr>
              <w:t xml:space="preserve">Audit logs kept 7 years; daily backups; restore tested before go-live.</w:t>
            </w:r>
          </w:p>
        </w:tc>
      </w:tr>
    </w:tbl>
    <w:bookmarkStart w:id="65" w:name="decision-gates"/>
    <w:p>
      <w:pPr>
        <w:pStyle w:val="Heading2"/>
      </w:pPr>
      <w:r>
        <w:t xml:space="preserve">16.1 Decision gates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020"/>
        <w:gridCol w:w="3628"/>
        <w:gridCol w:w="4989"/>
      </w:tblGrid>
      <w:tr>
        <w:trPr>
          <w:tblHeader w:val="true"/>
          <w:tblHeader w:val="true"/>
        </w:trPr>
        <w:tc>
          <w:tcPr>
            <w:tcW w:type="dxa" w:w="1020"/>
            <w:shd w:val="clear" w:color="auto" w:fill="0E1B2C"/>
          </w:tcPr>
          <w:p>
            <w:pPr>
              <w:pStyle w:val="Compact"/>
              <w:spacing w:after="20"/>
              <w:jc w:val="left"/>
            </w:pPr>
            <w:r>
              <w:rPr>
                <w:b/>
                <w:color w:val="FAF6EF"/>
                <w:sz w:val="19"/>
              </w:rPr>
              <w:t xml:space="preserve">ID</w:t>
            </w:r>
          </w:p>
        </w:tc>
        <w:tc>
          <w:tcPr>
            <w:tcW w:type="dxa" w:w="3628"/>
            <w:shd w:val="clear" w:color="auto" w:fill="0E1B2C"/>
          </w:tcPr>
          <w:p>
            <w:pPr>
              <w:pStyle w:val="Compact"/>
              <w:spacing w:after="20"/>
              <w:jc w:val="left"/>
            </w:pPr>
            <w:r>
              <w:rPr>
                <w:b/>
                <w:color w:val="FAF6EF"/>
                <w:sz w:val="19"/>
              </w:rPr>
              <w:t xml:space="preserve">Gate</w:t>
            </w:r>
          </w:p>
        </w:tc>
        <w:tc>
          <w:tcPr>
            <w:tcW w:type="dxa" w:w="4989"/>
            <w:shd w:val="clear" w:color="auto" w:fill="0E1B2C"/>
          </w:tcPr>
          <w:p>
            <w:pPr>
              <w:pStyle w:val="Compact"/>
              <w:spacing w:after="20"/>
              <w:jc w:val="left"/>
            </w:pPr>
            <w:r>
              <w:rPr>
                <w:b/>
                <w:color w:val="FAF6EF"/>
                <w:sz w:val="19"/>
              </w:rPr>
              <w:t xml:space="preserve">What must be verified before work starts</w:t>
            </w:r>
          </w:p>
        </w:tc>
      </w:tr>
      <w:tr>
        <w:tc>
          <w:tcPr>
            <w:tcW w:type="dxa" w:w="1020"/>
          </w:tcPr>
          <w:p>
            <w:pPr>
              <w:pStyle w:val="Compact"/>
              <w:spacing w:after="20"/>
              <w:jc w:val="left"/>
            </w:pPr>
            <w:r>
              <w:rPr>
                <w:sz w:val="19"/>
              </w:rPr>
              <w:t xml:space="preserve">DG-01</w:t>
            </w:r>
          </w:p>
        </w:tc>
        <w:tc>
          <w:tcPr>
            <w:tcW w:type="dxa" w:w="3628"/>
          </w:tcPr>
          <w:p>
            <w:pPr>
              <w:pStyle w:val="Compact"/>
              <w:spacing w:after="20"/>
              <w:jc w:val="left"/>
            </w:pPr>
            <w:r>
              <w:rPr>
                <w:sz w:val="19"/>
              </w:rPr>
              <w:t xml:space="preserve">eTIMS</w:t>
            </w:r>
          </w:p>
        </w:tc>
        <w:tc>
          <w:tcPr>
            <w:tcW w:type="dxa" w:w="4989"/>
          </w:tcPr>
          <w:p>
            <w:pPr>
              <w:pStyle w:val="Compact"/>
              <w:spacing w:after="20"/>
              <w:jc w:val="left"/>
            </w:pPr>
            <w:r>
              <w:rPr>
                <w:sz w:val="19"/>
              </w:rPr>
              <w:t xml:space="preserve">Obligation, device or provider, official integration route, credentials, test environment, invoice rules.</w:t>
            </w:r>
          </w:p>
        </w:tc>
      </w:tr>
      <w:tr>
        <w:tc>
          <w:tcPr>
            <w:tcW w:type="dxa" w:w="1020"/>
            <w:shd w:val="clear" w:color="auto" w:fill="FAF6EF"/>
          </w:tcPr>
          <w:p>
            <w:pPr>
              <w:pStyle w:val="Compact"/>
              <w:spacing w:after="20"/>
              <w:jc w:val="left"/>
            </w:pPr>
            <w:r>
              <w:rPr>
                <w:sz w:val="19"/>
              </w:rPr>
              <w:t xml:space="preserve">DG-02</w:t>
            </w:r>
          </w:p>
        </w:tc>
        <w:tc>
          <w:tcPr>
            <w:tcW w:type="dxa" w:w="3628"/>
            <w:shd w:val="clear" w:color="auto" w:fill="FAF6EF"/>
          </w:tcPr>
          <w:p>
            <w:pPr>
              <w:pStyle w:val="Compact"/>
              <w:spacing w:after="20"/>
              <w:jc w:val="left"/>
            </w:pPr>
            <w:r>
              <w:rPr>
                <w:sz w:val="19"/>
              </w:rPr>
              <w:t xml:space="preserve">M-Pesa API</w:t>
            </w:r>
          </w:p>
        </w:tc>
        <w:tc>
          <w:tcPr>
            <w:tcW w:type="dxa" w:w="4989"/>
            <w:shd w:val="clear" w:color="auto" w:fill="FAF6EF"/>
          </w:tcPr>
          <w:p>
            <w:pPr>
              <w:pStyle w:val="Compact"/>
              <w:spacing w:after="20"/>
              <w:jc w:val="left"/>
            </w:pPr>
            <w:r>
              <w:rPr>
                <w:sz w:val="19"/>
              </w:rPr>
              <w:t xml:space="preserve">Account type, Daraja or provider access, callback URL requirements, credentials owner, reconciliation process.</w:t>
            </w:r>
          </w:p>
        </w:tc>
      </w:tr>
      <w:tr>
        <w:tc>
          <w:tcPr>
            <w:tcW w:type="dxa" w:w="1020"/>
          </w:tcPr>
          <w:p>
            <w:pPr>
              <w:pStyle w:val="Compact"/>
              <w:spacing w:after="20"/>
              <w:jc w:val="left"/>
            </w:pPr>
            <w:r>
              <w:rPr>
                <w:sz w:val="19"/>
              </w:rPr>
              <w:t xml:space="preserve">DG-03</w:t>
            </w:r>
          </w:p>
        </w:tc>
        <w:tc>
          <w:tcPr>
            <w:tcW w:type="dxa" w:w="3628"/>
          </w:tcPr>
          <w:p>
            <w:pPr>
              <w:pStyle w:val="Compact"/>
              <w:spacing w:after="20"/>
              <w:jc w:val="left"/>
            </w:pPr>
            <w:r>
              <w:rPr>
                <w:sz w:val="19"/>
              </w:rPr>
              <w:t xml:space="preserve">Direct printing</w:t>
            </w:r>
          </w:p>
        </w:tc>
        <w:tc>
          <w:tcPr>
            <w:tcW w:type="dxa" w:w="4989"/>
          </w:tcPr>
          <w:p>
            <w:pPr>
              <w:pStyle w:val="Compact"/>
              <w:spacing w:after="20"/>
              <w:jc w:val="left"/>
            </w:pPr>
            <w:r>
              <w:rPr>
                <w:sz w:val="19"/>
              </w:rPr>
              <w:t xml:space="preserve">Browser printing results on the real printer; decide whether a Windows print bridge is needed.</w:t>
            </w:r>
          </w:p>
        </w:tc>
      </w:tr>
      <w:tr>
        <w:tc>
          <w:tcPr>
            <w:tcW w:type="dxa" w:w="1020"/>
            <w:shd w:val="clear" w:color="auto" w:fill="FAF6EF"/>
          </w:tcPr>
          <w:p>
            <w:pPr>
              <w:pStyle w:val="Compact"/>
              <w:spacing w:after="20"/>
              <w:jc w:val="left"/>
            </w:pPr>
            <w:r>
              <w:rPr>
                <w:sz w:val="19"/>
              </w:rPr>
              <w:t xml:space="preserve">DG-04</w:t>
            </w:r>
          </w:p>
        </w:tc>
        <w:tc>
          <w:tcPr>
            <w:tcW w:type="dxa" w:w="3628"/>
            <w:shd w:val="clear" w:color="auto" w:fill="FAF6EF"/>
          </w:tcPr>
          <w:p>
            <w:pPr>
              <w:pStyle w:val="Compact"/>
              <w:spacing w:after="20"/>
              <w:jc w:val="left"/>
            </w:pPr>
            <w:r>
              <w:rPr>
                <w:sz w:val="19"/>
              </w:rPr>
              <w:t xml:space="preserve">Production plans</w:t>
            </w:r>
          </w:p>
        </w:tc>
        <w:tc>
          <w:tcPr>
            <w:tcW w:type="dxa" w:w="4989"/>
            <w:shd w:val="clear" w:color="auto" w:fill="FAF6EF"/>
          </w:tcPr>
          <w:p>
            <w:pPr>
              <w:pStyle w:val="Compact"/>
              <w:spacing w:after="20"/>
              <w:jc w:val="left"/>
            </w:pPr>
            <w:r>
              <w:rPr>
                <w:sz w:val="19"/>
              </w:rPr>
              <w:t xml:space="preserve">Render and Supabase plans confirmed always-on, with backups.</w:t>
            </w:r>
          </w:p>
        </w:tc>
      </w:tr>
    </w:tbl>
    <w:bookmarkEnd w:id="65"/>
    <w:bookmarkEnd w:id="66"/>
    <w:bookmarkStart w:id="67" w:name="decision-log-architecture-decisions"/>
    <w:p>
      <w:pPr>
        <w:pStyle w:val="Heading1"/>
        <w:spacing w:before="360"/>
        <w:pBdr>
          <w:bottom w:val="single" w:sz="8" w:space="2" w:color="0F766E"/>
        </w:pBdr>
      </w:pPr>
      <w:r>
        <w:t xml:space="preserve">17. Decision log (architecture decisions)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020"/>
        <w:gridCol w:w="3628"/>
        <w:gridCol w:w="4989"/>
      </w:tblGrid>
      <w:tr>
        <w:trPr>
          <w:tblHeader w:val="true"/>
          <w:tblHeader w:val="true"/>
        </w:trPr>
        <w:tc>
          <w:tcPr>
            <w:tcW w:type="dxa" w:w="1020"/>
            <w:shd w:val="clear" w:color="auto" w:fill="0E1B2C"/>
          </w:tcPr>
          <w:p>
            <w:pPr>
              <w:pStyle w:val="Compact"/>
              <w:spacing w:after="20"/>
              <w:jc w:val="left"/>
            </w:pPr>
            <w:r>
              <w:rPr>
                <w:b/>
                <w:color w:val="FAF6EF"/>
                <w:sz w:val="19"/>
              </w:rPr>
              <w:t xml:space="preserve">ID</w:t>
            </w:r>
          </w:p>
        </w:tc>
        <w:tc>
          <w:tcPr>
            <w:tcW w:type="dxa" w:w="3628"/>
            <w:shd w:val="clear" w:color="auto" w:fill="0E1B2C"/>
          </w:tcPr>
          <w:p>
            <w:pPr>
              <w:pStyle w:val="Compact"/>
              <w:spacing w:after="20"/>
              <w:jc w:val="left"/>
            </w:pPr>
            <w:r>
              <w:rPr>
                <w:b/>
                <w:color w:val="FAF6EF"/>
                <w:sz w:val="19"/>
              </w:rPr>
              <w:t xml:space="preserve">Decision</w:t>
            </w:r>
          </w:p>
        </w:tc>
        <w:tc>
          <w:tcPr>
            <w:tcW w:type="dxa" w:w="4989"/>
            <w:shd w:val="clear" w:color="auto" w:fill="0E1B2C"/>
          </w:tcPr>
          <w:p>
            <w:pPr>
              <w:pStyle w:val="Compact"/>
              <w:spacing w:after="20"/>
              <w:jc w:val="left"/>
            </w:pPr>
            <w:r>
              <w:rPr>
                <w:b/>
                <w:color w:val="FAF6EF"/>
                <w:sz w:val="19"/>
              </w:rPr>
              <w:t xml:space="preserve">Reason</w:t>
            </w:r>
          </w:p>
        </w:tc>
      </w:tr>
      <w:tr>
        <w:tc>
          <w:tcPr>
            <w:tcW w:type="dxa" w:w="1020"/>
          </w:tcPr>
          <w:p>
            <w:pPr>
              <w:pStyle w:val="Compact"/>
              <w:spacing w:after="20"/>
              <w:jc w:val="left"/>
            </w:pPr>
            <w:r>
              <w:rPr>
                <w:sz w:val="19"/>
              </w:rPr>
              <w:t xml:space="preserve">ADR-01</w:t>
            </w:r>
          </w:p>
        </w:tc>
        <w:tc>
          <w:tcPr>
            <w:tcW w:type="dxa" w:w="3628"/>
          </w:tcPr>
          <w:p>
            <w:pPr>
              <w:pStyle w:val="Compact"/>
              <w:spacing w:after="20"/>
              <w:jc w:val="left"/>
            </w:pPr>
            <w:r>
              <w:rPr>
                <w:sz w:val="19"/>
              </w:rPr>
              <w:t xml:space="preserve">Modular monolith in a monorepo</w:t>
            </w:r>
          </w:p>
        </w:tc>
        <w:tc>
          <w:tcPr>
            <w:tcW w:type="dxa" w:w="4989"/>
          </w:tcPr>
          <w:p>
            <w:pPr>
              <w:pStyle w:val="Compact"/>
              <w:spacing w:after="20"/>
              <w:jc w:val="left"/>
            </w:pPr>
            <w:r>
              <w:rPr>
                <w:sz w:val="19"/>
              </w:rPr>
              <w:t xml:space="preserve">One business, small team; avoids distributed complexity.</w:t>
            </w:r>
          </w:p>
        </w:tc>
      </w:tr>
      <w:tr>
        <w:tc>
          <w:tcPr>
            <w:tcW w:type="dxa" w:w="1020"/>
            <w:shd w:val="clear" w:color="auto" w:fill="FAF6EF"/>
          </w:tcPr>
          <w:p>
            <w:pPr>
              <w:pStyle w:val="Compact"/>
              <w:spacing w:after="20"/>
              <w:jc w:val="left"/>
            </w:pPr>
            <w:r>
              <w:rPr>
                <w:sz w:val="19"/>
              </w:rPr>
              <w:t xml:space="preserve">ADR-02</w:t>
            </w:r>
          </w:p>
        </w:tc>
        <w:tc>
          <w:tcPr>
            <w:tcW w:type="dxa" w:w="3628"/>
            <w:shd w:val="clear" w:color="auto" w:fill="FAF6EF"/>
          </w:tcPr>
          <w:p>
            <w:pPr>
              <w:pStyle w:val="Compact"/>
              <w:spacing w:after="20"/>
              <w:jc w:val="left"/>
            </w:pPr>
            <w:r>
              <w:rPr>
                <w:sz w:val="19"/>
              </w:rPr>
              <w:t xml:space="preserve">Go API is the only database client</w:t>
            </w:r>
          </w:p>
        </w:tc>
        <w:tc>
          <w:tcPr>
            <w:tcW w:type="dxa" w:w="4989"/>
            <w:shd w:val="clear" w:color="auto" w:fill="FAF6EF"/>
          </w:tcPr>
          <w:p>
            <w:pPr>
              <w:pStyle w:val="Compact"/>
              <w:spacing w:after="20"/>
              <w:jc w:val="left"/>
            </w:pPr>
            <w:r>
              <w:rPr>
                <w:sz w:val="19"/>
              </w:rPr>
              <w:t xml:space="preserve">Keeps rules and credentials in one place.</w:t>
            </w:r>
          </w:p>
        </w:tc>
      </w:tr>
      <w:tr>
        <w:tc>
          <w:tcPr>
            <w:tcW w:type="dxa" w:w="1020"/>
          </w:tcPr>
          <w:p>
            <w:pPr>
              <w:pStyle w:val="Compact"/>
              <w:spacing w:after="20"/>
              <w:jc w:val="left"/>
            </w:pPr>
            <w:r>
              <w:rPr>
                <w:sz w:val="19"/>
              </w:rPr>
              <w:t xml:space="preserve">ADR-03</w:t>
            </w:r>
          </w:p>
        </w:tc>
        <w:tc>
          <w:tcPr>
            <w:tcW w:type="dxa" w:w="3628"/>
          </w:tcPr>
          <w:p>
            <w:pPr>
              <w:pStyle w:val="Compact"/>
              <w:spacing w:after="20"/>
              <w:jc w:val="left"/>
            </w:pPr>
            <w:r>
              <w:rPr>
                <w:sz w:val="19"/>
              </w:rPr>
              <w:t xml:space="preserve">Integer minor units for money</w:t>
            </w:r>
          </w:p>
        </w:tc>
        <w:tc>
          <w:tcPr>
            <w:tcW w:type="dxa" w:w="4989"/>
          </w:tcPr>
          <w:p>
            <w:pPr>
              <w:pStyle w:val="Compact"/>
              <w:spacing w:after="20"/>
              <w:jc w:val="left"/>
            </w:pPr>
            <w:r>
              <w:rPr>
                <w:sz w:val="19"/>
              </w:rPr>
              <w:t xml:space="preserve">Exact arithmetic, simple constraints.</w:t>
            </w:r>
          </w:p>
        </w:tc>
      </w:tr>
      <w:tr>
        <w:tc>
          <w:tcPr>
            <w:tcW w:type="dxa" w:w="1020"/>
            <w:shd w:val="clear" w:color="auto" w:fill="FAF6EF"/>
          </w:tcPr>
          <w:p>
            <w:pPr>
              <w:pStyle w:val="Compact"/>
              <w:spacing w:after="20"/>
              <w:jc w:val="left"/>
            </w:pPr>
            <w:r>
              <w:rPr>
                <w:sz w:val="19"/>
              </w:rPr>
              <w:t xml:space="preserve">ADR-04</w:t>
            </w:r>
          </w:p>
        </w:tc>
        <w:tc>
          <w:tcPr>
            <w:tcW w:type="dxa" w:w="3628"/>
            <w:shd w:val="clear" w:color="auto" w:fill="FAF6EF"/>
          </w:tcPr>
          <w:p>
            <w:pPr>
              <w:pStyle w:val="Compact"/>
              <w:spacing w:after="20"/>
              <w:jc w:val="left"/>
            </w:pPr>
            <w:r>
              <w:rPr>
                <w:sz w:val="19"/>
              </w:rPr>
              <w:t xml:space="preserve">Server-side sessions in HttpOnly cookies, permissions read per request</w:t>
            </w:r>
          </w:p>
        </w:tc>
        <w:tc>
          <w:tcPr>
            <w:tcW w:type="dxa" w:w="4989"/>
            <w:shd w:val="clear" w:color="auto" w:fill="FAF6EF"/>
          </w:tcPr>
          <w:p>
            <w:pPr>
              <w:pStyle w:val="Compact"/>
              <w:spacing w:after="20"/>
              <w:jc w:val="left"/>
            </w:pPr>
            <w:r>
              <w:rPr>
                <w:sz w:val="19"/>
              </w:rPr>
              <w:t xml:space="preserve">Immediate revocation, no stale claims, simple.</w:t>
            </w:r>
          </w:p>
        </w:tc>
      </w:tr>
      <w:tr>
        <w:tc>
          <w:tcPr>
            <w:tcW w:type="dxa" w:w="1020"/>
          </w:tcPr>
          <w:p>
            <w:pPr>
              <w:pStyle w:val="Compact"/>
              <w:spacing w:after="20"/>
              <w:jc w:val="left"/>
            </w:pPr>
            <w:r>
              <w:rPr>
                <w:sz w:val="19"/>
              </w:rPr>
              <w:t xml:space="preserve">ADR-05</w:t>
            </w:r>
          </w:p>
        </w:tc>
        <w:tc>
          <w:tcPr>
            <w:tcW w:type="dxa" w:w="3628"/>
          </w:tcPr>
          <w:p>
            <w:pPr>
              <w:pStyle w:val="Compact"/>
              <w:spacing w:after="20"/>
              <w:jc w:val="left"/>
            </w:pPr>
            <w:r>
              <w:rPr>
                <w:sz w:val="19"/>
              </w:rPr>
              <w:t xml:space="preserve">Next.js rewrite proxy to the API</w:t>
            </w:r>
          </w:p>
        </w:tc>
        <w:tc>
          <w:tcPr>
            <w:tcW w:type="dxa" w:w="4989"/>
          </w:tcPr>
          <w:p>
            <w:pPr>
              <w:pStyle w:val="Compact"/>
              <w:spacing w:after="20"/>
              <w:jc w:val="left"/>
            </w:pPr>
            <w:r>
              <w:rPr>
                <w:sz w:val="19"/>
              </w:rPr>
              <w:t xml:space="preserve">Single origin for the browser; no cross-site cookie or CORS problems.</w:t>
            </w:r>
          </w:p>
        </w:tc>
      </w:tr>
      <w:tr>
        <w:tc>
          <w:tcPr>
            <w:tcW w:type="dxa" w:w="1020"/>
            <w:shd w:val="clear" w:color="auto" w:fill="FAF6EF"/>
          </w:tcPr>
          <w:p>
            <w:pPr>
              <w:pStyle w:val="Compact"/>
              <w:spacing w:after="20"/>
              <w:jc w:val="left"/>
            </w:pPr>
            <w:r>
              <w:rPr>
                <w:sz w:val="19"/>
              </w:rPr>
              <w:t xml:space="preserve">ADR-06</w:t>
            </w:r>
          </w:p>
        </w:tc>
        <w:tc>
          <w:tcPr>
            <w:tcW w:type="dxa" w:w="3628"/>
            <w:shd w:val="clear" w:color="auto" w:fill="FAF6EF"/>
          </w:tcPr>
          <w:p>
            <w:pPr>
              <w:pStyle w:val="Compact"/>
              <w:spacing w:after="20"/>
              <w:jc w:val="left"/>
            </w:pPr>
            <w:r>
              <w:rPr>
                <w:sz w:val="19"/>
              </w:rPr>
              <w:t xml:space="preserve">Exclusion constraint for room overlap</w:t>
            </w:r>
          </w:p>
        </w:tc>
        <w:tc>
          <w:tcPr>
            <w:tcW w:type="dxa" w:w="4989"/>
            <w:shd w:val="clear" w:color="auto" w:fill="FAF6EF"/>
          </w:tcPr>
          <w:p>
            <w:pPr>
              <w:pStyle w:val="Compact"/>
              <w:spacing w:after="20"/>
              <w:jc w:val="left"/>
            </w:pPr>
            <w:r>
              <w:rPr>
                <w:sz w:val="19"/>
              </w:rPr>
              <w:t xml:space="preserve">Correct under concurrency.</w:t>
            </w:r>
          </w:p>
        </w:tc>
      </w:tr>
      <w:tr>
        <w:tc>
          <w:tcPr>
            <w:tcW w:type="dxa" w:w="1020"/>
          </w:tcPr>
          <w:p>
            <w:pPr>
              <w:pStyle w:val="Compact"/>
              <w:spacing w:after="20"/>
              <w:jc w:val="left"/>
            </w:pPr>
            <w:r>
              <w:rPr>
                <w:sz w:val="19"/>
              </w:rPr>
              <w:t xml:space="preserve">ADR-07</w:t>
            </w:r>
          </w:p>
        </w:tc>
        <w:tc>
          <w:tcPr>
            <w:tcW w:type="dxa" w:w="3628"/>
          </w:tcPr>
          <w:p>
            <w:pPr>
              <w:pStyle w:val="Compact"/>
              <w:spacing w:after="20"/>
              <w:jc w:val="left"/>
            </w:pPr>
            <w:r>
              <w:rPr>
                <w:sz w:val="19"/>
              </w:rPr>
              <w:t xml:space="preserve">Append-only stock ledger with compensating entries</w:t>
            </w:r>
          </w:p>
        </w:tc>
        <w:tc>
          <w:tcPr>
            <w:tcW w:type="dxa" w:w="4989"/>
          </w:tcPr>
          <w:p>
            <w:pPr>
              <w:pStyle w:val="Compact"/>
              <w:spacing w:after="20"/>
              <w:jc w:val="left"/>
            </w:pPr>
            <w:r>
              <w:rPr>
                <w:sz w:val="19"/>
              </w:rPr>
              <w:t xml:space="preserve">Explainable balances.</w:t>
            </w:r>
          </w:p>
        </w:tc>
      </w:tr>
      <w:tr>
        <w:tc>
          <w:tcPr>
            <w:tcW w:type="dxa" w:w="1020"/>
            <w:shd w:val="clear" w:color="auto" w:fill="FAF6EF"/>
          </w:tcPr>
          <w:p>
            <w:pPr>
              <w:pStyle w:val="Compact"/>
              <w:spacing w:after="20"/>
              <w:jc w:val="left"/>
            </w:pPr>
            <w:r>
              <w:rPr>
                <w:sz w:val="19"/>
              </w:rPr>
              <w:t xml:space="preserve">ADR-08</w:t>
            </w:r>
          </w:p>
        </w:tc>
        <w:tc>
          <w:tcPr>
            <w:tcW w:type="dxa" w:w="3628"/>
            <w:shd w:val="clear" w:color="auto" w:fill="FAF6EF"/>
          </w:tcPr>
          <w:p>
            <w:pPr>
              <w:pStyle w:val="Compact"/>
              <w:spacing w:after="20"/>
              <w:jc w:val="left"/>
            </w:pPr>
            <w:r>
              <w:rPr>
                <w:sz w:val="19"/>
              </w:rPr>
              <w:t xml:space="preserve">Idempotency-Key on money and stock endpoints</w:t>
            </w:r>
          </w:p>
        </w:tc>
        <w:tc>
          <w:tcPr>
            <w:tcW w:type="dxa" w:w="4989"/>
            <w:shd w:val="clear" w:color="auto" w:fill="FAF6EF"/>
          </w:tcPr>
          <w:p>
            <w:pPr>
              <w:pStyle w:val="Compact"/>
              <w:spacing w:after="20"/>
              <w:jc w:val="left"/>
            </w:pPr>
            <w:r>
              <w:rPr>
                <w:sz w:val="19"/>
              </w:rPr>
              <w:t xml:space="preserve">Safe retries.</w:t>
            </w:r>
          </w:p>
        </w:tc>
      </w:tr>
      <w:tr>
        <w:tc>
          <w:tcPr>
            <w:tcW w:type="dxa" w:w="1020"/>
          </w:tcPr>
          <w:p>
            <w:pPr>
              <w:pStyle w:val="Compact"/>
              <w:spacing w:after="20"/>
              <w:jc w:val="left"/>
            </w:pPr>
            <w:r>
              <w:rPr>
                <w:sz w:val="19"/>
              </w:rPr>
              <w:t xml:space="preserve">ADR-09</w:t>
            </w:r>
          </w:p>
        </w:tc>
        <w:tc>
          <w:tcPr>
            <w:tcW w:type="dxa" w:w="3628"/>
          </w:tcPr>
          <w:p>
            <w:pPr>
              <w:pStyle w:val="Compact"/>
              <w:spacing w:after="20"/>
              <w:jc w:val="left"/>
            </w:pPr>
            <w:r>
              <w:rPr>
                <w:sz w:val="19"/>
              </w:rPr>
              <w:t xml:space="preserve">Print is separate from persistence</w:t>
            </w:r>
          </w:p>
        </w:tc>
        <w:tc>
          <w:tcPr>
            <w:tcW w:type="dxa" w:w="4989"/>
          </w:tcPr>
          <w:p>
            <w:pPr>
              <w:pStyle w:val="Compact"/>
              <w:spacing w:after="20"/>
              <w:jc w:val="left"/>
            </w:pPr>
            <w:r>
              <w:rPr>
                <w:sz w:val="19"/>
              </w:rPr>
              <w:t xml:space="preserve">Printer faults cannot corrupt sales.</w:t>
            </w:r>
          </w:p>
        </w:tc>
      </w:tr>
      <w:tr>
        <w:tc>
          <w:tcPr>
            <w:tcW w:type="dxa" w:w="1020"/>
            <w:shd w:val="clear" w:color="auto" w:fill="FAF6EF"/>
          </w:tcPr>
          <w:p>
            <w:pPr>
              <w:pStyle w:val="Compact"/>
              <w:spacing w:after="20"/>
              <w:jc w:val="left"/>
            </w:pPr>
            <w:r>
              <w:rPr>
                <w:sz w:val="19"/>
              </w:rPr>
              <w:t xml:space="preserve">ADR-10</w:t>
            </w:r>
          </w:p>
        </w:tc>
        <w:tc>
          <w:tcPr>
            <w:tcW w:type="dxa" w:w="3628"/>
            <w:shd w:val="clear" w:color="auto" w:fill="FAF6EF"/>
          </w:tcPr>
          <w:p>
            <w:pPr>
              <w:pStyle w:val="Compact"/>
              <w:spacing w:after="20"/>
              <w:jc w:val="left"/>
            </w:pPr>
            <w:r>
              <w:rPr>
                <w:sz w:val="19"/>
              </w:rPr>
              <w:t xml:space="preserve">Vercel for frontend, Render for API</w:t>
            </w:r>
          </w:p>
        </w:tc>
        <w:tc>
          <w:tcPr>
            <w:tcW w:type="dxa" w:w="4989"/>
            <w:shd w:val="clear" w:color="auto" w:fill="FAF6EF"/>
          </w:tcPr>
          <w:p>
            <w:pPr>
              <w:pStyle w:val="Compact"/>
              <w:spacing w:after="20"/>
              <w:jc w:val="left"/>
            </w:pPr>
            <w:r>
              <w:rPr>
                <w:sz w:val="19"/>
              </w:rPr>
              <w:t xml:space="preserve">Chosen by the owner; replaces the version 1 statement.</w:t>
            </w:r>
          </w:p>
        </w:tc>
      </w:tr>
    </w:tbl>
    <w:bookmarkEnd w:id="67"/>
    <w:bookmarkStart w:id="68" w:name="Xa9e2259c3a2eb74b32e3554d209de7a52b36cba"/>
    <w:p>
      <w:pPr>
        <w:pStyle w:val="Heading1"/>
        <w:spacing w:before="360"/>
        <w:pBdr>
          <w:bottom w:val="single" w:sz="8" w:space="2" w:color="0F766E"/>
        </w:pBdr>
      </w:pPr>
      <w:r>
        <w:t xml:space="preserve">18. Assumptions (all must be confirmed with the client)</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360"/>
        <w:gridCol w:w="8278"/>
      </w:tblGrid>
      <w:tr>
        <w:trPr>
          <w:tblHeader w:val="true"/>
          <w:tblHeader w:val="true"/>
        </w:trPr>
        <w:tc>
          <w:tcPr>
            <w:tcW w:type="dxa" w:w="1361"/>
            <w:shd w:val="clear" w:color="auto" w:fill="0E1B2C"/>
          </w:tcPr>
          <w:p>
            <w:pPr>
              <w:pStyle w:val="Compact"/>
              <w:spacing w:after="20"/>
              <w:jc w:val="left"/>
            </w:pPr>
            <w:r>
              <w:rPr>
                <w:b/>
                <w:color w:val="FAF6EF"/>
                <w:sz w:val="19"/>
              </w:rPr>
              <w:t xml:space="preserve">ID</w:t>
            </w:r>
          </w:p>
        </w:tc>
        <w:tc>
          <w:tcPr>
            <w:tcW w:type="dxa" w:w="8277"/>
            <w:shd w:val="clear" w:color="auto" w:fill="0E1B2C"/>
          </w:tcPr>
          <w:p>
            <w:pPr>
              <w:pStyle w:val="Compact"/>
              <w:spacing w:after="20"/>
              <w:jc w:val="left"/>
            </w:pPr>
            <w:r>
              <w:rPr>
                <w:b/>
                <w:color w:val="FAF6EF"/>
                <w:sz w:val="19"/>
              </w:rPr>
              <w:t xml:space="preserve">Assumption</w:t>
            </w:r>
          </w:p>
        </w:tc>
      </w:tr>
      <w:tr>
        <w:tc>
          <w:tcPr>
            <w:tcW w:type="dxa" w:w="1361"/>
          </w:tcPr>
          <w:p>
            <w:pPr>
              <w:pStyle w:val="Compact"/>
              <w:spacing w:after="20"/>
              <w:jc w:val="left"/>
            </w:pPr>
            <w:r>
              <w:rPr>
                <w:sz w:val="19"/>
              </w:rPr>
              <w:t xml:space="preserve">A-01</w:t>
            </w:r>
          </w:p>
        </w:tc>
        <w:tc>
          <w:tcPr>
            <w:tcW w:type="dxa" w:w="8277"/>
          </w:tcPr>
          <w:p>
            <w:pPr>
              <w:pStyle w:val="Compact"/>
              <w:spacing w:after="20"/>
              <w:jc w:val="left"/>
            </w:pPr>
            <w:r>
              <w:rPr>
                <w:sz w:val="19"/>
              </w:rPr>
              <w:t xml:space="preserve">Single currency (KES), single business location, single timezone.</w:t>
            </w:r>
          </w:p>
        </w:tc>
      </w:tr>
      <w:tr>
        <w:tc>
          <w:tcPr>
            <w:tcW w:type="dxa" w:w="1361"/>
            <w:shd w:val="clear" w:color="auto" w:fill="FAF6EF"/>
          </w:tcPr>
          <w:p>
            <w:pPr>
              <w:pStyle w:val="Compact"/>
              <w:spacing w:after="20"/>
              <w:jc w:val="left"/>
            </w:pPr>
            <w:r>
              <w:rPr>
                <w:sz w:val="19"/>
              </w:rPr>
              <w:t xml:space="preserve">A-02</w:t>
            </w:r>
          </w:p>
        </w:tc>
        <w:tc>
          <w:tcPr>
            <w:tcW w:type="dxa" w:w="8277"/>
            <w:shd w:val="clear" w:color="auto" w:fill="FAF6EF"/>
          </w:tcPr>
          <w:p>
            <w:pPr>
              <w:pStyle w:val="Compact"/>
              <w:spacing w:after="20"/>
              <w:jc w:val="left"/>
            </w:pPr>
            <w:r>
              <w:rPr>
                <w:sz w:val="19"/>
              </w:rPr>
              <w:t xml:space="preserve">One shared terminal at first; more can connect because the app is web-based.</w:t>
            </w:r>
          </w:p>
        </w:tc>
      </w:tr>
      <w:tr>
        <w:tc>
          <w:tcPr>
            <w:tcW w:type="dxa" w:w="1361"/>
          </w:tcPr>
          <w:p>
            <w:pPr>
              <w:pStyle w:val="Compact"/>
              <w:spacing w:after="20"/>
              <w:jc w:val="left"/>
            </w:pPr>
            <w:r>
              <w:rPr>
                <w:sz w:val="19"/>
              </w:rPr>
              <w:t xml:space="preserve">A-03</w:t>
            </w:r>
          </w:p>
        </w:tc>
        <w:tc>
          <w:tcPr>
            <w:tcW w:type="dxa" w:w="8277"/>
          </w:tcPr>
          <w:p>
            <w:pPr>
              <w:pStyle w:val="Compact"/>
              <w:spacing w:after="20"/>
              <w:jc w:val="left"/>
            </w:pPr>
            <w:r>
              <w:rPr>
                <w:sz w:val="19"/>
              </w:rPr>
              <w:t xml:space="preserve">Windows 10 or 11 with a current Chrome or Edge.</w:t>
            </w:r>
          </w:p>
        </w:tc>
      </w:tr>
      <w:tr>
        <w:tc>
          <w:tcPr>
            <w:tcW w:type="dxa" w:w="1361"/>
            <w:shd w:val="clear" w:color="auto" w:fill="FAF6EF"/>
          </w:tcPr>
          <w:p>
            <w:pPr>
              <w:pStyle w:val="Compact"/>
              <w:spacing w:after="20"/>
              <w:jc w:val="left"/>
            </w:pPr>
            <w:r>
              <w:rPr>
                <w:sz w:val="19"/>
              </w:rPr>
              <w:t xml:space="preserve">A-04</w:t>
            </w:r>
          </w:p>
        </w:tc>
        <w:tc>
          <w:tcPr>
            <w:tcW w:type="dxa" w:w="8277"/>
            <w:shd w:val="clear" w:color="auto" w:fill="FAF6EF"/>
          </w:tcPr>
          <w:p>
            <w:pPr>
              <w:pStyle w:val="Compact"/>
              <w:spacing w:after="20"/>
              <w:jc w:val="left"/>
            </w:pPr>
            <w:r>
              <w:rPr>
                <w:sz w:val="19"/>
              </w:rPr>
              <w:t xml:space="preserve">Menu prices are tax-inclusive; tax rate is configurable.</w:t>
            </w:r>
          </w:p>
        </w:tc>
      </w:tr>
      <w:tr>
        <w:tc>
          <w:tcPr>
            <w:tcW w:type="dxa" w:w="1361"/>
          </w:tcPr>
          <w:p>
            <w:pPr>
              <w:pStyle w:val="Compact"/>
              <w:spacing w:after="20"/>
              <w:jc w:val="left"/>
            </w:pPr>
            <w:r>
              <w:rPr>
                <w:sz w:val="19"/>
              </w:rPr>
              <w:t xml:space="preserve">A-05</w:t>
            </w:r>
          </w:p>
        </w:tc>
        <w:tc>
          <w:tcPr>
            <w:tcW w:type="dxa" w:w="8277"/>
          </w:tcPr>
          <w:p>
            <w:pPr>
              <w:pStyle w:val="Compact"/>
              <w:spacing w:after="20"/>
              <w:jc w:val="left"/>
            </w:pPr>
            <w:r>
              <w:rPr>
                <w:sz w:val="19"/>
              </w:rPr>
              <w:t xml:space="preserve">Receipt numbers are gapless and unique.</w:t>
            </w:r>
          </w:p>
        </w:tc>
      </w:tr>
      <w:tr>
        <w:tc>
          <w:tcPr>
            <w:tcW w:type="dxa" w:w="1361"/>
            <w:shd w:val="clear" w:color="auto" w:fill="FAF6EF"/>
          </w:tcPr>
          <w:p>
            <w:pPr>
              <w:pStyle w:val="Compact"/>
              <w:spacing w:after="20"/>
              <w:jc w:val="left"/>
            </w:pPr>
            <w:r>
              <w:rPr>
                <w:sz w:val="19"/>
              </w:rPr>
              <w:t xml:space="preserve">A-06</w:t>
            </w:r>
          </w:p>
        </w:tc>
        <w:tc>
          <w:tcPr>
            <w:tcW w:type="dxa" w:w="8277"/>
            <w:shd w:val="clear" w:color="auto" w:fill="FAF6EF"/>
          </w:tcPr>
          <w:p>
            <w:pPr>
              <w:pStyle w:val="Compact"/>
              <w:spacing w:after="20"/>
              <w:jc w:val="left"/>
            </w:pPr>
            <w:r>
              <w:rPr>
                <w:sz w:val="19"/>
              </w:rPr>
              <w:t xml:space="preserve">Negative stock triggers a warning and a permitted override with reason.</w:t>
            </w:r>
          </w:p>
        </w:tc>
      </w:tr>
      <w:tr>
        <w:tc>
          <w:tcPr>
            <w:tcW w:type="dxa" w:w="1361"/>
          </w:tcPr>
          <w:p>
            <w:pPr>
              <w:pStyle w:val="Compact"/>
              <w:spacing w:after="20"/>
              <w:jc w:val="left"/>
            </w:pPr>
            <w:r>
              <w:rPr>
                <w:sz w:val="19"/>
              </w:rPr>
              <w:t xml:space="preserve">A-07</w:t>
            </w:r>
          </w:p>
        </w:tc>
        <w:tc>
          <w:tcPr>
            <w:tcW w:type="dxa" w:w="8277"/>
          </w:tcPr>
          <w:p>
            <w:pPr>
              <w:pStyle w:val="Compact"/>
              <w:spacing w:after="20"/>
              <w:jc w:val="left"/>
            </w:pPr>
            <w:r>
              <w:rPr>
                <w:sz w:val="19"/>
              </w:rPr>
              <w:t xml:space="preserve">PIN fast-switch is included for floor staff on the trusted terminal.</w:t>
            </w:r>
          </w:p>
        </w:tc>
      </w:tr>
      <w:tr>
        <w:tc>
          <w:tcPr>
            <w:tcW w:type="dxa" w:w="1361"/>
            <w:shd w:val="clear" w:color="auto" w:fill="FAF6EF"/>
          </w:tcPr>
          <w:p>
            <w:pPr>
              <w:pStyle w:val="Compact"/>
              <w:spacing w:after="20"/>
              <w:jc w:val="left"/>
            </w:pPr>
            <w:r>
              <w:rPr>
                <w:sz w:val="19"/>
              </w:rPr>
              <w:t xml:space="preserve">A-08</w:t>
            </w:r>
          </w:p>
        </w:tc>
        <w:tc>
          <w:tcPr>
            <w:tcW w:type="dxa" w:w="8277"/>
            <w:shd w:val="clear" w:color="auto" w:fill="FAF6EF"/>
          </w:tcPr>
          <w:p>
            <w:pPr>
              <w:pStyle w:val="Compact"/>
              <w:spacing w:after="20"/>
              <w:jc w:val="left"/>
            </w:pPr>
            <w:r>
              <w:rPr>
                <w:sz w:val="19"/>
              </w:rPr>
              <w:t xml:space="preserve">Audit records are retained for at least 7 years unless the client or accountant says otherwise.</w:t>
            </w:r>
          </w:p>
        </w:tc>
      </w:tr>
    </w:tbl>
    <w:bookmarkEnd w:id="68"/>
    <w:bookmarkStart w:id="69" w:name="risk-register"/>
    <w:p>
      <w:pPr>
        <w:pStyle w:val="Heading1"/>
        <w:spacing w:before="360"/>
        <w:pBdr>
          <w:bottom w:val="single" w:sz="8" w:space="2" w:color="0F766E"/>
        </w:pBdr>
      </w:pPr>
      <w:r>
        <w:t xml:space="preserve">19. Risk register</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020"/>
        <w:gridCol w:w="3628"/>
        <w:gridCol w:w="4989"/>
      </w:tblGrid>
      <w:tr>
        <w:trPr>
          <w:tblHeader w:val="true"/>
          <w:tblHeader w:val="true"/>
        </w:trPr>
        <w:tc>
          <w:tcPr>
            <w:tcW w:type="dxa" w:w="1020"/>
            <w:shd w:val="clear" w:color="auto" w:fill="0E1B2C"/>
          </w:tcPr>
          <w:p>
            <w:pPr>
              <w:pStyle w:val="Compact"/>
              <w:spacing w:after="20"/>
              <w:jc w:val="left"/>
            </w:pPr>
            <w:r>
              <w:rPr>
                <w:b/>
                <w:color w:val="FAF6EF"/>
                <w:sz w:val="19"/>
              </w:rPr>
              <w:t xml:space="preserve">ID</w:t>
            </w:r>
          </w:p>
        </w:tc>
        <w:tc>
          <w:tcPr>
            <w:tcW w:type="dxa" w:w="3628"/>
            <w:shd w:val="clear" w:color="auto" w:fill="0E1B2C"/>
          </w:tcPr>
          <w:p>
            <w:pPr>
              <w:pStyle w:val="Compact"/>
              <w:spacing w:after="20"/>
              <w:jc w:val="left"/>
            </w:pPr>
            <w:r>
              <w:rPr>
                <w:b/>
                <w:color w:val="FAF6EF"/>
                <w:sz w:val="19"/>
              </w:rPr>
              <w:t xml:space="preserve">Risk</w:t>
            </w:r>
          </w:p>
        </w:tc>
        <w:tc>
          <w:tcPr>
            <w:tcW w:type="dxa" w:w="4989"/>
            <w:shd w:val="clear" w:color="auto" w:fill="0E1B2C"/>
          </w:tcPr>
          <w:p>
            <w:pPr>
              <w:pStyle w:val="Compact"/>
              <w:spacing w:after="20"/>
              <w:jc w:val="left"/>
            </w:pPr>
            <w:r>
              <w:rPr>
                <w:b/>
                <w:color w:val="FAF6EF"/>
                <w:sz w:val="19"/>
              </w:rPr>
              <w:t xml:space="preserve">Mitigation</w:t>
            </w:r>
          </w:p>
        </w:tc>
      </w:tr>
      <w:tr>
        <w:tc>
          <w:tcPr>
            <w:tcW w:type="dxa" w:w="1020"/>
          </w:tcPr>
          <w:p>
            <w:pPr>
              <w:pStyle w:val="Compact"/>
              <w:spacing w:after="20"/>
              <w:jc w:val="left"/>
            </w:pPr>
            <w:r>
              <w:rPr>
                <w:sz w:val="19"/>
              </w:rPr>
              <w:t xml:space="preserve">R-01</w:t>
            </w:r>
          </w:p>
        </w:tc>
        <w:tc>
          <w:tcPr>
            <w:tcW w:type="dxa" w:w="3628"/>
          </w:tcPr>
          <w:p>
            <w:pPr>
              <w:pStyle w:val="Compact"/>
              <w:spacing w:after="20"/>
              <w:jc w:val="left"/>
            </w:pPr>
            <w:r>
              <w:rPr>
                <w:sz w:val="19"/>
              </w:rPr>
              <w:t xml:space="preserve">Printer or driver incompatibility</w:t>
            </w:r>
          </w:p>
        </w:tc>
        <w:tc>
          <w:tcPr>
            <w:tcW w:type="dxa" w:w="4989"/>
          </w:tcPr>
          <w:p>
            <w:pPr>
              <w:pStyle w:val="Compact"/>
              <w:spacing w:after="20"/>
              <w:jc w:val="left"/>
            </w:pPr>
            <w:r>
              <w:rPr>
                <w:sz w:val="19"/>
              </w:rPr>
              <w:t xml:space="preserve">Test early on real hardware (DG-03); keep browser printing and a bridge option.</w:t>
            </w:r>
          </w:p>
        </w:tc>
      </w:tr>
      <w:tr>
        <w:tc>
          <w:tcPr>
            <w:tcW w:type="dxa" w:w="1020"/>
            <w:shd w:val="clear" w:color="auto" w:fill="FAF6EF"/>
          </w:tcPr>
          <w:p>
            <w:pPr>
              <w:pStyle w:val="Compact"/>
              <w:spacing w:after="20"/>
              <w:jc w:val="left"/>
            </w:pPr>
            <w:r>
              <w:rPr>
                <w:sz w:val="19"/>
              </w:rPr>
              <w:t xml:space="preserve">R-02</w:t>
            </w:r>
          </w:p>
        </w:tc>
        <w:tc>
          <w:tcPr>
            <w:tcW w:type="dxa" w:w="3628"/>
            <w:shd w:val="clear" w:color="auto" w:fill="FAF6EF"/>
          </w:tcPr>
          <w:p>
            <w:pPr>
              <w:pStyle w:val="Compact"/>
              <w:spacing w:after="20"/>
              <w:jc w:val="left"/>
            </w:pPr>
            <w:r>
              <w:rPr>
                <w:sz w:val="19"/>
              </w:rPr>
              <w:t xml:space="preserve">Internet outage during service</w:t>
            </w:r>
          </w:p>
        </w:tc>
        <w:tc>
          <w:tcPr>
            <w:tcW w:type="dxa" w:w="4989"/>
            <w:shd w:val="clear" w:color="auto" w:fill="FAF6EF"/>
          </w:tcPr>
          <w:p>
            <w:pPr>
              <w:pStyle w:val="Compact"/>
              <w:spacing w:after="20"/>
              <w:jc w:val="left"/>
            </w:pPr>
            <w:r>
              <w:rPr>
                <w:sz w:val="19"/>
              </w:rPr>
              <w:t xml:space="preserve">Manual procedure, reconciliation screen, UPS on router.</w:t>
            </w:r>
          </w:p>
        </w:tc>
      </w:tr>
      <w:tr>
        <w:tc>
          <w:tcPr>
            <w:tcW w:type="dxa" w:w="1020"/>
          </w:tcPr>
          <w:p>
            <w:pPr>
              <w:pStyle w:val="Compact"/>
              <w:spacing w:after="20"/>
              <w:jc w:val="left"/>
            </w:pPr>
            <w:r>
              <w:rPr>
                <w:sz w:val="19"/>
              </w:rPr>
              <w:t xml:space="preserve">R-03</w:t>
            </w:r>
          </w:p>
        </w:tc>
        <w:tc>
          <w:tcPr>
            <w:tcW w:type="dxa" w:w="3628"/>
          </w:tcPr>
          <w:p>
            <w:pPr>
              <w:pStyle w:val="Compact"/>
              <w:spacing w:after="20"/>
              <w:jc w:val="left"/>
            </w:pPr>
            <w:r>
              <w:rPr>
                <w:sz w:val="19"/>
              </w:rPr>
              <w:t xml:space="preserve">Free hosting tiers sleep or pause</w:t>
            </w:r>
          </w:p>
        </w:tc>
        <w:tc>
          <w:tcPr>
            <w:tcW w:type="dxa" w:w="4989"/>
          </w:tcPr>
          <w:p>
            <w:pPr>
              <w:pStyle w:val="Compact"/>
              <w:spacing w:after="20"/>
              <w:jc w:val="left"/>
            </w:pPr>
            <w:r>
              <w:rPr>
                <w:sz w:val="19"/>
              </w:rPr>
              <w:t xml:space="preserve">Paid always-on plans for live use (DG-04).</w:t>
            </w:r>
          </w:p>
        </w:tc>
      </w:tr>
      <w:tr>
        <w:tc>
          <w:tcPr>
            <w:tcW w:type="dxa" w:w="1020"/>
            <w:shd w:val="clear" w:color="auto" w:fill="FAF6EF"/>
          </w:tcPr>
          <w:p>
            <w:pPr>
              <w:pStyle w:val="Compact"/>
              <w:spacing w:after="20"/>
              <w:jc w:val="left"/>
            </w:pPr>
            <w:r>
              <w:rPr>
                <w:sz w:val="19"/>
              </w:rPr>
              <w:t xml:space="preserve">R-04</w:t>
            </w:r>
          </w:p>
        </w:tc>
        <w:tc>
          <w:tcPr>
            <w:tcW w:type="dxa" w:w="3628"/>
            <w:shd w:val="clear" w:color="auto" w:fill="FAF6EF"/>
          </w:tcPr>
          <w:p>
            <w:pPr>
              <w:pStyle w:val="Compact"/>
              <w:spacing w:after="20"/>
              <w:jc w:val="left"/>
            </w:pPr>
            <w:r>
              <w:rPr>
                <w:sz w:val="19"/>
              </w:rPr>
              <w:t xml:space="preserve">eTIMS obligation misjudged</w:t>
            </w:r>
          </w:p>
        </w:tc>
        <w:tc>
          <w:tcPr>
            <w:tcW w:type="dxa" w:w="4989"/>
            <w:shd w:val="clear" w:color="auto" w:fill="FAF6EF"/>
          </w:tcPr>
          <w:p>
            <w:pPr>
              <w:pStyle w:val="Compact"/>
              <w:spacing w:after="20"/>
              <w:jc w:val="left"/>
            </w:pPr>
            <w:r>
              <w:rPr>
                <w:sz w:val="19"/>
              </w:rPr>
              <w:t xml:space="preserve">Treat as gate; get written confirmation from the accountant or KRA guidance.</w:t>
            </w:r>
          </w:p>
        </w:tc>
      </w:tr>
      <w:tr>
        <w:tc>
          <w:tcPr>
            <w:tcW w:type="dxa" w:w="1020"/>
          </w:tcPr>
          <w:p>
            <w:pPr>
              <w:pStyle w:val="Compact"/>
              <w:spacing w:after="20"/>
              <w:jc w:val="left"/>
            </w:pPr>
            <w:r>
              <w:rPr>
                <w:sz w:val="19"/>
              </w:rPr>
              <w:t xml:space="preserve">R-05</w:t>
            </w:r>
          </w:p>
        </w:tc>
        <w:tc>
          <w:tcPr>
            <w:tcW w:type="dxa" w:w="3628"/>
          </w:tcPr>
          <w:p>
            <w:pPr>
              <w:pStyle w:val="Compact"/>
              <w:spacing w:after="20"/>
              <w:jc w:val="left"/>
            </w:pPr>
            <w:r>
              <w:rPr>
                <w:sz w:val="19"/>
              </w:rPr>
              <w:t xml:space="preserve">M-Pesa status mistaken for payment</w:t>
            </w:r>
          </w:p>
        </w:tc>
        <w:tc>
          <w:tcPr>
            <w:tcW w:type="dxa" w:w="4989"/>
          </w:tcPr>
          <w:p>
            <w:pPr>
              <w:pStyle w:val="Compact"/>
              <w:spacing w:after="20"/>
              <w:jc w:val="left"/>
            </w:pPr>
            <w:r>
              <w:rPr>
                <w:sz w:val="19"/>
              </w:rPr>
              <w:t xml:space="preserve">Pending-confirmation state; verified provider flow only.</w:t>
            </w:r>
          </w:p>
        </w:tc>
      </w:tr>
      <w:tr>
        <w:tc>
          <w:tcPr>
            <w:tcW w:type="dxa" w:w="1020"/>
            <w:shd w:val="clear" w:color="auto" w:fill="FAF6EF"/>
          </w:tcPr>
          <w:p>
            <w:pPr>
              <w:pStyle w:val="Compact"/>
              <w:spacing w:after="20"/>
              <w:jc w:val="left"/>
            </w:pPr>
            <w:r>
              <w:rPr>
                <w:sz w:val="19"/>
              </w:rPr>
              <w:t xml:space="preserve">R-06</w:t>
            </w:r>
          </w:p>
        </w:tc>
        <w:tc>
          <w:tcPr>
            <w:tcW w:type="dxa" w:w="3628"/>
            <w:shd w:val="clear" w:color="auto" w:fill="FAF6EF"/>
          </w:tcPr>
          <w:p>
            <w:pPr>
              <w:pStyle w:val="Compact"/>
              <w:spacing w:after="20"/>
              <w:jc w:val="left"/>
            </w:pPr>
            <w:r>
              <w:rPr>
                <w:sz w:val="19"/>
              </w:rPr>
              <w:t xml:space="preserve">Stock data poor (units, recipes)</w:t>
            </w:r>
          </w:p>
        </w:tc>
        <w:tc>
          <w:tcPr>
            <w:tcW w:type="dxa" w:w="4989"/>
            <w:shd w:val="clear" w:color="auto" w:fill="FAF6EF"/>
          </w:tcPr>
          <w:p>
            <w:pPr>
              <w:pStyle w:val="Compact"/>
              <w:spacing w:after="20"/>
              <w:jc w:val="left"/>
            </w:pPr>
            <w:r>
              <w:rPr>
                <w:sz w:val="19"/>
              </w:rPr>
              <w:t xml:space="preserve">Make recipes optional; start with counts and movements.</w:t>
            </w:r>
          </w:p>
        </w:tc>
      </w:tr>
      <w:tr>
        <w:tc>
          <w:tcPr>
            <w:tcW w:type="dxa" w:w="1020"/>
          </w:tcPr>
          <w:p>
            <w:pPr>
              <w:pStyle w:val="Compact"/>
              <w:spacing w:after="20"/>
              <w:jc w:val="left"/>
            </w:pPr>
            <w:r>
              <w:rPr>
                <w:sz w:val="19"/>
              </w:rPr>
              <w:t xml:space="preserve">R-07</w:t>
            </w:r>
          </w:p>
        </w:tc>
        <w:tc>
          <w:tcPr>
            <w:tcW w:type="dxa" w:w="3628"/>
          </w:tcPr>
          <w:p>
            <w:pPr>
              <w:pStyle w:val="Compact"/>
              <w:spacing w:after="20"/>
              <w:jc w:val="left"/>
            </w:pPr>
            <w:r>
              <w:rPr>
                <w:sz w:val="19"/>
              </w:rPr>
              <w:t xml:space="preserve">Shared terminal misuse</w:t>
            </w:r>
          </w:p>
        </w:tc>
        <w:tc>
          <w:tcPr>
            <w:tcW w:type="dxa" w:w="4989"/>
          </w:tcPr>
          <w:p>
            <w:pPr>
              <w:pStyle w:val="Compact"/>
              <w:spacing w:after="20"/>
              <w:jc w:val="left"/>
            </w:pPr>
            <w:r>
              <w:rPr>
                <w:sz w:val="19"/>
              </w:rPr>
              <w:t xml:space="preserve">PIN switching, session timeouts, audit.</w:t>
            </w:r>
          </w:p>
        </w:tc>
      </w:tr>
      <w:tr>
        <w:tc>
          <w:tcPr>
            <w:tcW w:type="dxa" w:w="1020"/>
            <w:shd w:val="clear" w:color="auto" w:fill="FAF6EF"/>
          </w:tcPr>
          <w:p>
            <w:pPr>
              <w:pStyle w:val="Compact"/>
              <w:spacing w:after="20"/>
              <w:jc w:val="left"/>
            </w:pPr>
            <w:r>
              <w:rPr>
                <w:sz w:val="19"/>
              </w:rPr>
              <w:t xml:space="preserve">R-08</w:t>
            </w:r>
          </w:p>
        </w:tc>
        <w:tc>
          <w:tcPr>
            <w:tcW w:type="dxa" w:w="3628"/>
            <w:shd w:val="clear" w:color="auto" w:fill="FAF6EF"/>
          </w:tcPr>
          <w:p>
            <w:pPr>
              <w:pStyle w:val="Compact"/>
              <w:spacing w:after="20"/>
              <w:jc w:val="left"/>
            </w:pPr>
            <w:r>
              <w:rPr>
                <w:sz w:val="19"/>
              </w:rPr>
              <w:t xml:space="preserve">Build environment cannot run Docker or full database</w:t>
            </w:r>
          </w:p>
        </w:tc>
        <w:tc>
          <w:tcPr>
            <w:tcW w:type="dxa" w:w="4989"/>
            <w:shd w:val="clear" w:color="auto" w:fill="FAF6EF"/>
          </w:tcPr>
          <w:p>
            <w:pPr>
              <w:pStyle w:val="Compact"/>
              <w:spacing w:after="20"/>
              <w:jc w:val="left"/>
            </w:pPr>
            <w:r>
              <w:rPr>
                <w:sz w:val="19"/>
              </w:rPr>
              <w:t xml:space="preserve">Report honestly what was not run; give the user exact commands to verify locally.</w:t>
            </w:r>
          </w:p>
        </w:tc>
      </w:tr>
      <w:tr>
        <w:tc>
          <w:tcPr>
            <w:tcW w:type="dxa" w:w="1020"/>
          </w:tcPr>
          <w:p>
            <w:pPr>
              <w:pStyle w:val="Compact"/>
              <w:spacing w:after="20"/>
              <w:jc w:val="left"/>
            </w:pPr>
            <w:r>
              <w:rPr>
                <w:sz w:val="19"/>
              </w:rPr>
              <w:t xml:space="preserve">R-09</w:t>
            </w:r>
          </w:p>
        </w:tc>
        <w:tc>
          <w:tcPr>
            <w:tcW w:type="dxa" w:w="3628"/>
          </w:tcPr>
          <w:p>
            <w:pPr>
              <w:pStyle w:val="Compact"/>
              <w:spacing w:after="20"/>
              <w:jc w:val="left"/>
            </w:pPr>
            <w:r>
              <w:rPr>
                <w:sz w:val="19"/>
              </w:rPr>
              <w:t xml:space="preserve">Scope creep</w:t>
            </w:r>
          </w:p>
        </w:tc>
        <w:tc>
          <w:tcPr>
            <w:tcW w:type="dxa" w:w="4989"/>
          </w:tcPr>
          <w:p>
            <w:pPr>
              <w:pStyle w:val="Compact"/>
              <w:spacing w:after="20"/>
              <w:jc w:val="left"/>
            </w:pPr>
            <w:r>
              <w:rPr>
                <w:sz w:val="19"/>
              </w:rPr>
              <w:t xml:space="preserve">MoSCoW priorities; stage-gated build.</w:t>
            </w:r>
          </w:p>
        </w:tc>
      </w:tr>
    </w:tbl>
    <w:bookmarkEnd w:id="69"/>
    <w:bookmarkStart w:id="70" w:name="brand-and-interface-foundations"/>
    <w:p>
      <w:pPr>
        <w:pStyle w:val="Heading1"/>
        <w:spacing w:before="360"/>
        <w:pBdr>
          <w:bottom w:val="single" w:sz="8" w:space="2" w:color="0F766E"/>
        </w:pBdr>
      </w:pPr>
      <w:r>
        <w:t xml:space="preserve">20. Brand and interface foundations</w:t>
      </w:r>
    </w:p>
    <w:p>
      <w:pPr>
        <w:pStyle w:val="FirstParagraph"/>
        <w:spacing w:after="100"/>
      </w:pPr>
      <w:r>
        <w:t xml:space="preserve">Name:</w:t>
      </w:r>
      <w:r>
        <w:t xml:space="preserve"> </w:t>
      </w:r>
      <w:r>
        <w:rPr>
          <w:bCs/>
          <w:b/>
        </w:rPr>
        <w:t xml:space="preserve">Zuscar</w:t>
      </w:r>
      <w:r>
        <w:t xml:space="preserve">. Do not invent a meaning for the name. Colour tokens (contrast ratios computed against WCAG 2 formulas):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474"/>
        <w:gridCol w:w="1247"/>
        <w:gridCol w:w="3628"/>
        <w:gridCol w:w="3288"/>
      </w:tblGrid>
      <w:tr>
        <w:trPr>
          <w:tblHeader w:val="true"/>
          <w:tblHeader w:val="true"/>
        </w:trPr>
        <w:tc>
          <w:tcPr>
            <w:tcW w:type="dxa" w:w="1474"/>
            <w:shd w:val="clear" w:color="auto" w:fill="0E1B2C"/>
          </w:tcPr>
          <w:p>
            <w:pPr>
              <w:pStyle w:val="Compact"/>
              <w:spacing w:after="20"/>
              <w:jc w:val="left"/>
            </w:pPr>
            <w:r>
              <w:rPr>
                <w:b/>
                <w:color w:val="FAF6EF"/>
                <w:sz w:val="19"/>
              </w:rPr>
              <w:t xml:space="preserve">Token</w:t>
            </w:r>
          </w:p>
        </w:tc>
        <w:tc>
          <w:tcPr>
            <w:tcW w:type="dxa" w:w="1247"/>
            <w:shd w:val="clear" w:color="auto" w:fill="0E1B2C"/>
          </w:tcPr>
          <w:p>
            <w:pPr>
              <w:pStyle w:val="Compact"/>
              <w:spacing w:after="20"/>
              <w:jc w:val="left"/>
            </w:pPr>
            <w:r>
              <w:rPr>
                <w:b/>
                <w:color w:val="FAF6EF"/>
                <w:sz w:val="19"/>
              </w:rPr>
              <w:t xml:space="preserve">Hex</w:t>
            </w:r>
          </w:p>
        </w:tc>
        <w:tc>
          <w:tcPr>
            <w:tcW w:type="dxa" w:w="3628"/>
            <w:shd w:val="clear" w:color="auto" w:fill="0E1B2C"/>
          </w:tcPr>
          <w:p>
            <w:pPr>
              <w:pStyle w:val="Compact"/>
              <w:spacing w:after="20"/>
              <w:jc w:val="left"/>
            </w:pPr>
            <w:r>
              <w:rPr>
                <w:b/>
                <w:color w:val="FAF6EF"/>
                <w:sz w:val="19"/>
              </w:rPr>
              <w:t xml:space="preserve">Use</w:t>
            </w:r>
          </w:p>
        </w:tc>
        <w:tc>
          <w:tcPr>
            <w:tcW w:type="dxa" w:w="3288"/>
            <w:shd w:val="clear" w:color="auto" w:fill="0E1B2C"/>
          </w:tcPr>
          <w:p>
            <w:pPr>
              <w:pStyle w:val="Compact"/>
              <w:spacing w:after="20"/>
              <w:jc w:val="left"/>
            </w:pPr>
            <w:r>
              <w:rPr>
                <w:b/>
                <w:color w:val="FAF6EF"/>
                <w:sz w:val="19"/>
              </w:rPr>
              <w:t xml:space="preserve">Contrast note</w:t>
            </w:r>
          </w:p>
        </w:tc>
      </w:tr>
      <w:tr>
        <w:tc>
          <w:tcPr>
            <w:tcW w:type="dxa" w:w="1474"/>
          </w:tcPr>
          <w:p>
            <w:pPr>
              <w:pStyle w:val="Compact"/>
              <w:spacing w:after="20"/>
              <w:jc w:val="left"/>
            </w:pPr>
            <w:r>
              <w:rPr>
                <w:sz w:val="19"/>
              </w:rPr>
              <w:t xml:space="preserve">Midnight</w:t>
            </w:r>
          </w:p>
        </w:tc>
        <w:tc>
          <w:tcPr>
            <w:tcW w:type="dxa" w:w="1247"/>
          </w:tcPr>
          <w:p>
            <w:pPr>
              <w:pStyle w:val="Compact"/>
              <w:spacing w:after="20"/>
              <w:jc w:val="left"/>
            </w:pPr>
            <w:r>
              <w:rPr>
                <w:sz w:val="19"/>
              </w:rPr>
              <w:t xml:space="preserve">#0E1B2C</w:t>
            </w:r>
          </w:p>
        </w:tc>
        <w:tc>
          <w:tcPr>
            <w:tcW w:type="dxa" w:w="3628"/>
          </w:tcPr>
          <w:p>
            <w:pPr>
              <w:pStyle w:val="Compact"/>
              <w:spacing w:after="20"/>
              <w:jc w:val="left"/>
            </w:pPr>
            <w:r>
              <w:rPr>
                <w:sz w:val="19"/>
              </w:rPr>
              <w:t xml:space="preserve">Header band, primary text on light, dark surfaces</w:t>
            </w:r>
          </w:p>
        </w:tc>
        <w:tc>
          <w:tcPr>
            <w:tcW w:type="dxa" w:w="3288"/>
          </w:tcPr>
          <w:p>
            <w:pPr>
              <w:pStyle w:val="Compact"/>
              <w:spacing w:after="20"/>
              <w:jc w:val="left"/>
            </w:pPr>
            <w:r>
              <w:rPr>
                <w:sz w:val="19"/>
              </w:rPr>
              <w:t xml:space="preserve">Cream text on Midnight 16.1:1</w:t>
            </w:r>
          </w:p>
        </w:tc>
      </w:tr>
      <w:tr>
        <w:tc>
          <w:tcPr>
            <w:tcW w:type="dxa" w:w="1474"/>
            <w:shd w:val="clear" w:color="auto" w:fill="FAF6EF"/>
          </w:tcPr>
          <w:p>
            <w:pPr>
              <w:pStyle w:val="Compact"/>
              <w:spacing w:after="20"/>
              <w:jc w:val="left"/>
            </w:pPr>
            <w:r>
              <w:rPr>
                <w:sz w:val="19"/>
              </w:rPr>
              <w:t xml:space="preserve">Zuscar Teal</w:t>
            </w:r>
          </w:p>
        </w:tc>
        <w:tc>
          <w:tcPr>
            <w:tcW w:type="dxa" w:w="1247"/>
            <w:shd w:val="clear" w:color="auto" w:fill="FAF6EF"/>
          </w:tcPr>
          <w:p>
            <w:pPr>
              <w:pStyle w:val="Compact"/>
              <w:spacing w:after="20"/>
              <w:jc w:val="left"/>
            </w:pPr>
            <w:r>
              <w:rPr>
                <w:sz w:val="19"/>
              </w:rPr>
              <w:t xml:space="preserve">#0F766E</w:t>
            </w:r>
          </w:p>
        </w:tc>
        <w:tc>
          <w:tcPr>
            <w:tcW w:type="dxa" w:w="3628"/>
            <w:shd w:val="clear" w:color="auto" w:fill="FAF6EF"/>
          </w:tcPr>
          <w:p>
            <w:pPr>
              <w:pStyle w:val="Compact"/>
              <w:spacing w:after="20"/>
              <w:jc w:val="left"/>
            </w:pPr>
            <w:r>
              <w:rPr>
                <w:sz w:val="19"/>
              </w:rPr>
              <w:t xml:space="preserve">Primary actions, links, rooms module</w:t>
            </w:r>
          </w:p>
        </w:tc>
        <w:tc>
          <w:tcPr>
            <w:tcW w:type="dxa" w:w="3288"/>
            <w:shd w:val="clear" w:color="auto" w:fill="FAF6EF"/>
          </w:tcPr>
          <w:p>
            <w:pPr>
              <w:pStyle w:val="Compact"/>
              <w:spacing w:after="20"/>
              <w:jc w:val="left"/>
            </w:pPr>
            <w:r>
              <w:rPr>
                <w:sz w:val="19"/>
              </w:rPr>
              <w:t xml:space="preserve">White on Teal 5.5:1</w:t>
            </w:r>
          </w:p>
        </w:tc>
      </w:tr>
      <w:tr>
        <w:tc>
          <w:tcPr>
            <w:tcW w:type="dxa" w:w="1474"/>
          </w:tcPr>
          <w:p>
            <w:pPr>
              <w:pStyle w:val="Compact"/>
              <w:spacing w:after="20"/>
              <w:jc w:val="left"/>
            </w:pPr>
            <w:r>
              <w:rPr>
                <w:sz w:val="19"/>
              </w:rPr>
              <w:t xml:space="preserve">Ember</w:t>
            </w:r>
          </w:p>
        </w:tc>
        <w:tc>
          <w:tcPr>
            <w:tcW w:type="dxa" w:w="1247"/>
          </w:tcPr>
          <w:p>
            <w:pPr>
              <w:pStyle w:val="Compact"/>
              <w:spacing w:after="20"/>
              <w:jc w:val="left"/>
            </w:pPr>
            <w:r>
              <w:rPr>
                <w:sz w:val="19"/>
              </w:rPr>
              <w:t xml:space="preserve">#C2410C</w:t>
            </w:r>
          </w:p>
        </w:tc>
        <w:tc>
          <w:tcPr>
            <w:tcW w:type="dxa" w:w="3628"/>
          </w:tcPr>
          <w:p>
            <w:pPr>
              <w:pStyle w:val="Compact"/>
              <w:spacing w:after="20"/>
              <w:jc w:val="left"/>
            </w:pPr>
            <w:r>
              <w:rPr>
                <w:sz w:val="19"/>
              </w:rPr>
              <w:t xml:space="preserve">Restaurant and kitchen accent, warm brand colour</w:t>
            </w:r>
          </w:p>
        </w:tc>
        <w:tc>
          <w:tcPr>
            <w:tcW w:type="dxa" w:w="3288"/>
          </w:tcPr>
          <w:p>
            <w:pPr>
              <w:pStyle w:val="Compact"/>
              <w:spacing w:after="20"/>
              <w:jc w:val="left"/>
            </w:pPr>
            <w:r>
              <w:rPr>
                <w:sz w:val="19"/>
              </w:rPr>
              <w:t xml:space="preserve">Cream text on Ember 4.8:1</w:t>
            </w:r>
          </w:p>
        </w:tc>
      </w:tr>
      <w:tr>
        <w:tc>
          <w:tcPr>
            <w:tcW w:type="dxa" w:w="1474"/>
            <w:shd w:val="clear" w:color="auto" w:fill="FAF6EF"/>
          </w:tcPr>
          <w:p>
            <w:pPr>
              <w:pStyle w:val="Compact"/>
              <w:spacing w:after="20"/>
              <w:jc w:val="left"/>
            </w:pPr>
            <w:r>
              <w:rPr>
                <w:sz w:val="19"/>
              </w:rPr>
              <w:t xml:space="preserve">Saffron</w:t>
            </w:r>
          </w:p>
        </w:tc>
        <w:tc>
          <w:tcPr>
            <w:tcW w:type="dxa" w:w="1247"/>
            <w:shd w:val="clear" w:color="auto" w:fill="FAF6EF"/>
          </w:tcPr>
          <w:p>
            <w:pPr>
              <w:pStyle w:val="Compact"/>
              <w:spacing w:after="20"/>
              <w:jc w:val="left"/>
            </w:pPr>
            <w:r>
              <w:rPr>
                <w:sz w:val="19"/>
              </w:rPr>
              <w:t xml:space="preserve">#F4B942</w:t>
            </w:r>
          </w:p>
        </w:tc>
        <w:tc>
          <w:tcPr>
            <w:tcW w:type="dxa" w:w="3628"/>
            <w:shd w:val="clear" w:color="auto" w:fill="FAF6EF"/>
          </w:tcPr>
          <w:p>
            <w:pPr>
              <w:pStyle w:val="Compact"/>
              <w:spacing w:after="20"/>
              <w:jc w:val="left"/>
            </w:pPr>
            <w:r>
              <w:rPr>
                <w:sz w:val="19"/>
              </w:rPr>
              <w:t xml:space="preserve">Highlights on dark, bar/club accent; use as a fill with Midnight text</w:t>
            </w:r>
          </w:p>
        </w:tc>
        <w:tc>
          <w:tcPr>
            <w:tcW w:type="dxa" w:w="3288"/>
            <w:shd w:val="clear" w:color="auto" w:fill="FAF6EF"/>
          </w:tcPr>
          <w:p>
            <w:pPr>
              <w:pStyle w:val="Compact"/>
              <w:spacing w:after="20"/>
              <w:jc w:val="left"/>
            </w:pPr>
            <w:r>
              <w:rPr>
                <w:sz w:val="19"/>
              </w:rPr>
              <w:t xml:space="preserve">Midnight on Saffron 9.8:1. Never as text on cream (1.6:1)</w:t>
            </w:r>
          </w:p>
        </w:tc>
      </w:tr>
      <w:tr>
        <w:tc>
          <w:tcPr>
            <w:tcW w:type="dxa" w:w="1474"/>
          </w:tcPr>
          <w:p>
            <w:pPr>
              <w:pStyle w:val="Compact"/>
              <w:spacing w:after="20"/>
              <w:jc w:val="left"/>
            </w:pPr>
            <w:r>
              <w:rPr>
                <w:sz w:val="19"/>
              </w:rPr>
              <w:t xml:space="preserve">Cream</w:t>
            </w:r>
          </w:p>
        </w:tc>
        <w:tc>
          <w:tcPr>
            <w:tcW w:type="dxa" w:w="1247"/>
          </w:tcPr>
          <w:p>
            <w:pPr>
              <w:pStyle w:val="Compact"/>
              <w:spacing w:after="20"/>
              <w:jc w:val="left"/>
            </w:pPr>
            <w:r>
              <w:rPr>
                <w:sz w:val="19"/>
              </w:rPr>
              <w:t xml:space="preserve">#FAF6EF</w:t>
            </w:r>
          </w:p>
        </w:tc>
        <w:tc>
          <w:tcPr>
            <w:tcW w:type="dxa" w:w="3628"/>
          </w:tcPr>
          <w:p>
            <w:pPr>
              <w:pStyle w:val="Compact"/>
              <w:spacing w:after="20"/>
              <w:jc w:val="left"/>
            </w:pPr>
            <w:r>
              <w:rPr>
                <w:sz w:val="19"/>
              </w:rPr>
              <w:t xml:space="preserve">Page background</w:t>
            </w:r>
          </w:p>
        </w:tc>
        <w:tc>
          <w:tcPr>
            <w:tcW w:type="dxa" w:w="3288"/>
          </w:tcPr>
          <w:p>
            <w:pPr>
              <w:pStyle w:val="Compact"/>
              <w:spacing w:after="20"/>
            </w:pPr>
          </w:p>
        </w:tc>
      </w:tr>
      <w:tr>
        <w:tc>
          <w:tcPr>
            <w:tcW w:type="dxa" w:w="1474"/>
            <w:shd w:val="clear" w:color="auto" w:fill="FAF6EF"/>
          </w:tcPr>
          <w:p>
            <w:pPr>
              <w:pStyle w:val="Compact"/>
              <w:spacing w:after="20"/>
              <w:jc w:val="left"/>
            </w:pPr>
            <w:r>
              <w:rPr>
                <w:sz w:val="19"/>
              </w:rPr>
              <w:t xml:space="preserve">Stone</w:t>
            </w:r>
          </w:p>
        </w:tc>
        <w:tc>
          <w:tcPr>
            <w:tcW w:type="dxa" w:w="1247"/>
            <w:shd w:val="clear" w:color="auto" w:fill="FAF6EF"/>
          </w:tcPr>
          <w:p>
            <w:pPr>
              <w:pStyle w:val="Compact"/>
              <w:spacing w:after="20"/>
              <w:jc w:val="left"/>
            </w:pPr>
            <w:r>
              <w:rPr>
                <w:sz w:val="19"/>
              </w:rPr>
              <w:t xml:space="preserve">#E6DED0</w:t>
            </w:r>
          </w:p>
        </w:tc>
        <w:tc>
          <w:tcPr>
            <w:tcW w:type="dxa" w:w="3628"/>
            <w:shd w:val="clear" w:color="auto" w:fill="FAF6EF"/>
          </w:tcPr>
          <w:p>
            <w:pPr>
              <w:pStyle w:val="Compact"/>
              <w:spacing w:after="20"/>
              <w:jc w:val="left"/>
            </w:pPr>
            <w:r>
              <w:rPr>
                <w:sz w:val="19"/>
              </w:rPr>
              <w:t xml:space="preserve">Borders, dividers</w:t>
            </w:r>
          </w:p>
        </w:tc>
        <w:tc>
          <w:tcPr>
            <w:tcW w:type="dxa" w:w="3288"/>
            <w:shd w:val="clear" w:color="auto" w:fill="FAF6EF"/>
          </w:tcPr>
          <w:p>
            <w:pPr>
              <w:pStyle w:val="Compact"/>
              <w:spacing w:after="20"/>
            </w:pPr>
          </w:p>
        </w:tc>
      </w:tr>
      <w:tr>
        <w:tc>
          <w:tcPr>
            <w:tcW w:type="dxa" w:w="1474"/>
          </w:tcPr>
          <w:p>
            <w:pPr>
              <w:pStyle w:val="Compact"/>
              <w:spacing w:after="20"/>
              <w:jc w:val="left"/>
            </w:pPr>
            <w:r>
              <w:rPr>
                <w:sz w:val="19"/>
              </w:rPr>
              <w:t xml:space="preserve">Slate</w:t>
            </w:r>
          </w:p>
        </w:tc>
        <w:tc>
          <w:tcPr>
            <w:tcW w:type="dxa" w:w="1247"/>
          </w:tcPr>
          <w:p>
            <w:pPr>
              <w:pStyle w:val="Compact"/>
              <w:spacing w:after="20"/>
              <w:jc w:val="left"/>
            </w:pPr>
            <w:r>
              <w:rPr>
                <w:sz w:val="19"/>
              </w:rPr>
              <w:t xml:space="preserve">#2B3138</w:t>
            </w:r>
          </w:p>
        </w:tc>
        <w:tc>
          <w:tcPr>
            <w:tcW w:type="dxa" w:w="3628"/>
          </w:tcPr>
          <w:p>
            <w:pPr>
              <w:pStyle w:val="Compact"/>
              <w:spacing w:after="20"/>
              <w:jc w:val="left"/>
            </w:pPr>
            <w:r>
              <w:rPr>
                <w:sz w:val="19"/>
              </w:rPr>
              <w:t xml:space="preserve">Body text</w:t>
            </w:r>
          </w:p>
        </w:tc>
        <w:tc>
          <w:tcPr>
            <w:tcW w:type="dxa" w:w="3288"/>
          </w:tcPr>
          <w:p>
            <w:pPr>
              <w:pStyle w:val="Compact"/>
              <w:spacing w:after="20"/>
              <w:jc w:val="left"/>
            </w:pPr>
            <w:r>
              <w:rPr>
                <w:sz w:val="19"/>
              </w:rPr>
              <w:t xml:space="preserve">Slate on Cream 12.2:1</w:t>
            </w:r>
          </w:p>
        </w:tc>
      </w:tr>
      <w:tr>
        <w:tc>
          <w:tcPr>
            <w:tcW w:type="dxa" w:w="1474"/>
            <w:shd w:val="clear" w:color="auto" w:fill="FAF6EF"/>
          </w:tcPr>
          <w:p>
            <w:pPr>
              <w:pStyle w:val="Compact"/>
              <w:spacing w:after="20"/>
              <w:jc w:val="left"/>
            </w:pPr>
            <w:r>
              <w:rPr>
                <w:sz w:val="19"/>
              </w:rPr>
              <w:t xml:space="preserve">Success</w:t>
            </w:r>
          </w:p>
        </w:tc>
        <w:tc>
          <w:tcPr>
            <w:tcW w:type="dxa" w:w="1247"/>
            <w:shd w:val="clear" w:color="auto" w:fill="FAF6EF"/>
          </w:tcPr>
          <w:p>
            <w:pPr>
              <w:pStyle w:val="Compact"/>
              <w:spacing w:after="20"/>
              <w:jc w:val="left"/>
            </w:pPr>
            <w:r>
              <w:rPr>
                <w:sz w:val="19"/>
              </w:rPr>
              <w:t xml:space="preserve">#1E7A46</w:t>
            </w:r>
          </w:p>
        </w:tc>
        <w:tc>
          <w:tcPr>
            <w:tcW w:type="dxa" w:w="3628"/>
            <w:shd w:val="clear" w:color="auto" w:fill="FAF6EF"/>
          </w:tcPr>
          <w:p>
            <w:pPr>
              <w:pStyle w:val="Compact"/>
              <w:spacing w:after="20"/>
              <w:jc w:val="left"/>
            </w:pPr>
            <w:r>
              <w:rPr>
                <w:sz w:val="19"/>
              </w:rPr>
              <w:t xml:space="preserve">Paid, ready</w:t>
            </w:r>
          </w:p>
        </w:tc>
        <w:tc>
          <w:tcPr>
            <w:tcW w:type="dxa" w:w="3288"/>
            <w:shd w:val="clear" w:color="auto" w:fill="FAF6EF"/>
          </w:tcPr>
          <w:p>
            <w:pPr>
              <w:pStyle w:val="Compact"/>
              <w:spacing w:after="20"/>
              <w:jc w:val="left"/>
            </w:pPr>
            <w:r>
              <w:rPr>
                <w:sz w:val="19"/>
              </w:rPr>
              <w:t xml:space="preserve">White on Success 5.4:1</w:t>
            </w:r>
          </w:p>
        </w:tc>
      </w:tr>
      <w:tr>
        <w:tc>
          <w:tcPr>
            <w:tcW w:type="dxa" w:w="1474"/>
          </w:tcPr>
          <w:p>
            <w:pPr>
              <w:pStyle w:val="Compact"/>
              <w:spacing w:after="20"/>
              <w:jc w:val="left"/>
            </w:pPr>
            <w:r>
              <w:rPr>
                <w:sz w:val="19"/>
              </w:rPr>
              <w:t xml:space="preserve">Danger</w:t>
            </w:r>
          </w:p>
        </w:tc>
        <w:tc>
          <w:tcPr>
            <w:tcW w:type="dxa" w:w="1247"/>
          </w:tcPr>
          <w:p>
            <w:pPr>
              <w:pStyle w:val="Compact"/>
              <w:spacing w:after="20"/>
              <w:jc w:val="left"/>
            </w:pPr>
            <w:r>
              <w:rPr>
                <w:sz w:val="19"/>
              </w:rPr>
              <w:t xml:space="preserve">#B42318</w:t>
            </w:r>
          </w:p>
        </w:tc>
        <w:tc>
          <w:tcPr>
            <w:tcW w:type="dxa" w:w="3628"/>
          </w:tcPr>
          <w:p>
            <w:pPr>
              <w:pStyle w:val="Compact"/>
              <w:spacing w:after="20"/>
              <w:jc w:val="left"/>
            </w:pPr>
            <w:r>
              <w:rPr>
                <w:sz w:val="19"/>
              </w:rPr>
              <w:t xml:space="preserve">Voids, errors, destructive actions</w:t>
            </w:r>
          </w:p>
        </w:tc>
        <w:tc>
          <w:tcPr>
            <w:tcW w:type="dxa" w:w="3288"/>
          </w:tcPr>
          <w:p>
            <w:pPr>
              <w:pStyle w:val="Compact"/>
              <w:spacing w:after="20"/>
              <w:jc w:val="left"/>
            </w:pPr>
            <w:r>
              <w:rPr>
                <w:sz w:val="19"/>
              </w:rPr>
              <w:t xml:space="preserve">White on Danger 6.6:1</w:t>
            </w:r>
          </w:p>
        </w:tc>
      </w:tr>
    </w:tbl>
    <w:p>
      <w:pPr>
        <w:pStyle w:val="BodyText"/>
        <w:spacing w:after="100"/>
      </w:pPr>
      <w:r>
        <w:t xml:space="preserve">Because Ember and Danger are both warm, destructive and error states must always carry an icon and a text label, and never rely on colour alone. Teal text on Midnight is only 3.2:1, so use Cream or Saffron for text on dark surfaces. Receipts and kitchen tickets are black on white only.</w:t>
      </w:r>
    </w:p>
    <w:p>
      <w:pPr>
        <w:pStyle w:val="BodyText"/>
        <w:spacing w:after="100"/>
      </w:pPr>
      <w:r>
        <w:t xml:space="preserve">Interface principles: large touch and keyboard targets, one-screen order flow, visible state of every ticket and payment, clear error and empty states, confirmation for sensitive actions, tabular figures for all money, fonts bundled locally.</w:t>
      </w:r>
    </w:p>
    <w:bookmarkEnd w:id="70"/>
    <w:bookmarkStart w:id="72" w:name="X05e86acc947ce8e88a05268586b85344cba76f1"/>
    <w:p>
      <w:pPr>
        <w:pStyle w:val="Heading1"/>
        <w:spacing w:before="360"/>
        <w:pBdr>
          <w:bottom w:val="single" w:sz="8" w:space="2" w:color="0F766E"/>
        </w:pBdr>
      </w:pPr>
      <w:r>
        <w:t xml:space="preserve">21. Guidance for the AI build (summary; the master prompt has the full rules)</w:t>
      </w:r>
    </w:p>
    <w:p>
      <w:pPr>
        <w:numPr>
          <w:ilvl w:val="0"/>
          <w:numId w:val="1023"/>
        </w:numPr>
        <w:pStyle w:val="Compact"/>
        <w:spacing w:after="100"/>
      </w:pPr>
      <w:r>
        <w:t xml:space="preserve">Build in small stages, one vertical slice at a time, project runnable after each stage.</w:t>
      </w:r>
    </w:p>
    <w:p>
      <w:pPr>
        <w:numPr>
          <w:ilvl w:val="0"/>
          <w:numId w:val="1023"/>
        </w:numPr>
        <w:pStyle w:val="Compact"/>
        <w:spacing w:after="100"/>
      </w:pPr>
      <w:r>
        <w:t xml:space="preserve">Read this document first; summarise, flag conflicts, list assumptions.</w:t>
      </w:r>
    </w:p>
    <w:p>
      <w:pPr>
        <w:numPr>
          <w:ilvl w:val="0"/>
          <w:numId w:val="1023"/>
        </w:numPr>
        <w:pStyle w:val="Compact"/>
        <w:spacing w:after="100"/>
      </w:pPr>
      <w:r>
        <w:t xml:space="preserve">Produce architecture, ERD, API plan, RBAC matrix and state diagrams before heavy implementation.</w:t>
      </w:r>
    </w:p>
    <w:p>
      <w:pPr>
        <w:numPr>
          <w:ilvl w:val="0"/>
          <w:numId w:val="1023"/>
        </w:numPr>
        <w:pStyle w:val="Compact"/>
        <w:spacing w:after="100"/>
      </w:pPr>
      <w:r>
        <w:t xml:space="preserve">Keep a requirements-to-test traceability matrix (section 22 seed).</w:t>
      </w:r>
    </w:p>
    <w:p>
      <w:pPr>
        <w:numPr>
          <w:ilvl w:val="0"/>
          <w:numId w:val="1023"/>
        </w:numPr>
        <w:pStyle w:val="Compact"/>
        <w:spacing w:after="100"/>
      </w:pPr>
      <w:r>
        <w:t xml:space="preserve">Never fabricate provider APIs, compliance status or credentials. Never claim a test or deployment passed unless it was run.</w:t>
      </w:r>
    </w:p>
    <w:p>
      <w:pPr>
        <w:numPr>
          <w:ilvl w:val="0"/>
          <w:numId w:val="1023"/>
        </w:numPr>
        <w:pStyle w:val="Compact"/>
        <w:spacing w:after="100"/>
      </w:pPr>
      <w:r>
        <w:t xml:space="preserve">Respect all non-goals and non-negotiables.</w:t>
      </w:r>
    </w:p>
    <w:bookmarkStart w:id="71" w:name="limits-of-the-ai-build-sandbox"/>
    <w:p>
      <w:pPr>
        <w:pStyle w:val="Heading2"/>
      </w:pPr>
      <w:r>
        <w:t xml:space="preserve">21.1 Limits of the AI build sandbox</w:t>
      </w:r>
    </w:p>
    <w:p>
      <w:pPr>
        <w:pStyle w:val="FirstParagraph"/>
        <w:spacing w:after="100"/>
      </w:pPr>
      <w:r>
        <w:t xml:space="preserve">The chat sandbox may not have Docker, a PostgreSQL server, Go or sqlc, and its network allow-list may block Go module proxies. Claude must probe, state what is available, and mark every check it could not run as</w:t>
      </w:r>
      <w:r>
        <w:t xml:space="preserve"> </w:t>
      </w:r>
      <w:r>
        <w:rPr>
          <w:bCs/>
          <w:b/>
        </w:rPr>
        <w:t xml:space="preserve">unverified</w:t>
      </w:r>
      <w:r>
        <w:t xml:space="preserve">, with the exact command the owner should run locally. Tests that need PostgreSQL (overlap constraints, concurrency, idempotency) are written regardless and flagged as not run if no database is available.</w:t>
      </w:r>
    </w:p>
    <w:bookmarkEnd w:id="71"/>
    <w:bookmarkEnd w:id="72"/>
    <w:bookmarkStart w:id="73" w:name="traceability-matrix-seed"/>
    <w:p>
      <w:pPr>
        <w:pStyle w:val="Heading1"/>
        <w:spacing w:before="360"/>
        <w:pBdr>
          <w:bottom w:val="single" w:sz="8" w:space="2" w:color="0F766E"/>
        </w:pBdr>
      </w:pPr>
      <w:r>
        <w:t xml:space="preserve">22. Traceability matrix (seed)</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2608"/>
        <w:gridCol w:w="7030"/>
      </w:tblGrid>
      <w:tr>
        <w:trPr>
          <w:tblHeader w:val="true"/>
          <w:tblHeader w:val="true"/>
        </w:trPr>
        <w:tc>
          <w:tcPr>
            <w:tcW w:type="dxa" w:w="2608"/>
            <w:shd w:val="clear" w:color="auto" w:fill="0E1B2C"/>
          </w:tcPr>
          <w:p>
            <w:pPr>
              <w:pStyle w:val="Compact"/>
              <w:spacing w:after="20"/>
              <w:jc w:val="left"/>
            </w:pPr>
            <w:r>
              <w:rPr>
                <w:b/>
                <w:color w:val="FAF6EF"/>
                <w:sz w:val="19"/>
              </w:rPr>
              <w:t xml:space="preserve">Requirement</w:t>
            </w:r>
          </w:p>
        </w:tc>
        <w:tc>
          <w:tcPr>
            <w:tcW w:type="dxa" w:w="7030"/>
            <w:shd w:val="clear" w:color="auto" w:fill="0E1B2C"/>
          </w:tcPr>
          <w:p>
            <w:pPr>
              <w:pStyle w:val="Compact"/>
              <w:spacing w:after="20"/>
              <w:jc w:val="left"/>
            </w:pPr>
            <w:r>
              <w:rPr>
                <w:b/>
                <w:color w:val="FAF6EF"/>
                <w:sz w:val="19"/>
              </w:rPr>
              <w:t xml:space="preserve">Verification (initial plan)</w:t>
            </w:r>
          </w:p>
        </w:tc>
      </w:tr>
      <w:tr>
        <w:tc>
          <w:tcPr>
            <w:tcW w:type="dxa" w:w="2608"/>
          </w:tcPr>
          <w:p>
            <w:pPr>
              <w:pStyle w:val="Compact"/>
              <w:spacing w:after="20"/>
              <w:jc w:val="left"/>
            </w:pPr>
            <w:r>
              <w:rPr>
                <w:sz w:val="19"/>
              </w:rPr>
              <w:t xml:space="preserve">AC-01, AC-02</w:t>
            </w:r>
          </w:p>
        </w:tc>
        <w:tc>
          <w:tcPr>
            <w:tcW w:type="dxa" w:w="7030"/>
          </w:tcPr>
          <w:p>
            <w:pPr>
              <w:pStyle w:val="Compact"/>
              <w:spacing w:after="20"/>
              <w:jc w:val="left"/>
            </w:pPr>
            <w:r>
              <w:rPr>
                <w:sz w:val="19"/>
              </w:rPr>
              <w:t xml:space="preserve">Go integration tests: repeated finalise and payment calls with the same key; concurrent duplicate submits.</w:t>
            </w:r>
          </w:p>
        </w:tc>
      </w:tr>
      <w:tr>
        <w:tc>
          <w:tcPr>
            <w:tcW w:type="dxa" w:w="2608"/>
            <w:shd w:val="clear" w:color="auto" w:fill="FAF6EF"/>
          </w:tcPr>
          <w:p>
            <w:pPr>
              <w:pStyle w:val="Compact"/>
              <w:spacing w:after="20"/>
              <w:jc w:val="left"/>
            </w:pPr>
            <w:r>
              <w:rPr>
                <w:sz w:val="19"/>
              </w:rPr>
              <w:t xml:space="preserve">AC-03, AC-04</w:t>
            </w:r>
          </w:p>
        </w:tc>
        <w:tc>
          <w:tcPr>
            <w:tcW w:type="dxa" w:w="7030"/>
            <w:shd w:val="clear" w:color="auto" w:fill="FAF6EF"/>
          </w:tcPr>
          <w:p>
            <w:pPr>
              <w:pStyle w:val="Compact"/>
              <w:spacing w:after="20"/>
              <w:jc w:val="left"/>
            </w:pPr>
            <w:r>
              <w:rPr>
                <w:sz w:val="19"/>
              </w:rPr>
              <w:t xml:space="preserve">Tests that a forced print failure leaves one sale and one ticket; reprint record linked and marked.</w:t>
            </w:r>
          </w:p>
        </w:tc>
      </w:tr>
      <w:tr>
        <w:tc>
          <w:tcPr>
            <w:tcW w:type="dxa" w:w="2608"/>
          </w:tcPr>
          <w:p>
            <w:pPr>
              <w:pStyle w:val="Compact"/>
              <w:spacing w:after="20"/>
              <w:jc w:val="left"/>
            </w:pPr>
            <w:r>
              <w:rPr>
                <w:sz w:val="19"/>
              </w:rPr>
              <w:t xml:space="preserve">AC-05, AC-10, AC-11, AC-12</w:t>
            </w:r>
          </w:p>
        </w:tc>
        <w:tc>
          <w:tcPr>
            <w:tcW w:type="dxa" w:w="7030"/>
          </w:tcPr>
          <w:p>
            <w:pPr>
              <w:pStyle w:val="Compact"/>
              <w:spacing w:after="20"/>
              <w:jc w:val="left"/>
            </w:pPr>
            <w:r>
              <w:rPr>
                <w:sz w:val="19"/>
              </w:rPr>
              <w:t xml:space="preserve">Permission matrix tests per endpoint; Super Admin safeguard tests.</w:t>
            </w:r>
          </w:p>
        </w:tc>
      </w:tr>
      <w:tr>
        <w:tc>
          <w:tcPr>
            <w:tcW w:type="dxa" w:w="2608"/>
            <w:shd w:val="clear" w:color="auto" w:fill="FAF6EF"/>
          </w:tcPr>
          <w:p>
            <w:pPr>
              <w:pStyle w:val="Compact"/>
              <w:spacing w:after="20"/>
              <w:jc w:val="left"/>
            </w:pPr>
            <w:r>
              <w:rPr>
                <w:sz w:val="19"/>
              </w:rPr>
              <w:t xml:space="preserve">AC-06</w:t>
            </w:r>
          </w:p>
        </w:tc>
        <w:tc>
          <w:tcPr>
            <w:tcW w:type="dxa" w:w="7030"/>
            <w:shd w:val="clear" w:color="auto" w:fill="FAF6EF"/>
          </w:tcPr>
          <w:p>
            <w:pPr>
              <w:pStyle w:val="Compact"/>
              <w:spacing w:after="20"/>
              <w:jc w:val="left"/>
            </w:pPr>
            <w:r>
              <w:rPr>
                <w:sz w:val="19"/>
              </w:rPr>
              <w:t xml:space="preserve">Ledger tests: sum of movements equals balance; update and delete rejected; transfer pairs.</w:t>
            </w:r>
          </w:p>
        </w:tc>
      </w:tr>
      <w:tr>
        <w:tc>
          <w:tcPr>
            <w:tcW w:type="dxa" w:w="2608"/>
          </w:tcPr>
          <w:p>
            <w:pPr>
              <w:pStyle w:val="Compact"/>
              <w:spacing w:after="20"/>
              <w:jc w:val="left"/>
            </w:pPr>
            <w:r>
              <w:rPr>
                <w:sz w:val="19"/>
              </w:rPr>
              <w:t xml:space="preserve">AC-07, AC-08</w:t>
            </w:r>
          </w:p>
        </w:tc>
        <w:tc>
          <w:tcPr>
            <w:tcW w:type="dxa" w:w="7030"/>
          </w:tcPr>
          <w:p>
            <w:pPr>
              <w:pStyle w:val="Compact"/>
              <w:spacing w:after="20"/>
              <w:jc w:val="left"/>
            </w:pPr>
            <w:r>
              <w:rPr>
                <w:sz w:val="19"/>
              </w:rPr>
              <w:t xml:space="preserve">Concurrent booking test against the exclusion constraint; folio reconciliation test.</w:t>
            </w:r>
          </w:p>
        </w:tc>
      </w:tr>
      <w:tr>
        <w:tc>
          <w:tcPr>
            <w:tcW w:type="dxa" w:w="2608"/>
            <w:shd w:val="clear" w:color="auto" w:fill="FAF6EF"/>
          </w:tcPr>
          <w:p>
            <w:pPr>
              <w:pStyle w:val="Compact"/>
              <w:spacing w:after="20"/>
              <w:jc w:val="left"/>
            </w:pPr>
            <w:r>
              <w:rPr>
                <w:sz w:val="19"/>
              </w:rPr>
              <w:t xml:space="preserve">AC-09</w:t>
            </w:r>
          </w:p>
        </w:tc>
        <w:tc>
          <w:tcPr>
            <w:tcW w:type="dxa" w:w="7030"/>
            <w:shd w:val="clear" w:color="auto" w:fill="FAF6EF"/>
          </w:tcPr>
          <w:p>
            <w:pPr>
              <w:pStyle w:val="Compact"/>
              <w:spacing w:after="20"/>
              <w:jc w:val="left"/>
            </w:pPr>
            <w:r>
              <w:rPr>
                <w:sz w:val="19"/>
              </w:rPr>
              <w:t xml:space="preserve">Cash-up test from fixture transactions.</w:t>
            </w:r>
          </w:p>
        </w:tc>
      </w:tr>
      <w:tr>
        <w:tc>
          <w:tcPr>
            <w:tcW w:type="dxa" w:w="2608"/>
          </w:tcPr>
          <w:p>
            <w:pPr>
              <w:pStyle w:val="Compact"/>
              <w:spacing w:after="20"/>
              <w:jc w:val="left"/>
            </w:pPr>
            <w:r>
              <w:rPr>
                <w:sz w:val="19"/>
              </w:rPr>
              <w:t xml:space="preserve">AC-13 to AC-15, AC-17</w:t>
            </w:r>
          </w:p>
        </w:tc>
        <w:tc>
          <w:tcPr>
            <w:tcW w:type="dxa" w:w="7030"/>
          </w:tcPr>
          <w:p>
            <w:pPr>
              <w:pStyle w:val="Compact"/>
              <w:spacing w:after="20"/>
              <w:jc w:val="left"/>
            </w:pPr>
            <w:r>
              <w:rPr>
                <w:sz w:val="19"/>
              </w:rPr>
              <w:t xml:space="preserve">Documentation review and manual checklist; restore drill.</w:t>
            </w:r>
          </w:p>
        </w:tc>
      </w:tr>
      <w:tr>
        <w:tc>
          <w:tcPr>
            <w:tcW w:type="dxa" w:w="2608"/>
            <w:shd w:val="clear" w:color="auto" w:fill="FAF6EF"/>
          </w:tcPr>
          <w:p>
            <w:pPr>
              <w:pStyle w:val="Compact"/>
              <w:spacing w:after="20"/>
              <w:jc w:val="left"/>
            </w:pPr>
            <w:r>
              <w:rPr>
                <w:sz w:val="19"/>
              </w:rPr>
              <w:t xml:space="preserve">AC-16</w:t>
            </w:r>
          </w:p>
        </w:tc>
        <w:tc>
          <w:tcPr>
            <w:tcW w:type="dxa" w:w="7030"/>
            <w:shd w:val="clear" w:color="auto" w:fill="FAF6EF"/>
          </w:tcPr>
          <w:p>
            <w:pPr>
              <w:pStyle w:val="Compact"/>
              <w:spacing w:after="20"/>
              <w:jc w:val="left"/>
            </w:pPr>
            <w:r>
              <w:rPr>
                <w:sz w:val="19"/>
              </w:rPr>
              <w:t xml:space="preserve">Manual on-site printer test sheet.</w:t>
            </w:r>
          </w:p>
        </w:tc>
      </w:tr>
      <w:tr>
        <w:tc>
          <w:tcPr>
            <w:tcW w:type="dxa" w:w="2608"/>
          </w:tcPr>
          <w:p>
            <w:pPr>
              <w:pStyle w:val="Compact"/>
              <w:spacing w:after="20"/>
              <w:jc w:val="left"/>
            </w:pPr>
            <w:r>
              <w:rPr>
                <w:sz w:val="19"/>
              </w:rPr>
              <w:t xml:space="preserve">AC-18, AC-19</w:t>
            </w:r>
          </w:p>
        </w:tc>
        <w:tc>
          <w:tcPr>
            <w:tcW w:type="dxa" w:w="7030"/>
          </w:tcPr>
          <w:p>
            <w:pPr>
              <w:pStyle w:val="Compact"/>
              <w:spacing w:after="20"/>
              <w:jc w:val="left"/>
            </w:pPr>
            <w:r>
              <w:rPr>
                <w:sz w:val="19"/>
              </w:rPr>
              <w:t xml:space="preserve">Gated; manual verification once routes are confirmed.</w:t>
            </w:r>
          </w:p>
        </w:tc>
      </w:tr>
      <w:tr>
        <w:tc>
          <w:tcPr>
            <w:tcW w:type="dxa" w:w="2608"/>
            <w:shd w:val="clear" w:color="auto" w:fill="FAF6EF"/>
          </w:tcPr>
          <w:p>
            <w:pPr>
              <w:pStyle w:val="Compact"/>
              <w:spacing w:after="20"/>
              <w:jc w:val="left"/>
            </w:pPr>
            <w:r>
              <w:rPr>
                <w:sz w:val="19"/>
              </w:rPr>
              <w:t xml:space="preserve">AC-20</w:t>
            </w:r>
          </w:p>
        </w:tc>
        <w:tc>
          <w:tcPr>
            <w:tcW w:type="dxa" w:w="7030"/>
            <w:shd w:val="clear" w:color="auto" w:fill="FAF6EF"/>
          </w:tcPr>
          <w:p>
            <w:pPr>
              <w:pStyle w:val="Compact"/>
              <w:spacing w:after="20"/>
              <w:jc w:val="left"/>
            </w:pPr>
            <w:r>
              <w:rPr>
                <w:sz w:val="19"/>
              </w:rPr>
              <w:t xml:space="preserve">Report reconciliation tests against fixtures.</w:t>
            </w:r>
          </w:p>
        </w:tc>
      </w:tr>
      <w:tr>
        <w:tc>
          <w:tcPr>
            <w:tcW w:type="dxa" w:w="2608"/>
          </w:tcPr>
          <w:p>
            <w:pPr>
              <w:pStyle w:val="Compact"/>
              <w:spacing w:after="20"/>
              <w:jc w:val="left"/>
            </w:pPr>
            <w:r>
              <w:rPr>
                <w:sz w:val="19"/>
              </w:rPr>
              <w:t xml:space="preserve">AC-21</w:t>
            </w:r>
          </w:p>
        </w:tc>
        <w:tc>
          <w:tcPr>
            <w:tcW w:type="dxa" w:w="7030"/>
          </w:tcPr>
          <w:p>
            <w:pPr>
              <w:pStyle w:val="Compact"/>
              <w:spacing w:after="20"/>
              <w:jc w:val="left"/>
            </w:pPr>
            <w:r>
              <w:rPr>
                <w:sz w:val="19"/>
              </w:rPr>
              <w:t xml:space="preserve">Handover checklist.</w:t>
            </w:r>
          </w:p>
        </w:tc>
      </w:tr>
    </w:tbl>
    <w:bookmarkEnd w:id="73"/>
    <w:bookmarkStart w:id="74" w:name="non-negotiable-rules"/>
    <w:p>
      <w:pPr>
        <w:pStyle w:val="Heading1"/>
        <w:spacing w:before="360"/>
        <w:pBdr>
          <w:bottom w:val="single" w:sz="8" w:space="2" w:color="0F766E"/>
        </w:pBdr>
      </w:pPr>
      <w:r>
        <w:t xml:space="preserve">23. Non-negotiable rules</w:t>
      </w:r>
    </w:p>
    <w:tbl>
      <w:tblPr>
        <w:tblStyle w:val="Table"/>
        <w:tblLook w:firstRow="1" w:lastRow="0" w:firstColumn="0" w:lastColumn="0" w:noHBand="0" w:noVBand="0" w:val="0020"/>
        <w:jc w:val="start"/>
        <w:tblBorders>
          <w:top w:val="single" w:sz="4" w:space="0" w:color="C9BFAE"/>
          <w:left w:val="single" w:sz="4" w:space="0" w:color="C9BFAE"/>
          <w:bottom w:val="single" w:sz="4" w:space="0" w:color="C9BFAE"/>
          <w:right w:val="single" w:sz="4" w:space="0" w:color="C9BFAE"/>
          <w:insideH w:val="single" w:sz="4" w:space="0" w:color="C9BFAE"/>
          <w:insideV w:val="single" w:sz="4" w:space="0" w:color="C9BFAE"/>
        </w:tblBorders>
        <w:tblLayout w:type="fixed"/>
        <w:tblCellMar>
          <w:top w:w="50" w:type="dxa"/>
          <w:left w:w="90" w:type="dxa"/>
          <w:bottom w:w="50" w:type="dxa"/>
          <w:right w:w="90" w:type="dxa"/>
        </w:tblCellMar>
        <w:tblW w:w="9639" w:type="dxa"/>
        <w:tblLayout w:type="fixed"/>
      </w:tblPr>
      <w:tblGrid>
        <w:gridCol w:w="1360"/>
        <w:gridCol w:w="8278"/>
      </w:tblGrid>
      <w:tr>
        <w:trPr>
          <w:tblHeader w:val="true"/>
          <w:tblHeader w:val="true"/>
        </w:trPr>
        <w:tc>
          <w:tcPr>
            <w:tcW w:type="dxa" w:w="1361"/>
            <w:shd w:val="clear" w:color="auto" w:fill="0E1B2C"/>
          </w:tcPr>
          <w:p>
            <w:pPr>
              <w:pStyle w:val="Compact"/>
              <w:spacing w:after="20"/>
              <w:jc w:val="left"/>
            </w:pPr>
            <w:r>
              <w:rPr>
                <w:b/>
                <w:color w:val="FAF6EF"/>
                <w:sz w:val="19"/>
              </w:rPr>
              <w:t xml:space="preserve">ID</w:t>
            </w:r>
          </w:p>
        </w:tc>
        <w:tc>
          <w:tcPr>
            <w:tcW w:type="dxa" w:w="8277"/>
            <w:shd w:val="clear" w:color="auto" w:fill="0E1B2C"/>
          </w:tcPr>
          <w:p>
            <w:pPr>
              <w:pStyle w:val="Compact"/>
              <w:spacing w:after="20"/>
              <w:jc w:val="left"/>
            </w:pPr>
            <w:r>
              <w:rPr>
                <w:b/>
                <w:color w:val="FAF6EF"/>
                <w:sz w:val="19"/>
              </w:rPr>
              <w:t xml:space="preserve">Rule</w:t>
            </w:r>
          </w:p>
        </w:tc>
      </w:tr>
      <w:tr>
        <w:tc>
          <w:tcPr>
            <w:tcW w:type="dxa" w:w="1361"/>
          </w:tcPr>
          <w:p>
            <w:pPr>
              <w:pStyle w:val="Compact"/>
              <w:spacing w:after="20"/>
              <w:jc w:val="left"/>
            </w:pPr>
            <w:r>
              <w:rPr>
                <w:sz w:val="19"/>
              </w:rPr>
              <w:t xml:space="preserve">NN-01</w:t>
            </w:r>
          </w:p>
        </w:tc>
        <w:tc>
          <w:tcPr>
            <w:tcW w:type="dxa" w:w="8277"/>
          </w:tcPr>
          <w:p>
            <w:pPr>
              <w:pStyle w:val="Compact"/>
              <w:spacing w:after="20"/>
              <w:jc w:val="left"/>
            </w:pPr>
            <w:r>
              <w:rPr>
                <w:sz w:val="19"/>
              </w:rPr>
              <w:t xml:space="preserve">Single business in v1; no multi-tenancy.</w:t>
            </w:r>
          </w:p>
        </w:tc>
      </w:tr>
      <w:tr>
        <w:tc>
          <w:tcPr>
            <w:tcW w:type="dxa" w:w="1361"/>
            <w:shd w:val="clear" w:color="auto" w:fill="FAF6EF"/>
          </w:tcPr>
          <w:p>
            <w:pPr>
              <w:pStyle w:val="Compact"/>
              <w:spacing w:after="20"/>
              <w:jc w:val="left"/>
            </w:pPr>
            <w:r>
              <w:rPr>
                <w:sz w:val="19"/>
              </w:rPr>
              <w:t xml:space="preserve">NN-02</w:t>
            </w:r>
          </w:p>
        </w:tc>
        <w:tc>
          <w:tcPr>
            <w:tcW w:type="dxa" w:w="8277"/>
            <w:shd w:val="clear" w:color="auto" w:fill="FAF6EF"/>
          </w:tcPr>
          <w:p>
            <w:pPr>
              <w:pStyle w:val="Compact"/>
              <w:spacing w:after="20"/>
              <w:jc w:val="left"/>
            </w:pPr>
            <w:r>
              <w:rPr>
                <w:sz w:val="19"/>
              </w:rPr>
              <w:t xml:space="preserve">Cloud-hosted, online-first; no offline POS or sync in v1.</w:t>
            </w:r>
          </w:p>
        </w:tc>
      </w:tr>
      <w:tr>
        <w:tc>
          <w:tcPr>
            <w:tcW w:type="dxa" w:w="1361"/>
          </w:tcPr>
          <w:p>
            <w:pPr>
              <w:pStyle w:val="Compact"/>
              <w:spacing w:after="20"/>
              <w:jc w:val="left"/>
            </w:pPr>
            <w:r>
              <w:rPr>
                <w:sz w:val="19"/>
              </w:rPr>
              <w:t xml:space="preserve">NN-03</w:t>
            </w:r>
          </w:p>
        </w:tc>
        <w:tc>
          <w:tcPr>
            <w:tcW w:type="dxa" w:w="8277"/>
          </w:tcPr>
          <w:p>
            <w:pPr>
              <w:pStyle w:val="Compact"/>
              <w:spacing w:after="20"/>
              <w:jc w:val="left"/>
            </w:pPr>
            <w:r>
              <w:rPr>
                <w:sz w:val="19"/>
              </w:rPr>
              <w:t xml:space="preserve">Kitchen workflow is in v1; existing 80 mm printer; staff carry tickets.</w:t>
            </w:r>
          </w:p>
        </w:tc>
      </w:tr>
      <w:tr>
        <w:tc>
          <w:tcPr>
            <w:tcW w:type="dxa" w:w="1361"/>
            <w:shd w:val="clear" w:color="auto" w:fill="FAF6EF"/>
          </w:tcPr>
          <w:p>
            <w:pPr>
              <w:pStyle w:val="Compact"/>
              <w:spacing w:after="20"/>
              <w:jc w:val="left"/>
            </w:pPr>
            <w:r>
              <w:rPr>
                <w:sz w:val="19"/>
              </w:rPr>
              <w:t xml:space="preserve">NN-04</w:t>
            </w:r>
          </w:p>
        </w:tc>
        <w:tc>
          <w:tcPr>
            <w:tcW w:type="dxa" w:w="8277"/>
            <w:shd w:val="clear" w:color="auto" w:fill="FAF6EF"/>
          </w:tcPr>
          <w:p>
            <w:pPr>
              <w:pStyle w:val="Compact"/>
              <w:spacing w:after="20"/>
              <w:jc w:val="left"/>
            </w:pPr>
            <w:r>
              <w:rPr>
                <w:sz w:val="19"/>
              </w:rPr>
              <w:t xml:space="preserve">Sale finalisation is atomic and idempotent; commit before reporting success.</w:t>
            </w:r>
          </w:p>
        </w:tc>
      </w:tr>
      <w:tr>
        <w:tc>
          <w:tcPr>
            <w:tcW w:type="dxa" w:w="1361"/>
          </w:tcPr>
          <w:p>
            <w:pPr>
              <w:pStyle w:val="Compact"/>
              <w:spacing w:after="20"/>
              <w:jc w:val="left"/>
            </w:pPr>
            <w:r>
              <w:rPr>
                <w:sz w:val="19"/>
              </w:rPr>
              <w:t xml:space="preserve">NN-05</w:t>
            </w:r>
          </w:p>
        </w:tc>
        <w:tc>
          <w:tcPr>
            <w:tcW w:type="dxa" w:w="8277"/>
          </w:tcPr>
          <w:p>
            <w:pPr>
              <w:pStyle w:val="Compact"/>
              <w:spacing w:after="20"/>
              <w:jc w:val="left"/>
            </w:pPr>
            <w:r>
              <w:rPr>
                <w:sz w:val="19"/>
              </w:rPr>
              <w:t xml:space="preserve">Printing is separate from persistence; retries cannot duplicate transactions.</w:t>
            </w:r>
          </w:p>
        </w:tc>
      </w:tr>
      <w:tr>
        <w:tc>
          <w:tcPr>
            <w:tcW w:type="dxa" w:w="1361"/>
            <w:shd w:val="clear" w:color="auto" w:fill="FAF6EF"/>
          </w:tcPr>
          <w:p>
            <w:pPr>
              <w:pStyle w:val="Compact"/>
              <w:spacing w:after="20"/>
              <w:jc w:val="left"/>
            </w:pPr>
            <w:r>
              <w:rPr>
                <w:sz w:val="19"/>
              </w:rPr>
              <w:t xml:space="preserve">NN-06</w:t>
            </w:r>
          </w:p>
        </w:tc>
        <w:tc>
          <w:tcPr>
            <w:tcW w:type="dxa" w:w="8277"/>
            <w:shd w:val="clear" w:color="auto" w:fill="FAF6EF"/>
          </w:tcPr>
          <w:p>
            <w:pPr>
              <w:pStyle w:val="Compact"/>
              <w:spacing w:after="20"/>
              <w:jc w:val="left"/>
            </w:pPr>
            <w:r>
              <w:rPr>
                <w:sz w:val="19"/>
              </w:rPr>
              <w:t xml:space="preserve">The backend enforces authorisation and every critical rule.</w:t>
            </w:r>
          </w:p>
        </w:tc>
      </w:tr>
      <w:tr>
        <w:tc>
          <w:tcPr>
            <w:tcW w:type="dxa" w:w="1361"/>
          </w:tcPr>
          <w:p>
            <w:pPr>
              <w:pStyle w:val="Compact"/>
              <w:spacing w:after="20"/>
              <w:jc w:val="left"/>
            </w:pPr>
            <w:r>
              <w:rPr>
                <w:sz w:val="19"/>
              </w:rPr>
              <w:t xml:space="preserve">NN-07</w:t>
            </w:r>
          </w:p>
        </w:tc>
        <w:tc>
          <w:tcPr>
            <w:tcW w:type="dxa" w:w="8277"/>
          </w:tcPr>
          <w:p>
            <w:pPr>
              <w:pStyle w:val="Compact"/>
              <w:spacing w:after="20"/>
              <w:jc w:val="left"/>
            </w:pPr>
            <w:r>
              <w:rPr>
                <w:sz w:val="19"/>
              </w:rPr>
              <w:t xml:space="preserve">Business Manager is not automatically Super Admin; role configuration cannot grant system.admin.</w:t>
            </w:r>
          </w:p>
        </w:tc>
      </w:tr>
      <w:tr>
        <w:tc>
          <w:tcPr>
            <w:tcW w:type="dxa" w:w="1361"/>
            <w:shd w:val="clear" w:color="auto" w:fill="FAF6EF"/>
          </w:tcPr>
          <w:p>
            <w:pPr>
              <w:pStyle w:val="Compact"/>
              <w:spacing w:after="20"/>
              <w:jc w:val="left"/>
            </w:pPr>
            <w:r>
              <w:rPr>
                <w:sz w:val="19"/>
              </w:rPr>
              <w:t xml:space="preserve">NN-08</w:t>
            </w:r>
          </w:p>
        </w:tc>
        <w:tc>
          <w:tcPr>
            <w:tcW w:type="dxa" w:w="8277"/>
            <w:shd w:val="clear" w:color="auto" w:fill="FAF6EF"/>
          </w:tcPr>
          <w:p>
            <w:pPr>
              <w:pStyle w:val="Compact"/>
              <w:spacing w:after="20"/>
              <w:jc w:val="left"/>
            </w:pPr>
            <w:r>
              <w:rPr>
                <w:sz w:val="19"/>
              </w:rPr>
              <w:t xml:space="preserve">Never delete completed financial, stock or folio history; use audited compensating records.</w:t>
            </w:r>
          </w:p>
        </w:tc>
      </w:tr>
      <w:tr>
        <w:tc>
          <w:tcPr>
            <w:tcW w:type="dxa" w:w="1361"/>
          </w:tcPr>
          <w:p>
            <w:pPr>
              <w:pStyle w:val="Compact"/>
              <w:spacing w:after="20"/>
              <w:jc w:val="left"/>
            </w:pPr>
            <w:r>
              <w:rPr>
                <w:sz w:val="19"/>
              </w:rPr>
              <w:t xml:space="preserve">NN-09</w:t>
            </w:r>
          </w:p>
        </w:tc>
        <w:tc>
          <w:tcPr>
            <w:tcW w:type="dxa" w:w="8277"/>
          </w:tcPr>
          <w:p>
            <w:pPr>
              <w:pStyle w:val="Compact"/>
              <w:spacing w:after="20"/>
              <w:jc w:val="left"/>
            </w:pPr>
            <w:r>
              <w:rPr>
                <w:sz w:val="19"/>
              </w:rPr>
              <w:t xml:space="preserve">Money never uses floating point; stock and balances trace to ledger records.</w:t>
            </w:r>
          </w:p>
        </w:tc>
      </w:tr>
      <w:tr>
        <w:tc>
          <w:tcPr>
            <w:tcW w:type="dxa" w:w="1361"/>
            <w:shd w:val="clear" w:color="auto" w:fill="FAF6EF"/>
          </w:tcPr>
          <w:p>
            <w:pPr>
              <w:pStyle w:val="Compact"/>
              <w:spacing w:after="20"/>
              <w:jc w:val="left"/>
            </w:pPr>
            <w:r>
              <w:rPr>
                <w:sz w:val="19"/>
              </w:rPr>
              <w:t xml:space="preserve">NN-10</w:t>
            </w:r>
          </w:p>
        </w:tc>
        <w:tc>
          <w:tcPr>
            <w:tcW w:type="dxa" w:w="8277"/>
            <w:shd w:val="clear" w:color="auto" w:fill="FAF6EF"/>
          </w:tcPr>
          <w:p>
            <w:pPr>
              <w:pStyle w:val="Compact"/>
              <w:spacing w:after="20"/>
              <w:jc w:val="left"/>
            </w:pPr>
            <w:r>
              <w:rPr>
                <w:sz w:val="19"/>
              </w:rPr>
              <w:t xml:space="preserve">Room charges are folio postings, not payments.</w:t>
            </w:r>
          </w:p>
        </w:tc>
      </w:tr>
      <w:tr>
        <w:tc>
          <w:tcPr>
            <w:tcW w:type="dxa" w:w="1361"/>
          </w:tcPr>
          <w:p>
            <w:pPr>
              <w:pStyle w:val="Compact"/>
              <w:spacing w:after="20"/>
              <w:jc w:val="left"/>
            </w:pPr>
            <w:r>
              <w:rPr>
                <w:sz w:val="19"/>
              </w:rPr>
              <w:t xml:space="preserve">NN-11</w:t>
            </w:r>
          </w:p>
        </w:tc>
        <w:tc>
          <w:tcPr>
            <w:tcW w:type="dxa" w:w="8277"/>
          </w:tcPr>
          <w:p>
            <w:pPr>
              <w:pStyle w:val="Compact"/>
              <w:spacing w:after="20"/>
              <w:jc w:val="left"/>
            </w:pPr>
            <w:r>
              <w:rPr>
                <w:sz w:val="19"/>
              </w:rPr>
              <w:t xml:space="preserve">M-Pesa paid state requires the verified path.</w:t>
            </w:r>
          </w:p>
        </w:tc>
      </w:tr>
      <w:tr>
        <w:tc>
          <w:tcPr>
            <w:tcW w:type="dxa" w:w="1361"/>
            <w:shd w:val="clear" w:color="auto" w:fill="FAF6EF"/>
          </w:tcPr>
          <w:p>
            <w:pPr>
              <w:pStyle w:val="Compact"/>
              <w:spacing w:after="20"/>
              <w:jc w:val="left"/>
            </w:pPr>
            <w:r>
              <w:rPr>
                <w:sz w:val="19"/>
              </w:rPr>
              <w:t xml:space="preserve">NN-12</w:t>
            </w:r>
          </w:p>
        </w:tc>
        <w:tc>
          <w:tcPr>
            <w:tcW w:type="dxa" w:w="8277"/>
            <w:shd w:val="clear" w:color="auto" w:fill="FAF6EF"/>
          </w:tcPr>
          <w:p>
            <w:pPr>
              <w:pStyle w:val="Compact"/>
              <w:spacing w:after="20"/>
              <w:jc w:val="left"/>
            </w:pPr>
            <w:r>
              <w:rPr>
                <w:sz w:val="19"/>
              </w:rPr>
              <w:t xml:space="preserve">No eTIMS compliance claim before the route is verified and tested.</w:t>
            </w:r>
          </w:p>
        </w:tc>
      </w:tr>
      <w:tr>
        <w:tc>
          <w:tcPr>
            <w:tcW w:type="dxa" w:w="1361"/>
          </w:tcPr>
          <w:p>
            <w:pPr>
              <w:pStyle w:val="Compact"/>
              <w:spacing w:after="20"/>
              <w:jc w:val="left"/>
            </w:pPr>
            <w:r>
              <w:rPr>
                <w:sz w:val="19"/>
              </w:rPr>
              <w:t xml:space="preserve">NN-13</w:t>
            </w:r>
          </w:p>
        </w:tc>
        <w:tc>
          <w:tcPr>
            <w:tcW w:type="dxa" w:w="8277"/>
          </w:tcPr>
          <w:p>
            <w:pPr>
              <w:pStyle w:val="Compact"/>
              <w:spacing w:after="20"/>
              <w:jc w:val="left"/>
            </w:pPr>
            <w:r>
              <w:rPr>
                <w:sz w:val="19"/>
              </w:rPr>
              <w:t xml:space="preserve">Production database is Supabase-managed, not Dockerised.</w:t>
            </w:r>
          </w:p>
        </w:tc>
      </w:tr>
      <w:tr>
        <w:tc>
          <w:tcPr>
            <w:tcW w:type="dxa" w:w="1361"/>
            <w:shd w:val="clear" w:color="auto" w:fill="FAF6EF"/>
          </w:tcPr>
          <w:p>
            <w:pPr>
              <w:pStyle w:val="Compact"/>
              <w:spacing w:after="20"/>
              <w:jc w:val="left"/>
            </w:pPr>
            <w:r>
              <w:rPr>
                <w:sz w:val="19"/>
              </w:rPr>
              <w:t xml:space="preserve">NN-14</w:t>
            </w:r>
          </w:p>
        </w:tc>
        <w:tc>
          <w:tcPr>
            <w:tcW w:type="dxa" w:w="8277"/>
            <w:shd w:val="clear" w:color="auto" w:fill="FAF6EF"/>
          </w:tcPr>
          <w:p>
            <w:pPr>
              <w:pStyle w:val="Compact"/>
              <w:spacing w:after="20"/>
              <w:jc w:val="left"/>
            </w:pPr>
            <w:r>
              <w:rPr>
                <w:sz w:val="19"/>
              </w:rPr>
              <w:t xml:space="preserve">No fixed timeline or exact hardware price before discovery and current quotes.</w:t>
            </w:r>
          </w:p>
        </w:tc>
      </w:tr>
    </w:tbl>
    <w:p>
      <w:pPr>
        <w:pStyle w:val="BodyText"/>
        <w:spacing w:after="100"/>
      </w:pPr>
      <w:r>
        <w:rPr>
          <w:iCs/>
          <w:i/>
        </w:rPr>
        <w:t xml:space="preserve">Working specification, version 2.0, prepared 12 October 2026. Validate discovery items before implementation.</w:t>
      </w:r>
    </w:p>
    <w:bookmarkEnd w:id="74"/>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2B3138"/>
        <w:sz w:val="16"/>
      </w:rPr>
      <w:t>ZUSCAR  |  System Requirements, Architecture and Delivery Brief v2.0  |  Working specification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2B3138"/>
      <w:sz w:val="21"/>
    </w:rPr>
  </w:style>
  <w:style w:styleId="BodyText" w:type="paragraph">
    <w:name w:val="Body Text"/>
    <w:basedOn w:val="Normal"/>
    <w:link w:val="BodyTextChar"/>
    <w:pPr>
      <w:spacing w:after="180" w:before="180"/>
    </w:pPr>
    <w:qFormat/>
    <w:rPr>
      <w:rFonts w:ascii="Calibri" w:hAnsi="Calibri" w:cs="Calibri" w:eastAsia="Calibri"/>
      <w:color w:val="2B3138"/>
      <w:sz w:val="21"/>
    </w:rPr>
  </w:style>
  <w:style w:customStyle="1" w:styleId="FirstParagraph" w:type="paragraph">
    <w:name w:val="First Paragraph"/>
    <w:basedOn w:val="BodyText"/>
    <w:next w:val="BodyText"/>
    <w:qFormat/>
    <w:rPr>
      <w:rFonts w:ascii="Calibri" w:hAnsi="Calibri" w:cs="Calibri" w:eastAsia="Calibri"/>
      <w:color w:val="2B3138"/>
      <w:sz w:val="21"/>
    </w:rPr>
  </w:style>
  <w:style w:customStyle="1" w:styleId="Compact" w:type="paragraph">
    <w:name w:val="Compact"/>
    <w:basedOn w:val="BodyText"/>
    <w:qFormat/>
    <w:pPr>
      <w:spacing w:after="36" w:before="36"/>
    </w:pPr>
    <w:rPr>
      <w:rFonts w:ascii="Calibri" w:hAnsi="Calibri" w:cs="Calibri" w:eastAsia="Calibri"/>
      <w:color w:val="2B3138"/>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0E1B2C"/>
      <w:sz w:val="60"/>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color w:val="0F766E"/>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0E1B2C"/>
      <w:sz w:val="34"/>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0F766E"/>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0E1B2C"/>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color w:val="2B313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bCs w:val="0"/>
      <w:color w:val="0E1B2C"/>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ZUSCAR</dc:title>
  <dc:creator/>
  <cp:keywords/>
  <dcterms:created xsi:type="dcterms:W3CDTF">2026-10-12T20:54:30Z</dcterms:created>
  <dcterms:modified xsi:type="dcterms:W3CDTF">2026-10-12T20:54:30Z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System Requirements, Architecture and Delivery Brief — Version 2.0</vt:lpwstr>
  </property>
</Properties>
</file>