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A8" w:rsidRDefault="00BC0559">
      <w:pPr>
        <w:rPr>
          <w:b/>
          <w:sz w:val="44"/>
          <w:szCs w:val="44"/>
        </w:rPr>
      </w:pPr>
      <w:r>
        <w:rPr>
          <w:b/>
          <w:sz w:val="44"/>
          <w:szCs w:val="44"/>
        </w:rPr>
        <w:t>Flux Roularta – gestionnaire de flux XML</w:t>
      </w:r>
    </w:p>
    <w:p w:rsidR="00D17964" w:rsidRPr="00D17964" w:rsidRDefault="00D17964">
      <w:pPr>
        <w:rPr>
          <w:sz w:val="10"/>
        </w:rPr>
      </w:pPr>
      <w:r w:rsidRPr="00D17964">
        <w:rPr>
          <w:b/>
          <w:szCs w:val="44"/>
        </w:rPr>
        <w:t>Version document : 1.2</w:t>
      </w:r>
    </w:p>
    <w:p w:rsidR="00D17964" w:rsidRDefault="004F61CE">
      <w:pPr>
        <w:rPr>
          <w:b/>
          <w:u w:val="single"/>
        </w:rPr>
      </w:pPr>
      <w:r w:rsidRPr="004F61CE">
        <w:rPr>
          <w:b/>
          <w:u w:val="single"/>
        </w:rPr>
        <w:t>Auteurs :</w:t>
      </w:r>
    </w:p>
    <w:p w:rsidR="00D17964" w:rsidRDefault="00C17D46">
      <w:r>
        <w:t xml:space="preserve">Olivier </w:t>
      </w:r>
      <w:proofErr w:type="spellStart"/>
      <w:r>
        <w:t>Fostier</w:t>
      </w:r>
      <w:proofErr w:type="spellEnd"/>
      <w:r w:rsidR="00D17964">
        <w:t xml:space="preserve"> </w:t>
      </w:r>
      <w:r w:rsidR="003852D6">
        <w:t xml:space="preserve"> ( chef</w:t>
      </w:r>
      <w:bookmarkStart w:id="0" w:name="_GoBack"/>
      <w:bookmarkEnd w:id="0"/>
      <w:r>
        <w:t xml:space="preserve"> de projet </w:t>
      </w:r>
      <w:r w:rsidR="004F61CE">
        <w:t>technique</w:t>
      </w:r>
      <w:r w:rsidR="00D17964">
        <w:t xml:space="preserve"> )</w:t>
      </w:r>
    </w:p>
    <w:p w:rsidR="001D00A8" w:rsidRDefault="004F61CE" w:rsidP="00D17964">
      <w:r>
        <w:t xml:space="preserve">Christophe </w:t>
      </w:r>
      <w:proofErr w:type="spellStart"/>
      <w:r>
        <w:t>Egéa</w:t>
      </w:r>
      <w:proofErr w:type="spellEnd"/>
      <w:r w:rsidR="00D17964">
        <w:t xml:space="preserve"> – société </w:t>
      </w:r>
      <w:proofErr w:type="spellStart"/>
      <w:r w:rsidR="00D17964">
        <w:t>Infolor</w:t>
      </w:r>
      <w:proofErr w:type="spellEnd"/>
      <w:r>
        <w:t xml:space="preserve"> </w:t>
      </w:r>
      <w:proofErr w:type="gramStart"/>
      <w:r>
        <w:t>( développeur</w:t>
      </w:r>
      <w:proofErr w:type="gramEnd"/>
      <w:r>
        <w:t xml:space="preserve"> web )</w:t>
      </w:r>
    </w:p>
    <w:p w:rsidR="001D00A8" w:rsidRDefault="00BC0559">
      <w:pPr>
        <w:pBdr>
          <w:bottom w:val="single" w:sz="4" w:space="0" w:color="00000A"/>
        </w:pBdr>
      </w:pPr>
      <w:r>
        <w:rPr>
          <w:b/>
          <w:sz w:val="28"/>
          <w:szCs w:val="28"/>
        </w:rPr>
        <w:t>Contexte</w:t>
      </w:r>
    </w:p>
    <w:p w:rsidR="001D00A8" w:rsidRDefault="004F61CE">
      <w:pPr>
        <w:jc w:val="both"/>
      </w:pPr>
      <w:r>
        <w:t xml:space="preserve">Création </w:t>
      </w:r>
      <w:r w:rsidR="00BC0559">
        <w:t xml:space="preserve">d’un gestionnaire multi-flux pour les partenaires </w:t>
      </w:r>
      <w:proofErr w:type="spellStart"/>
      <w:r w:rsidR="00BC0559">
        <w:t>Logicimmo</w:t>
      </w:r>
      <w:proofErr w:type="spellEnd"/>
      <w:r w:rsidR="00BC0559">
        <w:t xml:space="preserve">. Ces </w:t>
      </w:r>
      <w:r>
        <w:t xml:space="preserve">flux produisent des annonces exploitables sous d’autres formats par les partenaires de  </w:t>
      </w:r>
      <w:proofErr w:type="spellStart"/>
      <w:r>
        <w:t>Logicimmo</w:t>
      </w:r>
      <w:proofErr w:type="spellEnd"/>
      <w:r>
        <w:t>.</w:t>
      </w:r>
    </w:p>
    <w:p w:rsidR="00CC67CC" w:rsidRDefault="00CC67CC">
      <w:pPr>
        <w:jc w:val="both"/>
      </w:pPr>
    </w:p>
    <w:p w:rsidR="001D00A8" w:rsidRDefault="00BC0559">
      <w:pPr>
        <w:pBdr>
          <w:bottom w:val="single" w:sz="4" w:space="0" w:color="00000A"/>
        </w:pBdr>
      </w:pPr>
      <w:r>
        <w:rPr>
          <w:b/>
          <w:sz w:val="28"/>
          <w:szCs w:val="28"/>
        </w:rPr>
        <w:t>Présentation technique générale</w:t>
      </w:r>
    </w:p>
    <w:tbl>
      <w:tblPr>
        <w:tblW w:w="0" w:type="auto"/>
        <w:tblInd w:w="1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9"/>
        <w:gridCol w:w="4545"/>
      </w:tblGrid>
      <w:tr w:rsidR="001D00A8">
        <w:trPr>
          <w:trHeight w:val="345"/>
        </w:trPr>
        <w:tc>
          <w:tcPr>
            <w:tcW w:w="433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EB314D">
            <w:r>
              <w:object w:dxaOrig="3015" w:dyaOrig="4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218.25pt" o:ole="">
                  <v:imagedata r:id="rId6" o:title=""/>
                </v:shape>
                <o:OLEObject Type="Embed" ProgID="PBrush" ShapeID="_x0000_i1025" DrawAspect="Content" ObjectID="_1439797313" r:id="rId7"/>
              </w:objec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Le gestionnaire de flux se trouve dans le répertoire « flux </w:t>
            </w:r>
            <w:proofErr w:type="gramStart"/>
            <w:r>
              <w:t>» .</w:t>
            </w:r>
            <w:proofErr w:type="gramEnd"/>
          </w:p>
          <w:p w:rsidR="001D00A8" w:rsidRDefault="00BC0559">
            <w:pPr>
              <w:jc w:val="both"/>
            </w:pPr>
            <w:r>
              <w:t>Le répertoire « </w:t>
            </w:r>
            <w:proofErr w:type="spellStart"/>
            <w:r>
              <w:t>conf</w:t>
            </w:r>
            <w:proofErr w:type="spellEnd"/>
            <w:r>
              <w:t> » stocke les configurations des différents flux partenaires.</w:t>
            </w:r>
          </w:p>
          <w:p w:rsidR="001D00A8" w:rsidRDefault="00BC0559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Les fichiers de configuration sont au format « </w:t>
            </w:r>
            <w:proofErr w:type="spellStart"/>
            <w:r>
              <w:t>ini</w:t>
            </w:r>
            <w:proofErr w:type="spellEnd"/>
            <w:r>
              <w:t> ».</w:t>
            </w:r>
          </w:p>
          <w:p w:rsidR="001D00A8" w:rsidRDefault="00BC0559">
            <w:pPr>
              <w:jc w:val="both"/>
            </w:pPr>
            <w:r>
              <w:t>Le répertoire « tests » contient les tests unitaires.</w:t>
            </w:r>
          </w:p>
          <w:p w:rsidR="001D00A8" w:rsidRDefault="00BC0559">
            <w:pPr>
              <w:jc w:val="both"/>
            </w:pPr>
            <w:r>
              <w:t>A la racine du répertoire « flux » :</w:t>
            </w:r>
          </w:p>
          <w:p w:rsidR="001D00A8" w:rsidRDefault="00BC055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« </w:t>
            </w:r>
            <w:proofErr w:type="spellStart"/>
            <w:r>
              <w:t>Client.php</w:t>
            </w:r>
            <w:proofErr w:type="spellEnd"/>
            <w:r>
              <w:t> » : classe Client qui produit les flux</w:t>
            </w:r>
          </w:p>
          <w:p w:rsidR="00197C2F" w:rsidRDefault="00197C2F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« </w:t>
            </w:r>
            <w:proofErr w:type="spellStart"/>
            <w:r>
              <w:t>Client.php</w:t>
            </w:r>
            <w:proofErr w:type="spellEnd"/>
            <w:r>
              <w:t> » va se servir des classes « Table », « Select », « </w:t>
            </w:r>
            <w:proofErr w:type="spellStart"/>
            <w:r>
              <w:t>Join</w:t>
            </w:r>
            <w:proofErr w:type="spellEnd"/>
            <w:r>
              <w:t> » et « Document » pour générer les requêtes SQL nécessaires à la composition du flux.</w:t>
            </w:r>
          </w:p>
          <w:p w:rsidR="001D00A8" w:rsidRDefault="00BC0559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« </w:t>
            </w:r>
            <w:proofErr w:type="spellStart"/>
            <w:r>
              <w:t>get_ads_xml.php</w:t>
            </w:r>
            <w:proofErr w:type="spellEnd"/>
            <w:r>
              <w:t> » : script qui en fonction de paramètres d’url  va créer un objet Client</w:t>
            </w:r>
          </w:p>
        </w:tc>
      </w:tr>
    </w:tbl>
    <w:p w:rsidR="001D00A8" w:rsidRDefault="001D00A8"/>
    <w:p w:rsidR="001D00A8" w:rsidRDefault="001D00A8"/>
    <w:p w:rsidR="001D00A8" w:rsidRDefault="00BC0559">
      <w:pPr>
        <w:pageBreakBefore/>
        <w:pBdr>
          <w:bottom w:val="single" w:sz="4" w:space="0" w:color="00000A"/>
        </w:pBdr>
      </w:pPr>
      <w:r>
        <w:rPr>
          <w:b/>
          <w:sz w:val="28"/>
          <w:szCs w:val="28"/>
        </w:rPr>
        <w:lastRenderedPageBreak/>
        <w:t>Configuration</w:t>
      </w:r>
    </w:p>
    <w:p w:rsidR="001D00A8" w:rsidRDefault="00BC0559">
      <w:r>
        <w:rPr>
          <w:sz w:val="24"/>
          <w:szCs w:val="24"/>
        </w:rPr>
        <w:t>Un flux est paramétré grâce au fichier de configuration [</w:t>
      </w:r>
      <w:proofErr w:type="spellStart"/>
      <w:r>
        <w:rPr>
          <w:sz w:val="24"/>
          <w:szCs w:val="24"/>
        </w:rPr>
        <w:t>nomclient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1D00A8" w:rsidRDefault="00BC0559">
      <w:r>
        <w:rPr>
          <w:sz w:val="24"/>
          <w:szCs w:val="24"/>
        </w:rPr>
        <w:t xml:space="preserve">La classe « Client » est instanciée dans le script </w:t>
      </w:r>
      <w:r>
        <w:t>« </w:t>
      </w:r>
      <w:proofErr w:type="spellStart"/>
      <w:r>
        <w:t>get_ads_xml.php</w:t>
      </w:r>
      <w:proofErr w:type="spellEnd"/>
      <w:r>
        <w:t> :</w:t>
      </w:r>
    </w:p>
    <w:p w:rsidR="004A31FE" w:rsidRDefault="004A31FE"/>
    <w:p w:rsidR="001D00A8" w:rsidRDefault="00EB314D">
      <w:r>
        <w:rPr>
          <w:noProof/>
          <w:lang w:eastAsia="fr-FR"/>
        </w:rPr>
        <w:drawing>
          <wp:inline distT="0" distB="0" distL="0" distR="0">
            <wp:extent cx="4905375" cy="5829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A8" w:rsidRDefault="00BC0559">
      <w:pPr>
        <w:jc w:val="both"/>
      </w:pPr>
      <w:r>
        <w:t xml:space="preserve">Pour appeler le flux, </w:t>
      </w:r>
      <w:r w:rsidR="00EB314D">
        <w:t>créez un objet « </w:t>
      </w:r>
      <w:r>
        <w:t>Client</w:t>
      </w:r>
      <w:r w:rsidR="00EB314D">
        <w:t> »</w:t>
      </w:r>
      <w:r>
        <w:t xml:space="preserve"> puis la méthode </w:t>
      </w:r>
      <w:proofErr w:type="spellStart"/>
      <w:r>
        <w:t>méthode</w:t>
      </w:r>
      <w:proofErr w:type="spellEnd"/>
      <w:r>
        <w:t xml:space="preserve"> « Client </w:t>
      </w:r>
      <w:proofErr w:type="gramStart"/>
      <w:r>
        <w:t>::</w:t>
      </w:r>
      <w:proofErr w:type="spellStart"/>
      <w:r>
        <w:t>get</w:t>
      </w:r>
      <w:r w:rsidR="00EB314D">
        <w:t>Document</w:t>
      </w:r>
      <w:proofErr w:type="spellEnd"/>
      <w:proofErr w:type="gramEnd"/>
      <w:r w:rsidR="00EB314D">
        <w:t>([type Format]</w:t>
      </w:r>
      <w:r>
        <w:t>) ». Vous pouvez ensuite demander l’affichage du flux.</w:t>
      </w:r>
    </w:p>
    <w:p w:rsidR="001D00A8" w:rsidRDefault="001D00A8"/>
    <w:p w:rsidR="004A31FE" w:rsidRDefault="004A31FE">
      <w:pPr>
        <w:tabs>
          <w:tab w:val="clear" w:pos="708"/>
        </w:tabs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D00A8" w:rsidRPr="00B47EDD" w:rsidRDefault="00BC0559" w:rsidP="00B47EDD">
      <w:pPr>
        <w:pBdr>
          <w:bottom w:val="single" w:sz="4" w:space="1" w:color="auto"/>
        </w:pBdr>
        <w:rPr>
          <w:sz w:val="28"/>
          <w:szCs w:val="28"/>
        </w:rPr>
      </w:pPr>
      <w:r w:rsidRPr="00B47EDD">
        <w:rPr>
          <w:b/>
          <w:sz w:val="28"/>
          <w:szCs w:val="28"/>
        </w:rPr>
        <w:lastRenderedPageBreak/>
        <w:t>Liste des paramètres disponibles dans le fichier de configuration « </w:t>
      </w:r>
      <w:proofErr w:type="spellStart"/>
      <w:r w:rsidRPr="00B47EDD">
        <w:rPr>
          <w:b/>
          <w:sz w:val="28"/>
          <w:szCs w:val="28"/>
        </w:rPr>
        <w:t>ini</w:t>
      </w:r>
      <w:proofErr w:type="spellEnd"/>
      <w:r w:rsidRPr="00B47EDD">
        <w:rPr>
          <w:b/>
          <w:sz w:val="28"/>
          <w:szCs w:val="28"/>
        </w:rPr>
        <w:t> ».</w:t>
      </w:r>
    </w:p>
    <w:tbl>
      <w:tblPr>
        <w:tblW w:w="0" w:type="auto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1"/>
        <w:gridCol w:w="2903"/>
        <w:gridCol w:w="4335"/>
      </w:tblGrid>
      <w:tr w:rsidR="001D00A8">
        <w:trPr>
          <w:trHeight w:val="43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Nom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Type données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rPr>
                <w:b/>
              </w:rPr>
              <w:t>Description</w:t>
            </w:r>
          </w:p>
        </w:tc>
      </w:tr>
      <w:tr w:rsidR="001D00A8">
        <w:trPr>
          <w:trHeight w:val="22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Entête section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de la forme « [client</w:t>
            </w:r>
            <w:proofErr w:type="gramStart"/>
            <w:r>
              <w:t>]_</w:t>
            </w:r>
            <w:proofErr w:type="gramEnd"/>
            <w:r>
              <w:t>[</w:t>
            </w:r>
            <w:proofErr w:type="spellStart"/>
            <w:r>
              <w:t>nom_flux</w:t>
            </w:r>
            <w:proofErr w:type="spellEnd"/>
            <w:r>
              <w:t>] »</w:t>
            </w:r>
          </w:p>
        </w:tc>
      </w:tr>
      <w:tr w:rsidR="001D00A8">
        <w:trPr>
          <w:trHeight w:val="239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client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nom_flux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type_flux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 1 = Vente / 2 = Location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in_localite_0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Région »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in_localite_1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Département »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in_localite_2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Ville »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in_lgn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Niveau « Ville », renvoie des résultats plus pertinents pour les villes d’envergure, ex : Paris et ses arrondissements.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group_by_locality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Optionnel. Permet de grouper les annonces selon les villes en paquets de taille souhaitée.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type_de_bien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exemple : maison, loft, villa, etc…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prix_min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prix minimum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prix_max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prix maximum. Si le paramètre « </w:t>
            </w:r>
            <w:proofErr w:type="spellStart"/>
            <w:r>
              <w:t>nous_consulter</w:t>
            </w:r>
            <w:proofErr w:type="spellEnd"/>
            <w:r>
              <w:t> » est renseigné, alors « </w:t>
            </w:r>
            <w:proofErr w:type="spellStart"/>
            <w:r>
              <w:t>prix_max</w:t>
            </w:r>
            <w:proofErr w:type="spellEnd"/>
            <w:r>
              <w:t> » devient le prix de référence, le paramètre « </w:t>
            </w:r>
            <w:proofErr w:type="spellStart"/>
            <w:r>
              <w:t>nous_consulter</w:t>
            </w:r>
            <w:proofErr w:type="spellEnd"/>
            <w:r>
              <w:t> » est ignoré.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nous_consulter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4A31FE">
            <w:pPr>
              <w:jc w:val="both"/>
            </w:pPr>
            <w:proofErr w:type="spellStart"/>
            <w:r>
              <w:t>Bool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 w:rsidP="004A31FE">
            <w:r>
              <w:t xml:space="preserve">Optionnel, indique si on l’on veut les annonces dont le prix de vente peut être </w:t>
            </w:r>
            <w:r w:rsidR="004A31FE">
              <w:t>supé</w:t>
            </w:r>
            <w:r>
              <w:t>rieur à 2</w:t>
            </w:r>
            <w:r>
              <w:rPr>
                <w:vertAlign w:val="superscript"/>
              </w:rPr>
              <w:t>E</w:t>
            </w:r>
            <w:r>
              <w:t>9</w:t>
            </w:r>
            <w:r w:rsidR="004A31FE">
              <w:t xml:space="preserve"> euros</w:t>
            </w:r>
            <w:r>
              <w:t>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permet de renvoyer le champ « description » des annonces. Indique la longueur du</w:t>
            </w:r>
            <w:r w:rsidR="004A31FE">
              <w:t xml:space="preserve"> texte éventuellement tronçonné</w:t>
            </w:r>
            <w:r>
              <w:t>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surface_min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la surface minimum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lastRenderedPageBreak/>
              <w:t>surface_max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la surface maximum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nb_piece_min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le nombre de pièces minimum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nb_piece_max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le nombre de pièces maximum des annonces.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nb_ads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Optionnel, indique le nombre maximum d’annonces retournées. Si « </w:t>
            </w:r>
            <w:proofErr w:type="spellStart"/>
            <w:r>
              <w:t>group_by_locality</w:t>
            </w:r>
            <w:proofErr w:type="spellEnd"/>
            <w:r>
              <w:t> » est activé, alors « </w:t>
            </w:r>
            <w:proofErr w:type="spellStart"/>
            <w:r>
              <w:t>nb_ads</w:t>
            </w:r>
            <w:proofErr w:type="spellEnd"/>
            <w:r>
              <w:t> » est ignoré.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exclusion_presto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t>Integer</w:t>
            </w:r>
            <w:proofErr w:type="spellEnd"/>
            <w:r>
              <w:t>, en liste séparée par une ‘,’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 xml:space="preserve">Optionnel, indique les </w:t>
            </w:r>
            <w:proofErr w:type="spellStart"/>
            <w:r>
              <w:t>exlusions</w:t>
            </w:r>
            <w:proofErr w:type="spellEnd"/>
            <w:r>
              <w:t xml:space="preserve"> « presto ».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Format_photo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format des photos.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proofErr w:type="spellStart"/>
            <w:r>
              <w:rPr>
                <w:b/>
              </w:rPr>
              <w:t>url_root_img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l’url de stockage des images.</w:t>
            </w:r>
          </w:p>
        </w:tc>
      </w:tr>
      <w:tr w:rsidR="001D00A8">
        <w:trPr>
          <w:trHeight w:val="255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rPr>
                <w:b/>
              </w:rPr>
              <w:t>url</w:t>
            </w:r>
            <w:proofErr w:type="gramStart"/>
            <w:r>
              <w:rPr>
                <w:b/>
              </w:rPr>
              <w:t>_[</w:t>
            </w:r>
            <w:proofErr w:type="gramEnd"/>
            <w:r>
              <w:rPr>
                <w:b/>
              </w:rPr>
              <w:t xml:space="preserve">sal | </w:t>
            </w:r>
            <w:proofErr w:type="spellStart"/>
            <w:r>
              <w:rPr>
                <w:b/>
              </w:rPr>
              <w:t>rnt</w:t>
            </w:r>
            <w:proofErr w:type="spellEnd"/>
            <w:r>
              <w:rPr>
                <w:b/>
              </w:rPr>
              <w:t>]_</w:t>
            </w:r>
            <w:proofErr w:type="spellStart"/>
            <w:r>
              <w:rPr>
                <w:b/>
              </w:rPr>
              <w:t>ads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pPr>
              <w:jc w:val="both"/>
            </w:pPr>
            <w:r>
              <w:t>String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D00A8" w:rsidRDefault="00BC0559">
            <w:r>
              <w:t>Obligatoire, l’url de stockage des annonces ; vente </w:t>
            </w:r>
            <w:proofErr w:type="gramStart"/>
            <w:r>
              <w:t>( «</w:t>
            </w:r>
            <w:proofErr w:type="gramEnd"/>
            <w:r>
              <w:t xml:space="preserve"> sal » ) ou location («  </w:t>
            </w:r>
            <w:proofErr w:type="spellStart"/>
            <w:r>
              <w:t>rnt</w:t>
            </w:r>
            <w:proofErr w:type="spellEnd"/>
            <w:r>
              <w:t> » ).</w:t>
            </w:r>
          </w:p>
        </w:tc>
      </w:tr>
    </w:tbl>
    <w:p w:rsidR="001D00A8" w:rsidRDefault="001D00A8"/>
    <w:p w:rsidR="001D00A8" w:rsidRDefault="00BC0559">
      <w:r>
        <w:rPr>
          <w:b/>
        </w:rPr>
        <w:t>Note :</w:t>
      </w:r>
    </w:p>
    <w:p w:rsidR="001D00A8" w:rsidRDefault="00BC0559">
      <w:pPr>
        <w:jc w:val="both"/>
      </w:pPr>
      <w:r>
        <w:t xml:space="preserve">Un fichier de configuration concerne un seul client mais peut contenir plusieurs flux </w:t>
      </w:r>
      <w:proofErr w:type="spellStart"/>
      <w:r>
        <w:t>differents</w:t>
      </w:r>
      <w:proofErr w:type="spellEnd"/>
      <w:r>
        <w:t>, selon le type et / ou le nom.</w:t>
      </w:r>
    </w:p>
    <w:p w:rsidR="001D00A8" w:rsidRDefault="00BC0559">
      <w:pPr>
        <w:jc w:val="both"/>
      </w:pPr>
      <w:r>
        <w:t>Si un flux est invoqué (HTTP) mais non présent dans le fichier de configuration « </w:t>
      </w:r>
      <w:proofErr w:type="spellStart"/>
      <w:r>
        <w:t>ini</w:t>
      </w:r>
      <w:proofErr w:type="spellEnd"/>
      <w:r>
        <w:t> », une exception est levée, et indique que le flux n’existe pas.</w:t>
      </w:r>
    </w:p>
    <w:p w:rsidR="00B47EDD" w:rsidRDefault="00BC0559">
      <w:pPr>
        <w:jc w:val="both"/>
      </w:pPr>
      <w:r>
        <w:t>Plusieurs fichiers de configuration « </w:t>
      </w:r>
      <w:proofErr w:type="spellStart"/>
      <w:r>
        <w:t>ini</w:t>
      </w:r>
      <w:proofErr w:type="spellEnd"/>
      <w:r>
        <w:t> » peuvent coexister ensemble tant que leur</w:t>
      </w:r>
      <w:r w:rsidR="00EB314D">
        <w:t>s</w:t>
      </w:r>
      <w:r>
        <w:t xml:space="preserve"> noms respectifs restent différents.</w:t>
      </w:r>
    </w:p>
    <w:p w:rsidR="00CD553E" w:rsidRDefault="00CD553E">
      <w:pPr>
        <w:tabs>
          <w:tab w:val="clear" w:pos="708"/>
        </w:tabs>
        <w:suppressAutoHyphens w:val="0"/>
      </w:pPr>
      <w:r>
        <w:br w:type="page"/>
      </w:r>
    </w:p>
    <w:p w:rsidR="001D00A8" w:rsidRPr="00B47EDD" w:rsidRDefault="00B47EDD" w:rsidP="00B47EDD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B47EDD">
        <w:rPr>
          <w:b/>
          <w:sz w:val="28"/>
          <w:szCs w:val="28"/>
        </w:rPr>
        <w:lastRenderedPageBreak/>
        <w:t>Options d’appel</w:t>
      </w:r>
    </w:p>
    <w:p w:rsidR="00B47EDD" w:rsidRDefault="00B47EDD">
      <w:pPr>
        <w:jc w:val="both"/>
      </w:pPr>
      <w:r>
        <w:t>Elles sont obtenues grâce aux paramètres d’URL suivant :</w:t>
      </w:r>
    </w:p>
    <w:p w:rsidR="00D17964" w:rsidRDefault="00B47EDD" w:rsidP="00B47EDD">
      <w:pPr>
        <w:pStyle w:val="Paragraphedeliste"/>
        <w:numPr>
          <w:ilvl w:val="0"/>
          <w:numId w:val="1"/>
        </w:numPr>
        <w:jc w:val="both"/>
      </w:pPr>
      <w:r>
        <w:t>« </w:t>
      </w:r>
      <w:proofErr w:type="spellStart"/>
      <w:r w:rsidRPr="00B47EDD">
        <w:t>flux_doc</w:t>
      </w:r>
      <w:proofErr w:type="spellEnd"/>
      <w:r>
        <w:t xml:space="preserve">  =  [</w:t>
      </w:r>
      <w:proofErr w:type="spellStart"/>
      <w:r>
        <w:t>json</w:t>
      </w:r>
      <w:proofErr w:type="spellEnd"/>
      <w:r>
        <w:t>]  »  permet d’obtenir le document au format JSON, XML est le format par défaut</w:t>
      </w:r>
      <w:r w:rsidR="00487272">
        <w:t>.</w:t>
      </w:r>
      <w:r w:rsidR="00D17964">
        <w:t xml:space="preserve"> </w:t>
      </w:r>
    </w:p>
    <w:p w:rsidR="00D17964" w:rsidRDefault="00B47EDD" w:rsidP="00D17964">
      <w:pPr>
        <w:pStyle w:val="Paragraphedeliste"/>
        <w:numPr>
          <w:ilvl w:val="0"/>
          <w:numId w:val="1"/>
        </w:numPr>
        <w:jc w:val="both"/>
      </w:pPr>
      <w:r>
        <w:t>« </w:t>
      </w:r>
      <w:proofErr w:type="spellStart"/>
      <w:r w:rsidRPr="00B47EDD">
        <w:t>modedebug</w:t>
      </w:r>
      <w:proofErr w:type="spellEnd"/>
      <w:r>
        <w:t>  = [</w:t>
      </w:r>
      <w:proofErr w:type="spellStart"/>
      <w:r>
        <w:t>pdosql</w:t>
      </w:r>
      <w:proofErr w:type="spellEnd"/>
      <w:r>
        <w:t>]» permet de d’obtenir la requête SQL générée pour la composition du document / flux recherché</w:t>
      </w:r>
      <w:r w:rsidR="00487272">
        <w:t>.</w:t>
      </w:r>
    </w:p>
    <w:p w:rsidR="00CC789B" w:rsidRPr="00CC789B" w:rsidRDefault="00CC789B" w:rsidP="00CC789B">
      <w:pPr>
        <w:jc w:val="both"/>
        <w:rPr>
          <w:u w:val="single"/>
        </w:rPr>
      </w:pPr>
      <w:r w:rsidRPr="00CC789B">
        <w:rPr>
          <w:u w:val="single"/>
        </w:rPr>
        <w:t>Exemple :</w:t>
      </w:r>
    </w:p>
    <w:p w:rsidR="00D17964" w:rsidRPr="00CC789B" w:rsidRDefault="00D17964" w:rsidP="00D17964">
      <w:pPr>
        <w:jc w:val="both"/>
        <w:rPr>
          <w:rFonts w:asciiTheme="minorHAnsi" w:hAnsiTheme="minorHAnsi" w:cs="Arial"/>
          <w:color w:val="000000"/>
          <w:shd w:val="clear" w:color="auto" w:fill="FFFFFF"/>
        </w:rPr>
      </w:pPr>
      <w:hyperlink r:id="rId9" w:history="1">
        <w:r w:rsidRPr="008045AA">
          <w:rPr>
            <w:rStyle w:val="Lienhypertexte"/>
            <w:rFonts w:asciiTheme="minorHAnsi" w:hAnsiTheme="minorHAnsi" w:cs="Arial"/>
            <w:shd w:val="clear" w:color="auto" w:fill="FFFFFF"/>
          </w:rPr>
          <w:t>http://www.rec.logic-immo.com/flux/get_ads_xml.php?client=lexpress&amp;flux_nom=rdf1&amp;flux_type=1</w:t>
        </w:r>
      </w:hyperlink>
    </w:p>
    <w:p w:rsidR="00CC789B" w:rsidRDefault="00CC789B" w:rsidP="00D17964">
      <w:pPr>
        <w:jc w:val="both"/>
        <w:rPr>
          <w:u w:val="single"/>
        </w:rPr>
      </w:pPr>
    </w:p>
    <w:p w:rsidR="002B60A9" w:rsidRPr="002B60A9" w:rsidRDefault="002B60A9" w:rsidP="00D17964">
      <w:pPr>
        <w:jc w:val="both"/>
        <w:rPr>
          <w:b/>
        </w:rPr>
      </w:pPr>
      <w:r w:rsidRPr="002B60A9">
        <w:rPr>
          <w:b/>
        </w:rPr>
        <w:t>Note :</w:t>
      </w:r>
      <w:r w:rsidR="00D17964" w:rsidRPr="002B60A9">
        <w:rPr>
          <w:b/>
        </w:rPr>
        <w:t xml:space="preserve"> </w:t>
      </w:r>
    </w:p>
    <w:p w:rsidR="00D17964" w:rsidRDefault="00D17964" w:rsidP="00D17964">
      <w:pPr>
        <w:jc w:val="both"/>
      </w:pPr>
      <w:r>
        <w:t>Notez le nom</w:t>
      </w:r>
      <w:r>
        <w:t xml:space="preserve"> du fichier d’appel : « </w:t>
      </w:r>
      <w:proofErr w:type="spellStart"/>
      <w:r>
        <w:t>get_ads_xml.php</w:t>
      </w:r>
      <w:proofErr w:type="spellEnd"/>
      <w:r>
        <w:t> »</w:t>
      </w:r>
      <w:r>
        <w:t xml:space="preserve">, en effet </w:t>
      </w:r>
      <w:r>
        <w:t>préservé pour des raisons historiques</w:t>
      </w:r>
      <w:r>
        <w:t>.</w:t>
      </w:r>
    </w:p>
    <w:p w:rsidR="002B60A9" w:rsidRDefault="002B60A9" w:rsidP="00D17964">
      <w:pPr>
        <w:jc w:val="both"/>
      </w:pPr>
      <w:r>
        <w:t>Le gestionnaire est volontairement peu bavard en ce qui concerne la gestion des erreurs. Ainsi, une tentative d’injection ne donnera aucun affichage. Les seuls messages remontés à l’intention de l’intégrateur concernent la configuration, par exemple un appel à un flux mal configuré en ce qui concerne son CDN images.</w:t>
      </w:r>
    </w:p>
    <w:p w:rsidR="002B60A9" w:rsidRDefault="002B60A9" w:rsidP="00D17964">
      <w:pPr>
        <w:jc w:val="both"/>
      </w:pPr>
      <w:r>
        <w:t>Le mode  « </w:t>
      </w:r>
      <w:proofErr w:type="spellStart"/>
      <w:r>
        <w:t>debug</w:t>
      </w:r>
      <w:proofErr w:type="spellEnd"/>
      <w:r>
        <w:t> » sera interdit d’accès sur le serveur de production.</w:t>
      </w:r>
    </w:p>
    <w:p w:rsidR="00D17964" w:rsidRPr="00D17964" w:rsidRDefault="00D17964">
      <w:pPr>
        <w:jc w:val="both"/>
        <w:rPr>
          <w:rFonts w:asciiTheme="minorHAnsi" w:hAnsiTheme="minorHAnsi"/>
        </w:rPr>
      </w:pPr>
    </w:p>
    <w:sectPr w:rsidR="00D17964" w:rsidRPr="00D1796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4BAC"/>
    <w:multiLevelType w:val="multilevel"/>
    <w:tmpl w:val="9506AEC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E214B4"/>
    <w:multiLevelType w:val="multilevel"/>
    <w:tmpl w:val="E8E0707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AFF092D"/>
    <w:multiLevelType w:val="multilevel"/>
    <w:tmpl w:val="894EE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A8"/>
    <w:rsid w:val="00197C2F"/>
    <w:rsid w:val="001D00A8"/>
    <w:rsid w:val="002B60A9"/>
    <w:rsid w:val="003852D6"/>
    <w:rsid w:val="00487272"/>
    <w:rsid w:val="004A31FE"/>
    <w:rsid w:val="004F61CE"/>
    <w:rsid w:val="00632F19"/>
    <w:rsid w:val="00873527"/>
    <w:rsid w:val="008E4B41"/>
    <w:rsid w:val="00B47EDD"/>
    <w:rsid w:val="00BC0559"/>
    <w:rsid w:val="00C17D46"/>
    <w:rsid w:val="00CC67CC"/>
    <w:rsid w:val="00CC789B"/>
    <w:rsid w:val="00CD553E"/>
    <w:rsid w:val="00D17964"/>
    <w:rsid w:val="00E27A00"/>
    <w:rsid w:val="00E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edebulles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uiPriority w:val="99"/>
    <w:unhideWhenUsed/>
    <w:rsid w:val="00D179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edebulles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uiPriority w:val="99"/>
    <w:unhideWhenUsed/>
    <w:rsid w:val="00D17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c.logic-immo.com/flux/get_ads_xml.php?client=lexpress&amp;flux_nom=rdf1&amp;flux_type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 logic</dc:creator>
  <cp:lastModifiedBy>util logic</cp:lastModifiedBy>
  <cp:revision>14</cp:revision>
  <cp:lastPrinted>2013-09-04T08:55:00Z</cp:lastPrinted>
  <dcterms:created xsi:type="dcterms:W3CDTF">2013-09-04T07:57:00Z</dcterms:created>
  <dcterms:modified xsi:type="dcterms:W3CDTF">2013-09-04T08:55:00Z</dcterms:modified>
</cp:coreProperties>
</file>