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DE767" w14:textId="5440A50D" w:rsidR="009474F6" w:rsidRPr="009474F6" w:rsidRDefault="00B66864" w:rsidP="009474F6">
      <w:pPr>
        <w:rPr>
          <w:b/>
          <w:bCs/>
        </w:rPr>
      </w:pPr>
      <w:r>
        <w:rPr>
          <w:b/>
        </w:rPr>
        <w:t>C</w:t>
      </w:r>
      <w:r w:rsidR="009474F6">
        <w:rPr>
          <w:b/>
        </w:rPr>
        <w:t xml:space="preserve">réation d’un plan de gestion du changement </w:t>
      </w:r>
    </w:p>
    <w:p w14:paraId="0243420C" w14:textId="599DDB06" w:rsidR="009474F6" w:rsidRPr="009474F6" w:rsidRDefault="009474F6" w:rsidP="009474F6">
      <w:r>
        <w:rPr>
          <w:b/>
        </w:rPr>
        <w:t>Introduction</w:t>
      </w:r>
    </w:p>
    <w:p w14:paraId="694981DA" w14:textId="3EF54D7E" w:rsidR="009474F6" w:rsidRPr="009474F6" w:rsidRDefault="009474F6" w:rsidP="009474F6">
      <w:r>
        <w:t xml:space="preserve">À mesure que le projet </w:t>
      </w:r>
      <w:r w:rsidR="00B167E7">
        <w:t xml:space="preserve">avance ou </w:t>
      </w:r>
      <w:r>
        <w:t xml:space="preserve">entre dans la phase d’exécution, l’accent se déplace de la planification </w:t>
      </w:r>
      <w:r w:rsidR="00B167E7">
        <w:t>à l’action</w:t>
      </w:r>
      <w:r>
        <w:t xml:space="preserve">. Avec une stratégie globale en place, votre rôle consiste maintenant à traduire </w:t>
      </w:r>
      <w:r w:rsidR="00B167E7">
        <w:t xml:space="preserve">la </w:t>
      </w:r>
      <w:r>
        <w:t>stratégie en plans réalisables. Ce guide vous aidera à établir des échéanciers précis, à affecter des ressources et à établir des responsabilités claires. À cette étape, il est essentiel de tirer parti des connaissances accumulées au cours des phases précédentes pour créer un plan pratique et efficace. Votre planification détaillée garantira que chaque aspect du changement est pris en compte, de la communication</w:t>
      </w:r>
      <w:r w:rsidR="00B167E7">
        <w:t xml:space="preserve"> </w:t>
      </w:r>
      <w:r>
        <w:t>à la formation</w:t>
      </w:r>
      <w:r w:rsidR="00B167E7">
        <w:t xml:space="preserve"> en passant par entre autres la mobilisation des intervenants et des employés</w:t>
      </w:r>
      <w:r>
        <w:t xml:space="preserve">, et que l’organisation est bien préparée pour une transition harmonieuse et réussie. </w:t>
      </w:r>
      <w:r w:rsidR="00164EF6" w:rsidRPr="00260CCE">
        <w:t xml:space="preserve">Il est important de </w:t>
      </w:r>
      <w:proofErr w:type="spellStart"/>
      <w:r w:rsidR="00164EF6" w:rsidRPr="00260CCE">
        <w:t>co-créer</w:t>
      </w:r>
      <w:proofErr w:type="spellEnd"/>
      <w:r w:rsidR="00164EF6" w:rsidRPr="00260CCE">
        <w:t xml:space="preserve"> ce plan autant que possible avec les groupes d</w:t>
      </w:r>
      <w:r w:rsidR="00164EF6" w:rsidRPr="00260CCE">
        <w:t>’intervenants</w:t>
      </w:r>
      <w:r w:rsidR="00164EF6" w:rsidRPr="00260CCE">
        <w:t xml:space="preserve"> concernés, car ils seront impliqués dans la réalisation de nombreuses activités prévues dans ce plan.</w:t>
      </w:r>
      <w:r w:rsidR="00260CCE">
        <w:t xml:space="preserve"> </w:t>
      </w:r>
      <w:r w:rsidRPr="00260CCE">
        <w:t>Ce livrable final relie toutes les composantes du processus de gestion du changement</w:t>
      </w:r>
      <w:r w:rsidR="00164EF6" w:rsidRPr="00260CCE">
        <w:t xml:space="preserve"> </w:t>
      </w:r>
      <w:r w:rsidR="00164EF6" w:rsidRPr="00260CCE">
        <w:t>Jusqu'à présent</w:t>
      </w:r>
      <w:r>
        <w:t xml:space="preserve">, ce qui préparera </w:t>
      </w:r>
      <w:r w:rsidR="00164EF6">
        <w:t>les interven</w:t>
      </w:r>
      <w:r w:rsidR="00260CCE">
        <w:t xml:space="preserve">ants </w:t>
      </w:r>
      <w:r>
        <w:t>à l’exécution.</w:t>
      </w:r>
    </w:p>
    <w:p w14:paraId="44076A94" w14:textId="77777777" w:rsidR="009474F6" w:rsidRPr="009474F6" w:rsidRDefault="00000000" w:rsidP="009474F6">
      <w:r>
        <w:pict w14:anchorId="06AA9162">
          <v:rect id="_x0000_i1025" style="width:0;height:1.5pt" o:hralign="center" o:hrstd="t" o:hr="t" fillcolor="#a0a0a0" stroked="f"/>
        </w:pict>
      </w:r>
    </w:p>
    <w:p w14:paraId="23B5212E" w14:textId="538EFB1F" w:rsidR="00260CCE" w:rsidRDefault="00260CCE" w:rsidP="009474F6">
      <w:pPr>
        <w:rPr>
          <w:b/>
        </w:rPr>
      </w:pPr>
      <w:r>
        <w:rPr>
          <w:b/>
        </w:rPr>
        <w:t>Intrants :</w:t>
      </w:r>
    </w:p>
    <w:p w14:paraId="7A677B23" w14:textId="5BE17189" w:rsidR="00260CCE" w:rsidRDefault="00260CCE" w:rsidP="009474F6">
      <w:pPr>
        <w:rPr>
          <w:b/>
        </w:rPr>
      </w:pPr>
      <w:r>
        <w:rPr>
          <w:rFonts w:ascii="Aptos Narrow" w:hAnsi="Aptos Narrow"/>
          <w:color w:val="242424"/>
          <w:shd w:val="clear" w:color="auto" w:fill="FFFFFF"/>
        </w:rPr>
        <w:t>Élaboration d’une stratégie de gestion du changement</w:t>
      </w:r>
      <w:r w:rsidR="00EA5BE3">
        <w:rPr>
          <w:rFonts w:ascii="Aptos Narrow" w:hAnsi="Aptos Narrow"/>
          <w:color w:val="242424"/>
          <w:shd w:val="clear" w:color="auto" w:fill="FFFFFF"/>
        </w:rPr>
        <w:t xml:space="preserve"> – étapes 1 et 2</w:t>
      </w:r>
    </w:p>
    <w:p w14:paraId="6B908D33" w14:textId="63AA9F7B" w:rsidR="009474F6" w:rsidRPr="009474F6" w:rsidRDefault="009474F6" w:rsidP="009474F6">
      <w:pPr>
        <w:rPr>
          <w:b/>
          <w:bCs/>
        </w:rPr>
      </w:pPr>
      <w:r>
        <w:rPr>
          <w:b/>
        </w:rPr>
        <w:t>Éléments clés du plan de gestion du changement</w:t>
      </w:r>
    </w:p>
    <w:p w14:paraId="2385CAC6" w14:textId="77777777" w:rsidR="009474F6" w:rsidRPr="009474F6" w:rsidRDefault="009474F6" w:rsidP="009474F6">
      <w:pPr>
        <w:rPr>
          <w:b/>
          <w:bCs/>
        </w:rPr>
      </w:pPr>
      <w:r>
        <w:rPr>
          <w:b/>
        </w:rPr>
        <w:t>1. Calendrier détaillé de mise en œuvre</w:t>
      </w:r>
    </w:p>
    <w:p w14:paraId="5EC0E179" w14:textId="6EB5C01F" w:rsidR="009474F6" w:rsidRPr="009474F6" w:rsidRDefault="009474F6" w:rsidP="009474F6">
      <w:r>
        <w:rPr>
          <w:b/>
        </w:rPr>
        <w:t>Objectif :</w:t>
      </w:r>
      <w:r>
        <w:t xml:space="preserve"> Établir un échéancier clair et réaliste pour l’exécution de</w:t>
      </w:r>
      <w:r w:rsidR="00EA5BE3">
        <w:t xml:space="preserve">s activités </w:t>
      </w:r>
      <w:r>
        <w:t>de changement.</w:t>
      </w:r>
    </w:p>
    <w:p w14:paraId="2896CD1A" w14:textId="4E288B21" w:rsidR="009474F6" w:rsidRPr="009474F6" w:rsidRDefault="009474F6" w:rsidP="009474F6">
      <w:pPr>
        <w:numPr>
          <w:ilvl w:val="0"/>
          <w:numId w:val="1"/>
        </w:numPr>
      </w:pPr>
      <w:r>
        <w:rPr>
          <w:b/>
        </w:rPr>
        <w:t xml:space="preserve">Étapes et jalons : </w:t>
      </w:r>
      <w:r>
        <w:t>Décrire les étapes clés du processus de mise en œuvre, y compris les principaux jalons et livrables.</w:t>
      </w:r>
    </w:p>
    <w:p w14:paraId="3C4738BC" w14:textId="1011E239" w:rsidR="009474F6" w:rsidRPr="009474F6" w:rsidRDefault="009474F6" w:rsidP="009474F6">
      <w:pPr>
        <w:numPr>
          <w:ilvl w:val="0"/>
          <w:numId w:val="1"/>
        </w:numPr>
      </w:pPr>
      <w:r>
        <w:rPr>
          <w:b/>
        </w:rPr>
        <w:t xml:space="preserve">Calendrier détaillé : </w:t>
      </w:r>
      <w:r>
        <w:t>Répartir chaque phase en tâches et activités précises, en attribuant des dates et des durées.</w:t>
      </w:r>
    </w:p>
    <w:p w14:paraId="1358596B" w14:textId="19206440" w:rsidR="009474F6" w:rsidRPr="009474F6" w:rsidRDefault="009474F6" w:rsidP="009474F6">
      <w:pPr>
        <w:numPr>
          <w:ilvl w:val="0"/>
          <w:numId w:val="1"/>
        </w:numPr>
      </w:pPr>
      <w:r>
        <w:rPr>
          <w:b/>
        </w:rPr>
        <w:t xml:space="preserve">Analyse du chemin critique : </w:t>
      </w:r>
      <w:r>
        <w:t>Déterminer les tâches essentielles qui doivent être accomplies à temps pour éviter les retards dans l’échéancier global.</w:t>
      </w:r>
    </w:p>
    <w:p w14:paraId="3F6B1E89" w14:textId="77777777" w:rsidR="009474F6" w:rsidRPr="009474F6" w:rsidRDefault="009474F6" w:rsidP="009474F6">
      <w:pPr>
        <w:rPr>
          <w:b/>
          <w:bCs/>
        </w:rPr>
      </w:pPr>
      <w:r>
        <w:rPr>
          <w:b/>
        </w:rPr>
        <w:t>2. Affectation des ressources et attribution des responsabilités</w:t>
      </w:r>
    </w:p>
    <w:p w14:paraId="0B7F3E3F" w14:textId="77777777" w:rsidR="009474F6" w:rsidRPr="009474F6" w:rsidRDefault="009474F6" w:rsidP="009474F6">
      <w:r>
        <w:rPr>
          <w:b/>
        </w:rPr>
        <w:t>Objectif :</w:t>
      </w:r>
      <w:r>
        <w:t xml:space="preserve"> S’assurer que toutes les ressources nécessaires sont affectées et que les rôles sont clairement définis.</w:t>
      </w:r>
    </w:p>
    <w:p w14:paraId="2B83AD83" w14:textId="5F2919C0" w:rsidR="009474F6" w:rsidRPr="00EA5BE3" w:rsidRDefault="00EA5BE3" w:rsidP="00EA5BE3">
      <w:pPr>
        <w:pStyle w:val="NormalWeb"/>
        <w:numPr>
          <w:ilvl w:val="0"/>
          <w:numId w:val="2"/>
        </w:numPr>
        <w:rPr>
          <w:rFonts w:asciiTheme="minorHAnsi" w:eastAsiaTheme="minorHAnsi" w:hAnsiTheme="minorHAnsi" w:cstheme="minorBidi"/>
          <w:kern w:val="2"/>
          <w:sz w:val="22"/>
          <w:szCs w:val="22"/>
          <w:lang w:val="fr-CA"/>
          <w14:ligatures w14:val="standardContextual"/>
        </w:rPr>
      </w:pPr>
      <w:r w:rsidRPr="00EA5BE3">
        <w:rPr>
          <w:rFonts w:asciiTheme="minorHAnsi" w:eastAsiaTheme="minorHAnsi" w:hAnsiTheme="minorHAnsi" w:cstheme="minorBidi"/>
          <w:b/>
          <w:kern w:val="2"/>
          <w:sz w:val="22"/>
          <w:szCs w:val="22"/>
          <w:lang w:val="fr-CA"/>
          <w14:ligatures w14:val="standardContextual"/>
        </w:rPr>
        <w:t>Facteurs facilitateurs corporatifs :</w:t>
      </w:r>
      <w:r w:rsidR="009474F6" w:rsidRPr="00EA5BE3">
        <w:rPr>
          <w:b/>
          <w:lang w:val="fr-CA"/>
        </w:rPr>
        <w:t> </w:t>
      </w:r>
      <w:r w:rsidR="009474F6" w:rsidRPr="00EA5BE3">
        <w:rPr>
          <w:rFonts w:asciiTheme="minorHAnsi" w:eastAsiaTheme="minorHAnsi" w:hAnsiTheme="minorHAnsi" w:cstheme="minorBidi"/>
          <w:kern w:val="2"/>
          <w:sz w:val="22"/>
          <w:szCs w:val="22"/>
          <w:lang w:val="fr-CA"/>
          <w14:ligatures w14:val="standardContextual"/>
        </w:rPr>
        <w:t>Indiquer les membres de l’équipe qui particip</w:t>
      </w:r>
      <w:r w:rsidR="007662FC" w:rsidRPr="00EA5BE3">
        <w:rPr>
          <w:rFonts w:asciiTheme="minorHAnsi" w:eastAsiaTheme="minorHAnsi" w:hAnsiTheme="minorHAnsi" w:cstheme="minorBidi"/>
          <w:kern w:val="2"/>
          <w:sz w:val="22"/>
          <w:szCs w:val="22"/>
          <w:lang w:val="fr-CA"/>
          <w14:ligatures w14:val="standardContextual"/>
        </w:rPr>
        <w:t xml:space="preserve">eront </w:t>
      </w:r>
      <w:r w:rsidR="009474F6" w:rsidRPr="00EA5BE3">
        <w:rPr>
          <w:rFonts w:asciiTheme="minorHAnsi" w:eastAsiaTheme="minorHAnsi" w:hAnsiTheme="minorHAnsi" w:cstheme="minorBidi"/>
          <w:kern w:val="2"/>
          <w:sz w:val="22"/>
          <w:szCs w:val="22"/>
          <w:lang w:val="fr-CA"/>
          <w14:ligatures w14:val="standardContextual"/>
        </w:rPr>
        <w:t>au processus de changement, en précisant leurs rôles et responsabilités.</w:t>
      </w:r>
    </w:p>
    <w:p w14:paraId="75A43E06" w14:textId="7ED934A6" w:rsidR="009474F6" w:rsidRPr="009474F6" w:rsidRDefault="009474F6" w:rsidP="009474F6">
      <w:pPr>
        <w:numPr>
          <w:ilvl w:val="0"/>
          <w:numId w:val="2"/>
        </w:numPr>
      </w:pPr>
      <w:r>
        <w:rPr>
          <w:b/>
        </w:rPr>
        <w:t xml:space="preserve">Budget et ressources financières : </w:t>
      </w:r>
      <w:r>
        <w:t>Décrire le budget de</w:t>
      </w:r>
      <w:r w:rsidR="00EA5BE3">
        <w:t>s activités</w:t>
      </w:r>
      <w:r>
        <w:t xml:space="preserve"> de changement, y compris les estimations détaillées des coûts de diverses activités.</w:t>
      </w:r>
    </w:p>
    <w:p w14:paraId="38EC584D" w14:textId="77777777" w:rsidR="009474F6" w:rsidRPr="009474F6" w:rsidRDefault="009474F6" w:rsidP="009474F6">
      <w:pPr>
        <w:numPr>
          <w:ilvl w:val="0"/>
          <w:numId w:val="2"/>
        </w:numPr>
      </w:pPr>
      <w:r>
        <w:rPr>
          <w:b/>
        </w:rPr>
        <w:t>Ressources matérielles et technologiques :</w:t>
      </w:r>
      <w:r>
        <w:t xml:space="preserve"> Déterminer les ressources supplémentaires requises, comme la technologie, l’équipement ou les installations.</w:t>
      </w:r>
    </w:p>
    <w:p w14:paraId="5E046002" w14:textId="77777777" w:rsidR="009474F6" w:rsidRPr="009474F6" w:rsidRDefault="009474F6" w:rsidP="009474F6">
      <w:pPr>
        <w:rPr>
          <w:b/>
          <w:bCs/>
        </w:rPr>
      </w:pPr>
      <w:r>
        <w:rPr>
          <w:b/>
        </w:rPr>
        <w:t>3. Plan de communication et de mobilisation</w:t>
      </w:r>
    </w:p>
    <w:p w14:paraId="68E404FD" w14:textId="77777777" w:rsidR="009474F6" w:rsidRPr="009474F6" w:rsidRDefault="009474F6" w:rsidP="009474F6">
      <w:r>
        <w:rPr>
          <w:b/>
        </w:rPr>
        <w:lastRenderedPageBreak/>
        <w:t>Objectif :</w:t>
      </w:r>
      <w:r>
        <w:t xml:space="preserve"> Maintenir une communication claire, uniforme et efficace tout au long de la phase de mise en œuvre.</w:t>
      </w:r>
    </w:p>
    <w:p w14:paraId="0EA05D11" w14:textId="01AE152D" w:rsidR="009474F6" w:rsidRPr="009474F6" w:rsidRDefault="009474F6" w:rsidP="009474F6">
      <w:pPr>
        <w:numPr>
          <w:ilvl w:val="0"/>
          <w:numId w:val="3"/>
        </w:numPr>
      </w:pPr>
      <w:r>
        <w:rPr>
          <w:b/>
        </w:rPr>
        <w:t xml:space="preserve">Calendrier des communications : </w:t>
      </w:r>
      <w:r>
        <w:t>Détailler le calendrier et la fréquence des communications, y compris les principales mises à jour et les rapports d’étape.</w:t>
      </w:r>
    </w:p>
    <w:p w14:paraId="391F1205" w14:textId="780B7802" w:rsidR="009474F6" w:rsidRPr="009474F6" w:rsidRDefault="009474F6" w:rsidP="009474F6">
      <w:pPr>
        <w:numPr>
          <w:ilvl w:val="0"/>
          <w:numId w:val="3"/>
        </w:numPr>
      </w:pPr>
      <w:r>
        <w:rPr>
          <w:b/>
        </w:rPr>
        <w:t xml:space="preserve">Contenu et canaux : </w:t>
      </w:r>
      <w:r>
        <w:t>Préciser le contenu des communications et les canaux par lesquels elles seront diffusées (p. ex. communications internes, réunions, intranet).</w:t>
      </w:r>
    </w:p>
    <w:p w14:paraId="7803102C" w14:textId="57BEA87A" w:rsidR="009474F6" w:rsidRPr="009474F6" w:rsidRDefault="009474F6" w:rsidP="009474F6">
      <w:pPr>
        <w:numPr>
          <w:ilvl w:val="0"/>
          <w:numId w:val="3"/>
        </w:numPr>
      </w:pPr>
      <w:r>
        <w:rPr>
          <w:b/>
        </w:rPr>
        <w:t xml:space="preserve">Boucle de rétroaction : </w:t>
      </w:r>
      <w:r>
        <w:t>Établir des méthodes pour recueillir la rétroaction des intervenants et y répondre pendant le processus de mise en œuvre.</w:t>
      </w:r>
    </w:p>
    <w:p w14:paraId="28905754" w14:textId="77777777" w:rsidR="009474F6" w:rsidRPr="009474F6" w:rsidRDefault="009474F6" w:rsidP="009474F6">
      <w:pPr>
        <w:rPr>
          <w:b/>
          <w:bCs/>
        </w:rPr>
      </w:pPr>
      <w:r>
        <w:rPr>
          <w:b/>
        </w:rPr>
        <w:t>4. Mise en œuvre de la formation et du soutien</w:t>
      </w:r>
    </w:p>
    <w:p w14:paraId="4473085C" w14:textId="77777777" w:rsidR="009474F6" w:rsidRPr="009474F6" w:rsidRDefault="009474F6" w:rsidP="009474F6">
      <w:r>
        <w:rPr>
          <w:b/>
        </w:rPr>
        <w:t>Objectif :</w:t>
      </w:r>
      <w:r>
        <w:t xml:space="preserve"> Fournir la formation et le soutien nécessaires pour assurer une transition en douceur.</w:t>
      </w:r>
    </w:p>
    <w:p w14:paraId="0C1478E8" w14:textId="20B4C686" w:rsidR="009474F6" w:rsidRPr="009474F6" w:rsidRDefault="009474F6" w:rsidP="009474F6">
      <w:pPr>
        <w:numPr>
          <w:ilvl w:val="0"/>
          <w:numId w:val="4"/>
        </w:numPr>
      </w:pPr>
      <w:r>
        <w:rPr>
          <w:b/>
        </w:rPr>
        <w:t>Programmes de formation :</w:t>
      </w:r>
      <w:r>
        <w:t xml:space="preserve"> Élaborer un calendrier pour la prestation des séances de formation, y compris les dates, les lieux et les form</w:t>
      </w:r>
      <w:r w:rsidR="00DB745A">
        <w:t>ules</w:t>
      </w:r>
      <w:r>
        <w:t xml:space="preserve"> (en personne, en ligne).</w:t>
      </w:r>
    </w:p>
    <w:p w14:paraId="086F1AB3" w14:textId="77777777" w:rsidR="009474F6" w:rsidRPr="009474F6" w:rsidRDefault="009474F6" w:rsidP="009474F6">
      <w:pPr>
        <w:numPr>
          <w:ilvl w:val="0"/>
          <w:numId w:val="4"/>
        </w:numPr>
      </w:pPr>
      <w:r>
        <w:rPr>
          <w:b/>
        </w:rPr>
        <w:t>Ressources de soutien :</w:t>
      </w:r>
      <w:r>
        <w:t xml:space="preserve"> Détailler la disponibilité des ressources de soutien, comme les services d’aide, les ressources en ligne et les réseaux de soutien par les pairs.</w:t>
      </w:r>
    </w:p>
    <w:p w14:paraId="29600445" w14:textId="48524775" w:rsidR="009474F6" w:rsidRPr="009474F6" w:rsidRDefault="009474F6" w:rsidP="009474F6">
      <w:pPr>
        <w:numPr>
          <w:ilvl w:val="0"/>
          <w:numId w:val="4"/>
        </w:numPr>
      </w:pPr>
      <w:r>
        <w:rPr>
          <w:b/>
        </w:rPr>
        <w:t xml:space="preserve">Évaluation et suivi : </w:t>
      </w:r>
      <w:r>
        <w:t>Plan pour évaluer l’efficacité de la formation et fournir un soutien continu au besoin.</w:t>
      </w:r>
    </w:p>
    <w:p w14:paraId="63908A3B" w14:textId="77777777" w:rsidR="009474F6" w:rsidRPr="009474F6" w:rsidRDefault="009474F6" w:rsidP="009474F6">
      <w:pPr>
        <w:rPr>
          <w:b/>
          <w:bCs/>
        </w:rPr>
      </w:pPr>
      <w:r>
        <w:rPr>
          <w:b/>
        </w:rPr>
        <w:t>5. Gestion des risques et planification d’urgence</w:t>
      </w:r>
    </w:p>
    <w:p w14:paraId="3B13D7FE" w14:textId="77777777" w:rsidR="009474F6" w:rsidRPr="009474F6" w:rsidRDefault="009474F6" w:rsidP="009474F6">
      <w:r>
        <w:rPr>
          <w:b/>
        </w:rPr>
        <w:t>Objectif :</w:t>
      </w:r>
      <w:r>
        <w:t xml:space="preserve"> Gérer de façon proactive les risques et s’assurer d’être prêt à répondre aux imprévus.</w:t>
      </w:r>
    </w:p>
    <w:p w14:paraId="03520DF5" w14:textId="178C2601" w:rsidR="009474F6" w:rsidRPr="009474F6" w:rsidRDefault="009474F6" w:rsidP="009474F6">
      <w:pPr>
        <w:numPr>
          <w:ilvl w:val="0"/>
          <w:numId w:val="5"/>
        </w:numPr>
      </w:pPr>
      <w:r>
        <w:rPr>
          <w:b/>
        </w:rPr>
        <w:t xml:space="preserve">Surveillance des risques : </w:t>
      </w:r>
      <w:r>
        <w:t>Établir un système de surveillance continue des risques cernés et des enjeux émergents.</w:t>
      </w:r>
    </w:p>
    <w:p w14:paraId="7DEE2BF1" w14:textId="769AA750" w:rsidR="009474F6" w:rsidRPr="009474F6" w:rsidRDefault="009474F6" w:rsidP="009474F6">
      <w:pPr>
        <w:numPr>
          <w:ilvl w:val="0"/>
          <w:numId w:val="5"/>
        </w:numPr>
      </w:pPr>
      <w:r>
        <w:rPr>
          <w:b/>
        </w:rPr>
        <w:t xml:space="preserve">Plans d’urgence : </w:t>
      </w:r>
      <w:r>
        <w:t>Décrire en détail les mesures précises à prendre en réponse à divers scénarios de risque, y compris les rôles et les responsabilités.</w:t>
      </w:r>
    </w:p>
    <w:p w14:paraId="3518C8BF" w14:textId="261195AF" w:rsidR="009474F6" w:rsidRPr="009474F6" w:rsidRDefault="009474F6" w:rsidP="009474F6">
      <w:pPr>
        <w:numPr>
          <w:ilvl w:val="0"/>
          <w:numId w:val="5"/>
        </w:numPr>
      </w:pPr>
      <w:r>
        <w:rPr>
          <w:b/>
        </w:rPr>
        <w:t xml:space="preserve">Protocoles de gestion de crise : </w:t>
      </w:r>
      <w:r>
        <w:t>Décrire les protocoles de gestion des crises, y compris les stratégies de communication et les processus décisionnels.</w:t>
      </w:r>
    </w:p>
    <w:p w14:paraId="12DA0C19" w14:textId="572119FF" w:rsidR="009474F6" w:rsidRPr="009474F6" w:rsidRDefault="009474F6" w:rsidP="009474F6">
      <w:pPr>
        <w:rPr>
          <w:b/>
          <w:bCs/>
        </w:rPr>
      </w:pPr>
      <w:r>
        <w:rPr>
          <w:b/>
        </w:rPr>
        <w:t>6. Cadre de su</w:t>
      </w:r>
      <w:r w:rsidR="00C34934">
        <w:rPr>
          <w:b/>
        </w:rPr>
        <w:t xml:space="preserve">rveillance </w:t>
      </w:r>
      <w:r>
        <w:rPr>
          <w:b/>
        </w:rPr>
        <w:t>et d’évaluation</w:t>
      </w:r>
    </w:p>
    <w:p w14:paraId="520EE436" w14:textId="049FBC8A" w:rsidR="009474F6" w:rsidRPr="009474F6" w:rsidRDefault="009474F6" w:rsidP="009474F6">
      <w:r>
        <w:rPr>
          <w:b/>
        </w:rPr>
        <w:t>Objectif :</w:t>
      </w:r>
      <w:r>
        <w:t xml:space="preserve"> Suivre les progrès et l’efficacité de</w:t>
      </w:r>
      <w:r w:rsidR="009E4380">
        <w:t>s</w:t>
      </w:r>
      <w:r>
        <w:t xml:space="preserve"> </w:t>
      </w:r>
      <w:r w:rsidR="009E4380">
        <w:t>activités</w:t>
      </w:r>
      <w:r w:rsidR="009E4380">
        <w:t xml:space="preserve"> </w:t>
      </w:r>
      <w:r>
        <w:t>du changement.</w:t>
      </w:r>
    </w:p>
    <w:p w14:paraId="2055D040" w14:textId="3D064A80" w:rsidR="009474F6" w:rsidRPr="009474F6" w:rsidRDefault="009474F6" w:rsidP="009474F6">
      <w:pPr>
        <w:numPr>
          <w:ilvl w:val="0"/>
          <w:numId w:val="6"/>
        </w:numPr>
      </w:pPr>
      <w:r>
        <w:rPr>
          <w:b/>
        </w:rPr>
        <w:t>Indicateurs de rendement clés (IRC) :</w:t>
      </w:r>
      <w:r>
        <w:t xml:space="preserve"> Définir les IRC qui serviront à mesurer le</w:t>
      </w:r>
      <w:r w:rsidR="00D34696">
        <w:t xml:space="preserve">s réussites </w:t>
      </w:r>
      <w:r>
        <w:t>et les progrès.</w:t>
      </w:r>
    </w:p>
    <w:p w14:paraId="1722D88E" w14:textId="7F10BAB8" w:rsidR="009474F6" w:rsidRPr="009474F6" w:rsidRDefault="009474F6" w:rsidP="009474F6">
      <w:pPr>
        <w:numPr>
          <w:ilvl w:val="0"/>
          <w:numId w:val="6"/>
        </w:numPr>
      </w:pPr>
      <w:r>
        <w:rPr>
          <w:b/>
        </w:rPr>
        <w:t>Collecte et analyse des données :</w:t>
      </w:r>
      <w:r>
        <w:t xml:space="preserve"> Décrire les méthodes de collecte et d’analyse des données liées </w:t>
      </w:r>
      <w:r w:rsidR="00B167E7">
        <w:t>aux activités</w:t>
      </w:r>
      <w:r>
        <w:t>.</w:t>
      </w:r>
    </w:p>
    <w:p w14:paraId="2EDA86FE" w14:textId="0BA82A87" w:rsidR="009474F6" w:rsidRPr="009474F6" w:rsidRDefault="009474F6" w:rsidP="009474F6">
      <w:pPr>
        <w:numPr>
          <w:ilvl w:val="0"/>
          <w:numId w:val="6"/>
        </w:numPr>
      </w:pPr>
      <w:r>
        <w:rPr>
          <w:b/>
        </w:rPr>
        <w:t xml:space="preserve">Production de rapports et examen : </w:t>
      </w:r>
      <w:r>
        <w:t>Établir un calendrier pour faire rapport des progrès aux intervenants et effectuer des examens pour rajuster les plans au besoin.</w:t>
      </w:r>
    </w:p>
    <w:p w14:paraId="10799C16" w14:textId="77777777" w:rsidR="009474F6" w:rsidRPr="009474F6" w:rsidRDefault="009474F6" w:rsidP="009474F6">
      <w:pPr>
        <w:rPr>
          <w:b/>
          <w:bCs/>
        </w:rPr>
      </w:pPr>
      <w:r>
        <w:rPr>
          <w:b/>
        </w:rPr>
        <w:t>7. Soutenir le changement</w:t>
      </w:r>
    </w:p>
    <w:p w14:paraId="2465BB5B" w14:textId="77777777" w:rsidR="009474F6" w:rsidRPr="009474F6" w:rsidRDefault="009474F6" w:rsidP="009474F6">
      <w:r>
        <w:rPr>
          <w:b/>
        </w:rPr>
        <w:lastRenderedPageBreak/>
        <w:t>Objectif :</w:t>
      </w:r>
      <w:r>
        <w:t xml:space="preserve"> Veiller à ce que les changements soient intégrés et soutenus au sein de l’organisation.</w:t>
      </w:r>
    </w:p>
    <w:p w14:paraId="6DD150D9" w14:textId="4D742940" w:rsidR="009474F6" w:rsidRPr="009474F6" w:rsidRDefault="009474F6" w:rsidP="009474F6">
      <w:pPr>
        <w:numPr>
          <w:ilvl w:val="0"/>
          <w:numId w:val="7"/>
        </w:numPr>
      </w:pPr>
      <w:r>
        <w:rPr>
          <w:b/>
        </w:rPr>
        <w:t xml:space="preserve">Soutien après la mise en œuvre : </w:t>
      </w:r>
      <w:r>
        <w:t>Planifier le soutien continu et les ressources pour aider les équipes à intégrer pleinement les changements.</w:t>
      </w:r>
    </w:p>
    <w:p w14:paraId="121776EB" w14:textId="77777777" w:rsidR="009474F6" w:rsidRPr="009474F6" w:rsidRDefault="009474F6" w:rsidP="009474F6">
      <w:pPr>
        <w:numPr>
          <w:ilvl w:val="0"/>
          <w:numId w:val="7"/>
        </w:numPr>
      </w:pPr>
      <w:r>
        <w:rPr>
          <w:b/>
        </w:rPr>
        <w:t>Amélioration continue :</w:t>
      </w:r>
      <w:r>
        <w:t xml:space="preserve"> Décrire les stratégies de surveillance et d’amélioration continues, en veillant à ce que les changements demeurent efficaces et pertinents.</w:t>
      </w:r>
    </w:p>
    <w:p w14:paraId="2939C002" w14:textId="7C5F5C88" w:rsidR="009474F6" w:rsidRPr="009474F6" w:rsidRDefault="009474F6" w:rsidP="009474F6">
      <w:pPr>
        <w:numPr>
          <w:ilvl w:val="0"/>
          <w:numId w:val="7"/>
        </w:numPr>
      </w:pPr>
      <w:r>
        <w:rPr>
          <w:b/>
        </w:rPr>
        <w:t xml:space="preserve">Renforcement et reconnaissance : </w:t>
      </w:r>
      <w:r>
        <w:t>Élaborer un plan pour renforcer les comportements souhaités et reconnaître les réalisations liées au changement.</w:t>
      </w:r>
    </w:p>
    <w:p w14:paraId="2787CDC4" w14:textId="77777777" w:rsidR="009474F6" w:rsidRPr="009474F6" w:rsidRDefault="00000000" w:rsidP="009474F6">
      <w:r>
        <w:pict w14:anchorId="58980C54">
          <v:rect id="_x0000_i1026" style="width:0;height:1.5pt" o:hralign="center" o:hrstd="t" o:hr="t" fillcolor="#a0a0a0" stroked="f"/>
        </w:pict>
      </w:r>
    </w:p>
    <w:p w14:paraId="1FEDA528" w14:textId="2B89038E" w:rsidR="009474F6" w:rsidRPr="009474F6" w:rsidRDefault="009474F6" w:rsidP="009474F6">
      <w:r>
        <w:t xml:space="preserve">Le présent guide </w:t>
      </w:r>
      <w:r w:rsidR="009E4380">
        <w:t xml:space="preserve">est un guide </w:t>
      </w:r>
      <w:r>
        <w:t xml:space="preserve">complet pour l’élaboration d’un plan de gestion du changement détaillé qui s’appuie sur les fondements stratégiques établis au cours des phases précédentes. Il veille à ce que tous les aspects pratiques de la mise en œuvre soient bien planifiés et exécutés, ouvrant la voie à un changement réussi et durable. Veuillez adapter le plan aux besoins et au contexte particuliers de votre organisation, et veillez à ce que tous les intervenants soient </w:t>
      </w:r>
      <w:r w:rsidR="00CD19A5">
        <w:t xml:space="preserve">sur la même longueur d’onde </w:t>
      </w:r>
      <w:r>
        <w:t>et informés tout au long du processus.</w:t>
      </w:r>
    </w:p>
    <w:p w14:paraId="49BF3585" w14:textId="77777777" w:rsidR="005F55D8" w:rsidRDefault="005F55D8"/>
    <w:sectPr w:rsidR="005F55D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4B1B1" w14:textId="77777777" w:rsidR="005C2172" w:rsidRDefault="005C2172" w:rsidP="00CD1ADC">
      <w:pPr>
        <w:spacing w:after="0" w:line="240" w:lineRule="auto"/>
      </w:pPr>
      <w:r>
        <w:separator/>
      </w:r>
    </w:p>
  </w:endnote>
  <w:endnote w:type="continuationSeparator" w:id="0">
    <w:p w14:paraId="68F23710" w14:textId="77777777" w:rsidR="005C2172" w:rsidRDefault="005C2172" w:rsidP="00CD1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3D703" w14:textId="77777777" w:rsidR="00CD1ADC" w:rsidRDefault="00CD1A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DF9C2" w14:textId="77777777" w:rsidR="00CD1ADC" w:rsidRDefault="00CD1A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51D0" w14:textId="77777777" w:rsidR="00CD1ADC" w:rsidRDefault="00CD1A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30B3F" w14:textId="77777777" w:rsidR="005C2172" w:rsidRDefault="005C2172" w:rsidP="00CD1ADC">
      <w:pPr>
        <w:spacing w:after="0" w:line="240" w:lineRule="auto"/>
      </w:pPr>
      <w:r>
        <w:separator/>
      </w:r>
    </w:p>
  </w:footnote>
  <w:footnote w:type="continuationSeparator" w:id="0">
    <w:p w14:paraId="395ABCF8" w14:textId="77777777" w:rsidR="005C2172" w:rsidRDefault="005C2172" w:rsidP="00CD1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B9DDA" w14:textId="77777777" w:rsidR="00CD1ADC" w:rsidRDefault="00CD1A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762A0" w14:textId="77777777" w:rsidR="00CD1ADC" w:rsidRDefault="00CD1A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A160E" w14:textId="77777777" w:rsidR="00CD1ADC" w:rsidRDefault="00CD1A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870"/>
    <w:multiLevelType w:val="multilevel"/>
    <w:tmpl w:val="86D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E12"/>
    <w:multiLevelType w:val="multilevel"/>
    <w:tmpl w:val="677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D7DB9"/>
    <w:multiLevelType w:val="multilevel"/>
    <w:tmpl w:val="FC3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E49E0"/>
    <w:multiLevelType w:val="multilevel"/>
    <w:tmpl w:val="B46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A24B4"/>
    <w:multiLevelType w:val="multilevel"/>
    <w:tmpl w:val="8E0A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A6DF5"/>
    <w:multiLevelType w:val="multilevel"/>
    <w:tmpl w:val="185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C3B10"/>
    <w:multiLevelType w:val="multilevel"/>
    <w:tmpl w:val="139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785548">
    <w:abstractNumId w:val="1"/>
  </w:num>
  <w:num w:numId="2" w16cid:durableId="884289238">
    <w:abstractNumId w:val="5"/>
  </w:num>
  <w:num w:numId="3" w16cid:durableId="322273219">
    <w:abstractNumId w:val="6"/>
  </w:num>
  <w:num w:numId="4" w16cid:durableId="855192975">
    <w:abstractNumId w:val="3"/>
  </w:num>
  <w:num w:numId="5" w16cid:durableId="1812401023">
    <w:abstractNumId w:val="2"/>
  </w:num>
  <w:num w:numId="6" w16cid:durableId="1247573744">
    <w:abstractNumId w:val="0"/>
  </w:num>
  <w:num w:numId="7" w16cid:durableId="569923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F6"/>
    <w:rsid w:val="000A27F8"/>
    <w:rsid w:val="000B759C"/>
    <w:rsid w:val="000D5207"/>
    <w:rsid w:val="000E73E8"/>
    <w:rsid w:val="00164EF6"/>
    <w:rsid w:val="001B318F"/>
    <w:rsid w:val="001B7E42"/>
    <w:rsid w:val="00260CCE"/>
    <w:rsid w:val="00283F3C"/>
    <w:rsid w:val="002D6EEB"/>
    <w:rsid w:val="00344062"/>
    <w:rsid w:val="003A28EE"/>
    <w:rsid w:val="00405C2E"/>
    <w:rsid w:val="005C2172"/>
    <w:rsid w:val="005E4152"/>
    <w:rsid w:val="005F55D8"/>
    <w:rsid w:val="00671A9C"/>
    <w:rsid w:val="00696E01"/>
    <w:rsid w:val="006E5FA5"/>
    <w:rsid w:val="007662FC"/>
    <w:rsid w:val="00890F80"/>
    <w:rsid w:val="008E66D0"/>
    <w:rsid w:val="009474F6"/>
    <w:rsid w:val="009D5625"/>
    <w:rsid w:val="009E4380"/>
    <w:rsid w:val="00AF236E"/>
    <w:rsid w:val="00B167E7"/>
    <w:rsid w:val="00B66864"/>
    <w:rsid w:val="00C34934"/>
    <w:rsid w:val="00C65777"/>
    <w:rsid w:val="00CD19A5"/>
    <w:rsid w:val="00CD1ADC"/>
    <w:rsid w:val="00D15354"/>
    <w:rsid w:val="00D34696"/>
    <w:rsid w:val="00D44800"/>
    <w:rsid w:val="00DB12F7"/>
    <w:rsid w:val="00DB745A"/>
    <w:rsid w:val="00DC4245"/>
    <w:rsid w:val="00E61D02"/>
    <w:rsid w:val="00EA5BE3"/>
    <w:rsid w:val="00F325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CDB3"/>
  <w15:chartTrackingRefBased/>
  <w15:docId w15:val="{C865FBF1-747C-4D3F-BD73-8239DC3D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1ADC"/>
    <w:pPr>
      <w:tabs>
        <w:tab w:val="center" w:pos="4703"/>
        <w:tab w:val="right" w:pos="9406"/>
      </w:tabs>
      <w:spacing w:after="0" w:line="240" w:lineRule="auto"/>
    </w:pPr>
  </w:style>
  <w:style w:type="character" w:customStyle="1" w:styleId="HeaderChar">
    <w:name w:val="Header Char"/>
    <w:basedOn w:val="DefaultParagraphFont"/>
    <w:link w:val="Header"/>
    <w:uiPriority w:val="99"/>
    <w:rsid w:val="00CD1ADC"/>
  </w:style>
  <w:style w:type="paragraph" w:styleId="Footer">
    <w:name w:val="footer"/>
    <w:basedOn w:val="Normal"/>
    <w:link w:val="FooterChar"/>
    <w:uiPriority w:val="99"/>
    <w:unhideWhenUsed/>
    <w:rsid w:val="00CD1ADC"/>
    <w:pPr>
      <w:tabs>
        <w:tab w:val="center" w:pos="4703"/>
        <w:tab w:val="right" w:pos="9406"/>
      </w:tabs>
      <w:spacing w:after="0" w:line="240" w:lineRule="auto"/>
    </w:pPr>
  </w:style>
  <w:style w:type="character" w:customStyle="1" w:styleId="FooterChar">
    <w:name w:val="Footer Char"/>
    <w:basedOn w:val="DefaultParagraphFont"/>
    <w:link w:val="Footer"/>
    <w:uiPriority w:val="99"/>
    <w:rsid w:val="00CD1ADC"/>
  </w:style>
  <w:style w:type="paragraph" w:styleId="NormalWeb">
    <w:name w:val="Normal (Web)"/>
    <w:basedOn w:val="Normal"/>
    <w:uiPriority w:val="99"/>
    <w:unhideWhenUsed/>
    <w:rsid w:val="00164EF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56573">
      <w:bodyDiv w:val="1"/>
      <w:marLeft w:val="0"/>
      <w:marRight w:val="0"/>
      <w:marTop w:val="0"/>
      <w:marBottom w:val="0"/>
      <w:divBdr>
        <w:top w:val="none" w:sz="0" w:space="0" w:color="auto"/>
        <w:left w:val="none" w:sz="0" w:space="0" w:color="auto"/>
        <w:bottom w:val="none" w:sz="0" w:space="0" w:color="auto"/>
        <w:right w:val="none" w:sz="0" w:space="0" w:color="auto"/>
      </w:divBdr>
    </w:div>
    <w:div w:id="1023018760">
      <w:bodyDiv w:val="1"/>
      <w:marLeft w:val="0"/>
      <w:marRight w:val="0"/>
      <w:marTop w:val="0"/>
      <w:marBottom w:val="0"/>
      <w:divBdr>
        <w:top w:val="none" w:sz="0" w:space="0" w:color="auto"/>
        <w:left w:val="none" w:sz="0" w:space="0" w:color="auto"/>
        <w:bottom w:val="none" w:sz="0" w:space="0" w:color="auto"/>
        <w:right w:val="none" w:sz="0" w:space="0" w:color="auto"/>
      </w:divBdr>
    </w:div>
    <w:div w:id="1490443866">
      <w:bodyDiv w:val="1"/>
      <w:marLeft w:val="0"/>
      <w:marRight w:val="0"/>
      <w:marTop w:val="0"/>
      <w:marBottom w:val="0"/>
      <w:divBdr>
        <w:top w:val="none" w:sz="0" w:space="0" w:color="auto"/>
        <w:left w:val="none" w:sz="0" w:space="0" w:color="auto"/>
        <w:bottom w:val="none" w:sz="0" w:space="0" w:color="auto"/>
        <w:right w:val="none" w:sz="0" w:space="0" w:color="auto"/>
      </w:divBdr>
    </w:div>
    <w:div w:id="1744328672">
      <w:bodyDiv w:val="1"/>
      <w:marLeft w:val="0"/>
      <w:marRight w:val="0"/>
      <w:marTop w:val="0"/>
      <w:marBottom w:val="0"/>
      <w:divBdr>
        <w:top w:val="none" w:sz="0" w:space="0" w:color="auto"/>
        <w:left w:val="none" w:sz="0" w:space="0" w:color="auto"/>
        <w:bottom w:val="none" w:sz="0" w:space="0" w:color="auto"/>
        <w:right w:val="none" w:sz="0" w:space="0" w:color="auto"/>
      </w:divBdr>
    </w:div>
    <w:div w:id="191215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1386</TotalTime>
  <Pages>3</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4</cp:revision>
  <dcterms:created xsi:type="dcterms:W3CDTF">2024-11-08T13:19:00Z</dcterms:created>
  <dcterms:modified xsi:type="dcterms:W3CDTF">2025-01-09T22:32:00Z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2024-11-08T13:07:49Z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d79a6804-a0fd-4154-b338-6b362de93c0c</vt:lpwstr>
  </property>
  <property fmtid="{D5CDD505-2E9C-101B-9397-08002B2CF9AE}" pid="8" name="MSIP_Label_834ed4f5-eae4-40c7-82be-b1cdf720a1b9_ContentBits">
    <vt:lpwstr>0</vt:lpwstr>
  </property>
</Properties>
</file>