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1700" w:after="220" w:line="360" w:lineRule="auto"/>
      </w:pPr>
      <w:r>
        <w:rPr>
          <w:rFonts w:ascii="Times New Roman" w:hAnsi="Times New Roman" w:eastAsia="宋体"/>
          <w:b/>
          <w:bCs/>
          <w:sz w:val="38"/>
          <w:szCs w:val="38"/>
        </w:rPr>
        <w:t xml:space="preserve">智能体设计实例</w:t>
      </w:r>
    </w:p>
    <w:p>
      <w:pPr>
        <w:pStyle w:val="Subtitle"/>
        <w:jc w:val="center"/>
        <w:spacing w:before="120" w:after="300" w:line="360" w:lineRule="auto"/>
      </w:pPr>
      <w:r>
        <w:rPr>
          <w:rFonts w:ascii="Times New Roman" w:hAnsi="Times New Roman" w:eastAsia="宋体"/>
          <w:sz w:val="27"/>
          <w:szCs w:val="27"/>
        </w:rPr>
        <w:t xml:space="preserve">数据库安全运维教学智能体</w:t>
      </w:r>
    </w:p>
    <w:p>
      <w:pPr>
        <w:pStyle w:val="Normal"/>
        <w:jc w:val="center"/>
        <w:spacing w:before="500" w:after="10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智能体 01/04</w:t>
      </w:r>
    </w:p>
    <w:p>
      <w:pPr>
        <w:pStyle w:val="Normal"/>
        <w:jc w:val="center"/>
        <w:spacing w:before="80" w:after="10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2026 年 7 月</w:t>
      </w:r>
    </w:p>
    <w:p>
      <w:r>
        <w:br w:type="page"/>
      </w:r>
    </w:p>
    <w:p>
      <w:pPr>
        <w:pStyle w:val="Heading1"/>
        <w:jc w:val="left"/>
        <w:spacing w:before="24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基本信息</w:t>
      </w:r>
    </w:p>
    <w:tbl>
      <w:tblPr>
        <w:tblW w:w="0" w:type="auto"/>
        <w:tblLayout w:type="autofit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项目序号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01/04</w:t>
            </w:r>
          </w:p>
        </w:tc>
      </w:t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智能体名称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基于大语言模型的数据库安全运维教学智能体</w:t>
            </w:r>
          </w:p>
        </w:tc>
      </w:t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项目副标题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面向 MySQL 数据库巡检、权限管控、备份恢复与安全事件处置的情景化学习助手</w:t>
            </w:r>
          </w:p>
        </w:tc>
      </w:t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支撑课程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数据库原理与安全</w:t>
            </w:r>
          </w:p>
        </w:tc>
      </w:t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项目类型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基于智能体的网络安全小助手开发—网安专业课情景教学</w:t>
            </w:r>
          </w:p>
        </w:tc>
      </w:tr>
    </w:tbl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对应课程内容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“数据库原理与安全”，覆盖以下内容：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MySQL 安全基线巡检；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数据库账号与权限审计；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SQL 注入风险及异常日志分析；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数据库备份、恢复验证与应急闭环。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核心教学任务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掌握 MySQL 安全基线巡检的常用命令与检查方法；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识别异常账号、越权授权和高风险访问来源；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分析审计日志与可疑 SQL，研判 SQL 注入及数据泄露风险；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完成备份有效性检查、恢复演练和安全运维报告编写。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配套故事线设计（企事业单位真实场景，多分支决策）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故事背景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某市公共服务平台的 MySQL 业务数据库出现异常高权限账号和大量可疑查询，同时夜间备份任务执行失败。平台存储用户身份信息和业务办理记录，存在数据泄露及服务中断风险。单位要求数据库安全运维岗（学员扮演）在 2 小时内完成风险排查、权限处置、备份恢复验证和安全加固。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可扮演角色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数据库安全运维工程师；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数据库管理员；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应急响应工程师。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核心决策点与故事线分支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决策 1：先做安全基线巡检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   进入“MySQL 安全基线检查”任务，发现远程高权限登录、弱密码策略和审计配置不足；完成后解锁“账号权限审计”。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决策 2：先做账号权限审计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   进入“账号与权限分析”任务，发现新增可疑账号和业务账号权限过大；完成后解锁“日志与可疑 SQL 分析”。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决策 3：先分析异常日志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   进入“SQL 日志分析”任务，识别批量查询、异常登录来源及疑似 SQL 注入行为；完成后解锁“备份恢复验证”。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三个分支最终汇合到“风险处置与闭环”任务：撤销不合理权限、禁用异常账号、验证安全备份、在隔离数据库中完成恢复，并生成处置报告。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失败分支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若任务超时、误判风险或执行危险 SQL，故事线推进为“数据库再次遭受异常访问，敏感数据存在泄露风险，备份恢复失败”。学员需要根据智能体提示重新完成任务。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模拟攻击方案（仅限教学沙箱）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本项目采用“受控攻击回放”方式构造教学事件。攻击过程由固定场景和预设事件驱动，只作用于隔离的 MySQL 教学沙箱和合成数据，不提供外部攻击入口，不允许学员或大语言模型执行任意攻击载荷。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模拟攻击链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入口阶段—SQL 注入迹象：回放预设的异常 Web 请求和数据库日志，模拟业务系统参数化查询缺失后产生的 SQL 注入迹象。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权限利用阶段：模拟应用账号权限配置过大，使其能够访问超出业务职责范围的数据表，并生成异常授权证据。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异常访问阶段：对合成用户数据执行受限的批量查询回放，产生非工作时段访问、查询量突增和敏感表读取记录。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持久化阶段：在场景初始化时预置来源异常的高权限账号，供学员完成识别、研判、锁定和权限回收。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备份干扰阶段：模拟备份任务失败、校验值不一致或最新备份不可用，不实际删除备份文件和业务数据。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证据生成阶段：形成 Web 访问日志、MySQL 日志、账号权限快照、备份记录和场景事件时间线，供学员分析与处置。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学员处置任务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定位异常请求和可疑 SQL；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识别被滥用的应用账号和异常高权限账号；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撤销过度授权并锁定可疑账号；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验证备份文件，在隔离恢复库中完成恢复验证；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完成安全加固、证据整理和事件报告。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安全控制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仅使用合成或脱敏数据；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沙箱禁止访问外网和宿主机其他数据库；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攻击事件只能通过固定场景编号触发，不接受任意攻击参数；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大语言模型不能直接执行 SQL，只能调用后端受控工具；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限制查询数量、执行时间和资源占用；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拦截删除库表、无条件批量修改等破坏性操作；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每次演练结束后可一键恢复标准快照。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智能体核心功能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故事线引导与多分支任务：通过角色对话、事件提示和决策节点推动任务进程。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受控攻击回放模块：按固定场景注入异常状态、日志和证据，支持开始、暂停、重置和结果校验。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MySQL 教学沙箱与操作校验：在隔离环境中执行只读查询和白名单操作，实时校验操作结果。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安全基线自动巡检：检查账号、口令策略、远程访问、日志、权限及备份配置等项目。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账号权限审计与风险评分：识别异常账号、过度授权和高风险来源，并给出风险等级。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SQL 日志分析与注入风险讲解：从模拟日志中识别异常查询，解释风险原理与处置思路。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7. 备份恢复模拟：检查备份完整性，在隔离数据库中进行恢复验证。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8. 知识问答与错误操作提示：结合课程知识库解释任务要求，针对错误操作给出分级提示。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9. 学习评分与报告生成：记录任务路径、用时、错误次数和风险处置结果，生成数据库安全运维报告。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10. 危险 SQL 拦截：大语言模型只能提出操作建议，实际数据库操作必须经过固定接口、权限校验和白名单控制。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教学闭环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场景初始化 → 受控攻击回放 → 故事线引导 → 学员决策 → 沙箱实操 → 操作校验 → 知识讲解 → 风险处置 → 评分反馈 → 报告生成 → 场景重置。</w:t>
      </w:r>
    </w:p>
    <w:sectPr>
      <w:pgSz w:w="11906" w:h="16838"/>
      <w:pgMar w:top="1440" w:right="1417" w:bottom="1440" w:left="1701" w:header="720" w:footer="720" w:gutter="0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eastAsia="宋体"/>
      <w:sz w:val="21"/>
      <w:szCs w:val="21"/>
    </w:rPr>
  </w:style>
  <w:style w:type="paragraph" w:styleId="Title">
    <w:name w:val="Title"/>
    <w:basedOn w:val="Normal"/>
    <w:qFormat/>
    <w:rPr>
      <w:rFonts w:eastAsia="黑体"/>
      <w:b/>
      <w:sz w:val="38"/>
    </w:rPr>
  </w:style>
  <w:style w:type="paragraph" w:styleId="Subtitle">
    <w:name w:val="Subtitle"/>
    <w:basedOn w:val="Normal"/>
    <w:qFormat/>
    <w:rPr>
      <w:rFonts w:eastAsia="黑体"/>
      <w:sz w:val="27"/>
    </w:rPr>
  </w:style>
  <w:style w:type="paragraph" w:styleId="Heading1">
    <w:name w:val="heading 1"/>
    <w:basedOn w:val="Normal"/>
    <w:qFormat/>
    <w:pPr>
      <w:keepNext/>
      <w:outlineLvl w:val="0"/>
    </w:pPr>
    <w:rPr>
      <w:rFonts w:eastAsia="黑体"/>
      <w:b/>
      <w:sz w:val="30"/>
    </w:rPr>
  </w:style>
  <w:style w:type="paragraph" w:styleId="Heading2">
    <w:name w:val="heading 2"/>
    <w:basedOn w:val="Normal"/>
    <w:qFormat/>
    <w:pPr>
      <w:keepNext/>
      <w:outlineLvl w:val="1"/>
    </w:pPr>
    <w:rPr>
      <w:rFonts w:eastAsia="黑体"/>
      <w:b/>
      <w:sz w:val="26"/>
    </w:rPr>
  </w:style>
  <w:style w:type="paragraph" w:styleId="Heading3">
    <w:name w:val="heading 3"/>
    <w:basedOn w:val="Normal"/>
    <w:qFormat/>
    <w:pPr>
      <w:keepNext/>
      <w:outlineLvl w:val="2"/>
    </w:pPr>
    <w:rPr>
      <w:rFonts w:eastAsia="黑体"/>
      <w:b/>
      <w:sz w:val="23"/>
    </w:rPr>
  </w:style>
</w:styles>
</file>

<file path=word/_rels/document.xml.rels>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智能体设计实例</dc:title>
  <dc:creator>Codex</dc:creator>
  <cp:lastModifiedBy>Codex</cp:lastModifiedBy>
  <dcterms:created xsi:type="dcterms:W3CDTF">2026-07-17T07:49:30Z</dcterms:created>
  <dcterms:modified xsi:type="dcterms:W3CDTF">2026-07-17T07:49:30Z</dcterms:modified>
</cp:coreProperties>
</file>