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Arial" w:cs="Arial" w:eastAsia="Arial" w:hAnsi="Arial"/>
          <w:b/>
          <w:bCs/>
          <w:color w:val="1F4E79"/>
          <w:sz w:val="36"/>
          <w:szCs w:val="36"/>
        </w:rPr>
        <w:t xml:space="preserve">UNICC</w:t>
      </w:r>
    </w:p>
    <w:p>
      <w:pPr>
        <w:spacing w:after="80"/>
      </w:pPr>
      <w:r>
        <w:rPr>
          <w:rFonts w:ascii="Arial" w:cs="Arial" w:eastAsia="Arial" w:hAnsi="Arial"/>
          <w:b/>
          <w:bCs/>
          <w:color w:val="1F1F1F"/>
          <w:sz w:val="26"/>
          <w:szCs w:val="26"/>
        </w:rPr>
        <w:t xml:space="preserve">WORKFORCE READINESS — STRATEGIC BENCHMARKING</w:t>
      </w:r>
    </w:p>
    <w:p>
      <w:pPr>
        <w:spacing w:after="80"/>
      </w:pPr>
      <w:r>
        <w:rPr>
          <w:rFonts w:ascii="Arial" w:cs="Arial" w:eastAsia="Arial" w:hAnsi="Arial"/>
          <w:i/>
          <w:iCs/>
          <w:color w:val="1F1F1F"/>
          <w:sz w:val="22"/>
          <w:szCs w:val="22"/>
        </w:rPr>
        <w:t xml:space="preserve">AI-Core Role Specifications: UNICC against Private Sector and UN-System Peers</w:t>
      </w:r>
    </w:p>
    <w:p>
      <w:pPr>
        <w:spacing w:after="80"/>
      </w:pPr>
      <w:r>
        <w:rPr>
          <w:rFonts w:ascii="Arial" w:cs="Arial" w:eastAsia="Arial" w:hAnsi="Arial"/>
          <w:color w:val="1F1F1F"/>
          <w:sz w:val="22"/>
          <w:szCs w:val="22"/>
        </w:rPr>
        <w:t xml:space="preserve">April 2026</w:t>
      </w:r>
    </w:p>
    <w:p>
      <w:pPr>
        <w:spacing w:after="240"/>
      </w:pPr>
      <w:r>
        <w:rPr>
          <w:rFonts w:ascii="Arial" w:cs="Arial" w:eastAsia="Arial" w:hAnsi="Arial"/>
          <w:i/>
          <w:iCs/>
          <w:color w:val="595959"/>
          <w:sz w:val="20"/>
          <w:szCs w:val="20"/>
        </w:rPr>
        <w:t xml:space="preserve">A companion paper to the Workforce Readiness in an AI-Enabled Operating Environment discussion paper (March 2026). Anchored on the AI-Core (strict-tier) methodology applied consistently across UNICC's PD library, UN-system peer postings, and private-sector benchmarks.</w:t>
      </w:r>
    </w:p>
    <w:p>
      <w:pPr>
        <w:spacing w:after="320"/>
      </w:pPr>
      <w:r>
        <w:rPr>
          <w:rFonts w:ascii="Arial" w:cs="Arial" w:eastAsia="Arial" w:hAnsi="Arial"/>
          <w:b/>
          <w:bCs/>
          <w:color w:val="595959"/>
          <w:sz w:val="20"/>
          <w:szCs w:val="20"/>
        </w:rPr>
        <w:t xml:space="preserve">DRAFT  |  For Milena's Review</w:t>
      </w:r>
    </w:p>
    <w:p>
      <w:pPr>
        <w:pStyle w:val="Heading1"/>
        <w:spacing w:after="200" w:before="320"/>
      </w:pPr>
      <w:r>
        <w:rPr>
          <w:rFonts w:ascii="Arial" w:cs="Arial" w:eastAsia="Arial" w:hAnsi="Arial"/>
          <w:b/>
          <w:bCs/>
          <w:color w:val="1F4E79"/>
          <w:sz w:val="30"/>
          <w:szCs w:val="30"/>
        </w:rPr>
        <w:t xml:space="preserve">Executive Summary</w:t>
      </w:r>
    </w:p>
    <w:p>
      <w:pPr>
        <w:spacing w:after="160" w:line="300" w:lineRule="auto"/>
        <w:jc w:val="both"/>
      </w:pPr>
      <w:r>
        <w:rPr>
          <w:rFonts w:ascii="Arial" w:cs="Arial" w:eastAsia="Arial" w:hAnsi="Arial"/>
          <w:b/>
          <w:bCs/>
          <w:color w:val="1F1F1F"/>
          <w:sz w:val="22"/>
          <w:szCs w:val="22"/>
        </w:rPr>
        <w:t xml:space="preserve">The headline picture. </w:t>
      </w:r>
      <w:r>
        <w:rPr>
          <w:rFonts w:ascii="Arial" w:cs="Arial" w:eastAsia="Arial" w:hAnsi="Arial"/>
          <w:color w:val="1F1F1F"/>
          <w:sz w:val="22"/>
          <w:szCs w:val="22"/>
        </w:rPr>
        <w:t xml:space="preserve">UNICC's PD library contains 7 of 373 staff PDs (1.9%) that qualify as AI-Core — roles where AI or machine learning is the primary function of the work. UN Secretariat tech postings sit at 4.0%, UN Funds &amp; Programmes at 5.4%, UNOPS at 18.6%, UNDP at 35.3%, World Bank Group at 40.0%, and the Cisco/G7 private-sector ICT benchmark at 78%. UNICC is below the slowest-moving cohort in the UN system, and an order of magnitude behind UNDP and World Bank.</w:t>
      </w:r>
    </w:p>
    <w:p>
      <w:pPr>
        <w:spacing w:after="160" w:line="300" w:lineRule="auto"/>
        <w:jc w:val="both"/>
      </w:pPr>
      <w:r>
        <w:rPr>
          <w:rFonts w:ascii="Arial" w:cs="Arial" w:eastAsia="Arial" w:hAnsi="Arial"/>
          <w:b/>
          <w:bCs/>
          <w:color w:val="1F1F1F"/>
          <w:sz w:val="22"/>
          <w:szCs w:val="22"/>
        </w:rPr>
        <w:t xml:space="preserve">The structural finding. </w:t>
      </w:r>
      <w:r>
        <w:rPr>
          <w:rFonts w:ascii="Arial" w:cs="Arial" w:eastAsia="Arial" w:hAnsi="Arial"/>
          <w:color w:val="1F1F1F"/>
          <w:sz w:val="22"/>
          <w:szCs w:val="22"/>
        </w:rPr>
        <w:t xml:space="preserve">Aggregate percentages obscure the more strategically consequential pattern. Of 7 staff AI-Core PDs, 6 are concentrated in the AI/ML Unit and a small cluster of data-science specialist roles. The largest functions in the library — Cybersecurity (97 PDs), Digital Workplace (34), Enterprise Apps (33), Network (31), Project Management (18) — contain zero AI-Core specifications, despite each being a function where AI integration has been a defining feature of industry practice over the past 18 months. UNICC has built an AI Centre of Excellence; the rest of the operating model has not yet recognised that AI exists.</w:t>
      </w:r>
    </w:p>
    <w:p>
      <w:pPr>
        <w:spacing w:after="160" w:line="300" w:lineRule="auto"/>
        <w:jc w:val="both"/>
      </w:pPr>
      <w:r>
        <w:rPr>
          <w:rFonts w:ascii="Arial" w:cs="Arial" w:eastAsia="Arial" w:hAnsi="Arial"/>
          <w:b/>
          <w:bCs/>
          <w:color w:val="1F1F1F"/>
          <w:sz w:val="22"/>
          <w:szCs w:val="22"/>
        </w:rPr>
        <w:t xml:space="preserve">The void-filling risk. </w:t>
      </w:r>
      <w:r>
        <w:rPr>
          <w:rFonts w:ascii="Arial" w:cs="Arial" w:eastAsia="Arial" w:hAnsi="Arial"/>
          <w:color w:val="1F1F1F"/>
          <w:sz w:val="22"/>
          <w:szCs w:val="22"/>
        </w:rPr>
        <w:t xml:space="preserve">Private-sector ICT providers operate at 78% AI-Core integration in G7 economies — Cisco, Microsoft, Accenture, Eightfold, IBM, SAP, and the broader Cisco AI Workforce Consortium. UN clients increasingly have the procurement option to buy the AI-augmented IT services UNICC provides, from providers whose role specifications already reflect AI as the default. Within the UN system, UNDP has integrated AI down to entry-level positions; UNICC at 1.9% has zero AI-Core P2 roles in 106 P2 PDs. The competitive question for UNICC is not whether private-sector and UNDP capability will be available to UN clients — it already is and will be — but whether UNICC's documented capability profile will read as a credible alternative to either.</w:t>
      </w:r>
    </w:p>
    <w:p>
      <w:pPr>
        <w:spacing w:after="160" w:line="300" w:lineRule="auto"/>
        <w:jc w:val="both"/>
      </w:pPr>
      <w:r>
        <w:rPr>
          <w:rFonts w:ascii="Arial" w:cs="Arial" w:eastAsia="Arial" w:hAnsi="Arial"/>
          <w:b/>
          <w:bCs/>
          <w:color w:val="1F1F1F"/>
          <w:sz w:val="22"/>
          <w:szCs w:val="22"/>
        </w:rPr>
        <w:t xml:space="preserve">The implication for ManCom. </w:t>
      </w:r>
      <w:r>
        <w:rPr>
          <w:rFonts w:ascii="Arial" w:cs="Arial" w:eastAsia="Arial" w:hAnsi="Arial"/>
          <w:color w:val="1F1F1F"/>
          <w:sz w:val="22"/>
          <w:szCs w:val="22"/>
        </w:rPr>
        <w:t xml:space="preserve">PD refresh is the documentation track of a broader workforce response — necessary to set recruitment criteria and partner-facing positioning, but not on its own sufficient to build the capability the PDs would require. Capability development, recruitment-criteria changes, and workforce-structural decisions are complementary tracks belonging in the Piciorea workforce strategic plan and the operating-model conversation. The recommended PD-track trajectory targets the high-volume, AI-absent functions first — approximately 195 PDs in Cybersecurity, Digital Workplace, Enterprise Apps, and Network — and reaches UNDP's current AI-Core position by Year 4 under Scenario C. The escalation path is full PD library refresh on a 12-18 month timeline if the UNDP gap fails to narrow within the first twelve months.</w:t>
      </w:r>
    </w:p>
    <w:p>
      <w:r>
        <w:br w:type="page"/>
      </w:r>
    </w:p>
    <w:p>
      <w:pPr>
        <w:pStyle w:val="Heading1"/>
        <w:spacing w:after="200" w:before="320"/>
      </w:pPr>
      <w:r>
        <w:rPr>
          <w:rFonts w:ascii="Arial" w:cs="Arial" w:eastAsia="Arial" w:hAnsi="Arial"/>
          <w:b/>
          <w:bCs/>
          <w:color w:val="1F4E79"/>
          <w:sz w:val="30"/>
          <w:szCs w:val="30"/>
        </w:rPr>
        <w:t xml:space="preserve">1. The Private Sector is Moving Fast</w:t>
      </w:r>
    </w:p>
    <w:p>
      <w:pPr>
        <w:spacing w:after="160" w:line="300" w:lineRule="auto"/>
        <w:jc w:val="both"/>
      </w:pPr>
      <w:r>
        <w:rPr>
          <w:rFonts w:ascii="Arial" w:cs="Arial" w:eastAsia="Arial" w:hAnsi="Arial"/>
          <w:color w:val="1F1F1F"/>
          <w:sz w:val="22"/>
          <w:szCs w:val="22"/>
        </w:rPr>
        <w:t xml:space="preserve">This section establishes the trajectory the UN system is being measured against, and the procurement alternative UN clients have available. Five external data points define the pace of AI integration into role specifications across the broader labour market. They are presented in increasing order of relevance to UNICC's positioning.</w:t>
      </w:r>
    </w:p>
    <w:p>
      <w:pPr>
        <w:spacing w:after="160" w:line="300" w:lineRule="auto"/>
        <w:jc w:val="both"/>
      </w:pPr>
      <w:r>
        <w:rPr>
          <w:rFonts w:ascii="Arial" w:cs="Arial" w:eastAsia="Arial" w:hAnsi="Arial"/>
          <w:color w:val="1F1F1F"/>
          <w:sz w:val="22"/>
          <w:szCs w:val="22"/>
        </w:rPr>
        <w:t xml:space="preserve">Lightcast posting data, summarised in the Stanford AI Index 2026, shows AI postings growing 73% year-on-year between 2023 and 2024, and 109% between 2024 and 2025. Within the tech-only subset, AI references appear in 8-13% of postings across major markets (Singapore 4.7%, Spain 3.3%, US 2.6%, UK 1.9% across all postings — concentrating in tech). The trajectory is steep, accelerating, and global.</w:t>
      </w:r>
    </w:p>
    <w:p>
      <w:pPr>
        <w:spacing w:after="160" w:line="300" w:lineRule="auto"/>
        <w:jc w:val="both"/>
      </w:pPr>
      <w:r>
        <w:rPr>
          <w:rFonts w:ascii="Arial" w:cs="Arial" w:eastAsia="Arial" w:hAnsi="Arial"/>
          <w:color w:val="1F1F1F"/>
          <w:sz w:val="22"/>
          <w:szCs w:val="22"/>
        </w:rPr>
        <w:t xml:space="preserve">PwC's Global AI Jobs Barometer 2025 (analysing approximately one billion job advertisements globally) reports that skills are changing 66% faster year-on-year in AI-exposed roles than in non-AI-exposed roles, that AI-exposed roles command a 56% wage premium, and that productivity growth in AI-exposed industries runs at approximately four times the rate of non-exposed industries. A static PD library is not maintaining its current relative position — it is falling behind at an accelerating rate.</w:t>
      </w:r>
    </w:p>
    <w:p>
      <w:pPr>
        <w:spacing w:after="160" w:line="300" w:lineRule="auto"/>
        <w:jc w:val="both"/>
      </w:pPr>
      <w:r>
        <w:rPr>
          <w:rFonts w:ascii="Arial" w:cs="Arial" w:eastAsia="Arial" w:hAnsi="Arial"/>
          <w:color w:val="1F1F1F"/>
          <w:sz w:val="22"/>
          <w:szCs w:val="22"/>
        </w:rPr>
        <w:t xml:space="preserve">LinkedIn's 2025-26 Workforce data reports 70% year-on-year growth in postings requiring AI literacy, projects that 70% of skills required by current jobs will change by 2030, and reports 177% growth in members adding AI skills to their profiles since 2023. The supply-side and demand-side signals are moving together at comparable rates.</w:t>
      </w:r>
    </w:p>
    <w:p>
      <w:pPr>
        <w:spacing w:after="160" w:line="300" w:lineRule="auto"/>
        <w:jc w:val="both"/>
      </w:pPr>
      <w:r>
        <w:rPr>
          <w:rFonts w:ascii="Arial" w:cs="Arial" w:eastAsia="Arial" w:hAnsi="Arial"/>
          <w:color w:val="1F1F1F"/>
          <w:sz w:val="22"/>
          <w:szCs w:val="22"/>
        </w:rPr>
        <w:t xml:space="preserve">The World Economic Forum Future of Jobs Report 2025 surveyed approximately 1,000 large employers across 55 economies. 86% expect AI to transform their business by 2030; 85% plan to upskill their workforce; 77% plan upskilling specifically for AI.</w:t>
      </w:r>
    </w:p>
    <w:p>
      <w:pPr>
        <w:spacing w:after="160" w:line="300" w:lineRule="auto"/>
        <w:jc w:val="both"/>
      </w:pPr>
      <w:r>
        <w:rPr>
          <w:rFonts w:ascii="Arial" w:cs="Arial" w:eastAsia="Arial" w:hAnsi="Arial"/>
          <w:color w:val="1F1F1F"/>
          <w:sz w:val="22"/>
          <w:szCs w:val="22"/>
        </w:rPr>
        <w:t xml:space="preserve">The Cisco AI Workforce Consortium (Accenture, Cornerstone, Eightfold AI, Google, IBM, Indeed, Intel, Microsoft, SAP) published the 'ICT in Motion' study in September 2025. It found that 78% of in-demand ICT roles in G7 economies require AI skills as either a core or supporting competency. The Consortium's membership overlaps substantially with UNICC's strategic vendor relationships — the figures represent the bar UNICC's own technology partners are operating to and recruiting against.</w:t>
      </w:r>
    </w:p>
    <w:p>
      <w:pPr>
        <w:spacing w:after="80"/>
      </w:pPr>
      <w: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5800"/>
      </w:tblGrid>
      <w:tr>
        <w:trPr>
          <w:tblHeader/>
        </w:trPr>
        <w:tc>
          <w:tcPr>
            <w:tcW w:type="dxa" w:w="3000"/>
            <w:tcBorders>
              <w:top w:val="single" w:color="BFBFBF" w:sz="1"/>
              <w:left w:val="single" w:color="BFBFBF" w:sz="1"/>
              <w:bottom w:val="single" w:color="BFBFBF" w:sz="1"/>
              <w:right w:val="single" w:color="BFBFBF" w:sz="1"/>
            </w:tcBorders>
            <w:shd w:fill="D5E8F0" w:color="auto" w:val="clear"/>
            <w:tcMar>
              <w:top w:type="dxa" w:w="100"/>
              <w:left w:type="dxa" w:w="120"/>
              <w:bottom w:type="dxa" w:w="100"/>
              <w:right w:type="dxa" w:w="120"/>
            </w:tcMar>
          </w:tcPr>
          <w:p>
            <w:pPr>
              <w:spacing w:after="0"/>
            </w:pPr>
            <w:r>
              <w:rPr>
                <w:rFonts w:ascii="Arial" w:cs="Arial" w:eastAsia="Arial" w:hAnsi="Arial"/>
                <w:b/>
                <w:bCs/>
                <w:color w:val="1F1F1F"/>
                <w:sz w:val="20"/>
                <w:szCs w:val="20"/>
              </w:rPr>
              <w:t xml:space="preserve">Source</w:t>
            </w:r>
          </w:p>
        </w:tc>
        <w:tc>
          <w:tcPr>
            <w:tcW w:type="dxa" w:w="1200"/>
            <w:tcBorders>
              <w:top w:val="single" w:color="BFBFBF" w:sz="1"/>
              <w:left w:val="single" w:color="BFBFBF" w:sz="1"/>
              <w:bottom w:val="single" w:color="BFBFBF" w:sz="1"/>
              <w:right w:val="single" w:color="BFBFBF" w:sz="1"/>
            </w:tcBorders>
            <w:shd w:fill="D5E8F0" w:color="auto" w:val="clear"/>
            <w:tcMar>
              <w:top w:type="dxa" w:w="100"/>
              <w:left w:type="dxa" w:w="120"/>
              <w:bottom w:type="dxa" w:w="100"/>
              <w:right w:type="dxa" w:w="120"/>
            </w:tcMar>
          </w:tcPr>
          <w:p>
            <w:pPr>
              <w:spacing w:after="0"/>
            </w:pPr>
            <w:r>
              <w:rPr>
                <w:rFonts w:ascii="Arial" w:cs="Arial" w:eastAsia="Arial" w:hAnsi="Arial"/>
                <w:b/>
                <w:bCs/>
                <w:color w:val="1F1F1F"/>
                <w:sz w:val="20"/>
                <w:szCs w:val="20"/>
              </w:rPr>
              <w:t xml:space="preserve">Year</w:t>
            </w:r>
          </w:p>
        </w:tc>
        <w:tc>
          <w:tcPr>
            <w:tcW w:type="dxa" w:w="5800"/>
            <w:tcBorders>
              <w:top w:val="single" w:color="BFBFBF" w:sz="1"/>
              <w:left w:val="single" w:color="BFBFBF" w:sz="1"/>
              <w:bottom w:val="single" w:color="BFBFBF" w:sz="1"/>
              <w:right w:val="single" w:color="BFBFBF" w:sz="1"/>
            </w:tcBorders>
            <w:shd w:fill="D5E8F0" w:color="auto" w:val="clear"/>
            <w:tcMar>
              <w:top w:type="dxa" w:w="100"/>
              <w:left w:type="dxa" w:w="120"/>
              <w:bottom w:type="dxa" w:w="100"/>
              <w:right w:type="dxa" w:w="120"/>
            </w:tcMar>
          </w:tcPr>
          <w:p>
            <w:pPr>
              <w:spacing w:after="0"/>
            </w:pPr>
            <w:r>
              <w:rPr>
                <w:rFonts w:ascii="Arial" w:cs="Arial" w:eastAsia="Arial" w:hAnsi="Arial"/>
                <w:b/>
                <w:bCs/>
                <w:color w:val="1F1F1F"/>
                <w:sz w:val="20"/>
                <w:szCs w:val="20"/>
              </w:rPr>
              <w:t xml:space="preserve">Headline figure</w:t>
            </w:r>
          </w:p>
        </w:tc>
      </w:tr>
      <w:tr>
        <w:tc>
          <w:tcPr>
            <w:tcW w:type="dxa" w:w="3000"/>
            <w:tcBorders>
              <w:top w:val="single" w:color="BFBFBF" w:sz="1"/>
              <w:left w:val="single" w:color="BFBFBF" w:sz="1"/>
              <w:bottom w:val="single" w:color="BFBFBF" w:sz="1"/>
              <w:right w:val="single" w:color="BFBFBF" w:sz="1"/>
            </w:tcBorders>
            <w:tcMar>
              <w:top w:type="dxa" w:w="100"/>
              <w:left w:type="dxa" w:w="120"/>
              <w:bottom w:type="dxa" w:w="100"/>
              <w:right w:type="dxa" w:w="120"/>
            </w:tcMar>
          </w:tcPr>
          <w:p>
            <w:pPr>
              <w:spacing w:after="40"/>
            </w:pPr>
            <w:r>
              <w:rPr>
                <w:rFonts w:ascii="Arial" w:cs="Arial" w:eastAsia="Arial" w:hAnsi="Arial"/>
                <w:color w:val="1F1F1F"/>
                <w:sz w:val="20"/>
                <w:szCs w:val="20"/>
              </w:rPr>
              <w:t xml:space="preserve">Lightcast / Stanford AI Index</w:t>
            </w:r>
          </w:p>
        </w:tc>
        <w:tc>
          <w:tcPr>
            <w:tcW w:type="dxa" w:w="1200"/>
            <w:tcBorders>
              <w:top w:val="single" w:color="BFBFBF" w:sz="1"/>
              <w:left w:val="single" w:color="BFBFBF" w:sz="1"/>
              <w:bottom w:val="single" w:color="BFBFBF" w:sz="1"/>
              <w:right w:val="single" w:color="BFBFBF" w:sz="1"/>
            </w:tcBorders>
            <w:tcMar>
              <w:top w:type="dxa" w:w="100"/>
              <w:left w:type="dxa" w:w="120"/>
              <w:bottom w:type="dxa" w:w="100"/>
              <w:right w:type="dxa" w:w="120"/>
            </w:tcMar>
          </w:tcPr>
          <w:p>
            <w:pPr>
              <w:spacing w:after="40"/>
            </w:pPr>
            <w:r>
              <w:rPr>
                <w:rFonts w:ascii="Arial" w:cs="Arial" w:eastAsia="Arial" w:hAnsi="Arial"/>
                <w:color w:val="1F1F1F"/>
                <w:sz w:val="20"/>
                <w:szCs w:val="20"/>
              </w:rPr>
              <w:t xml:space="preserve">2025-26</w:t>
            </w:r>
          </w:p>
        </w:tc>
        <w:tc>
          <w:tcPr>
            <w:tcW w:type="dxa" w:w="5800"/>
            <w:tcBorders>
              <w:top w:val="single" w:color="BFBFBF" w:sz="1"/>
              <w:left w:val="single" w:color="BFBFBF" w:sz="1"/>
              <w:bottom w:val="single" w:color="BFBFBF" w:sz="1"/>
              <w:right w:val="single" w:color="BFBFBF" w:sz="1"/>
            </w:tcBorders>
            <w:tcMar>
              <w:top w:type="dxa" w:w="100"/>
              <w:left w:type="dxa" w:w="120"/>
              <w:bottom w:type="dxa" w:w="100"/>
              <w:right w:type="dxa" w:w="120"/>
            </w:tcMar>
          </w:tcPr>
          <w:p>
            <w:pPr>
              <w:spacing w:after="40"/>
            </w:pPr>
            <w:r>
              <w:rPr>
                <w:rFonts w:ascii="Arial" w:cs="Arial" w:eastAsia="Arial" w:hAnsi="Arial"/>
                <w:color w:val="1F1F1F"/>
                <w:sz w:val="20"/>
                <w:szCs w:val="20"/>
              </w:rPr>
              <w:t xml:space="preserve">AI postings growing 73%/109% YoY; 8-13% of tech postings reference AI</w:t>
            </w:r>
          </w:p>
        </w:tc>
      </w:tr>
      <w:tr>
        <w:tc>
          <w:tcPr>
            <w:tcW w:type="dxa" w:w="3000"/>
            <w:tcBorders>
              <w:top w:val="single" w:color="BFBFBF" w:sz="1"/>
              <w:left w:val="single" w:color="BFBFBF" w:sz="1"/>
              <w:bottom w:val="single" w:color="BFBFBF" w:sz="1"/>
              <w:right w:val="single" w:color="BFBFBF" w:sz="1"/>
            </w:tcBorders>
            <w:tcMar>
              <w:top w:type="dxa" w:w="100"/>
              <w:left w:type="dxa" w:w="120"/>
              <w:bottom w:type="dxa" w:w="100"/>
              <w:right w:type="dxa" w:w="120"/>
            </w:tcMar>
          </w:tcPr>
          <w:p>
            <w:pPr>
              <w:spacing w:after="40"/>
            </w:pPr>
            <w:r>
              <w:rPr>
                <w:rFonts w:ascii="Arial" w:cs="Arial" w:eastAsia="Arial" w:hAnsi="Arial"/>
                <w:color w:val="1F1F1F"/>
                <w:sz w:val="20"/>
                <w:szCs w:val="20"/>
              </w:rPr>
              <w:t xml:space="preserve">PwC Global AI Jobs Barometer</w:t>
            </w:r>
          </w:p>
        </w:tc>
        <w:tc>
          <w:tcPr>
            <w:tcW w:type="dxa" w:w="1200"/>
            <w:tcBorders>
              <w:top w:val="single" w:color="BFBFBF" w:sz="1"/>
              <w:left w:val="single" w:color="BFBFBF" w:sz="1"/>
              <w:bottom w:val="single" w:color="BFBFBF" w:sz="1"/>
              <w:right w:val="single" w:color="BFBFBF" w:sz="1"/>
            </w:tcBorders>
            <w:tcMar>
              <w:top w:type="dxa" w:w="100"/>
              <w:left w:type="dxa" w:w="120"/>
              <w:bottom w:type="dxa" w:w="100"/>
              <w:right w:type="dxa" w:w="120"/>
            </w:tcMar>
          </w:tcPr>
          <w:p>
            <w:pPr>
              <w:spacing w:after="40"/>
            </w:pPr>
            <w:r>
              <w:rPr>
                <w:rFonts w:ascii="Arial" w:cs="Arial" w:eastAsia="Arial" w:hAnsi="Arial"/>
                <w:color w:val="1F1F1F"/>
                <w:sz w:val="20"/>
                <w:szCs w:val="20"/>
              </w:rPr>
              <w:t xml:space="preserve">2025</w:t>
            </w:r>
          </w:p>
        </w:tc>
        <w:tc>
          <w:tcPr>
            <w:tcW w:type="dxa" w:w="5800"/>
            <w:tcBorders>
              <w:top w:val="single" w:color="BFBFBF" w:sz="1"/>
              <w:left w:val="single" w:color="BFBFBF" w:sz="1"/>
              <w:bottom w:val="single" w:color="BFBFBF" w:sz="1"/>
              <w:right w:val="single" w:color="BFBFBF" w:sz="1"/>
            </w:tcBorders>
            <w:tcMar>
              <w:top w:type="dxa" w:w="100"/>
              <w:left w:type="dxa" w:w="120"/>
              <w:bottom w:type="dxa" w:w="100"/>
              <w:right w:type="dxa" w:w="120"/>
            </w:tcMar>
          </w:tcPr>
          <w:p>
            <w:pPr>
              <w:spacing w:after="40"/>
            </w:pPr>
            <w:r>
              <w:rPr>
                <w:rFonts w:ascii="Arial" w:cs="Arial" w:eastAsia="Arial" w:hAnsi="Arial"/>
                <w:color w:val="1F1F1F"/>
                <w:sz w:val="20"/>
                <w:szCs w:val="20"/>
              </w:rPr>
              <w:t xml:space="preserve">Skills changing 66% faster YoY in AI-exposed roles; 56% wage premium</w:t>
            </w:r>
          </w:p>
        </w:tc>
      </w:tr>
      <w:tr>
        <w:tc>
          <w:tcPr>
            <w:tcW w:type="dxa" w:w="3000"/>
            <w:tcBorders>
              <w:top w:val="single" w:color="BFBFBF" w:sz="1"/>
              <w:left w:val="single" w:color="BFBFBF" w:sz="1"/>
              <w:bottom w:val="single" w:color="BFBFBF" w:sz="1"/>
              <w:right w:val="single" w:color="BFBFBF" w:sz="1"/>
            </w:tcBorders>
            <w:tcMar>
              <w:top w:type="dxa" w:w="100"/>
              <w:left w:type="dxa" w:w="120"/>
              <w:bottom w:type="dxa" w:w="100"/>
              <w:right w:type="dxa" w:w="120"/>
            </w:tcMar>
          </w:tcPr>
          <w:p>
            <w:pPr>
              <w:spacing w:after="40"/>
            </w:pPr>
            <w:r>
              <w:rPr>
                <w:rFonts w:ascii="Arial" w:cs="Arial" w:eastAsia="Arial" w:hAnsi="Arial"/>
                <w:color w:val="1F1F1F"/>
                <w:sz w:val="20"/>
                <w:szCs w:val="20"/>
              </w:rPr>
              <w:t xml:space="preserve">LinkedIn Workforce data</w:t>
            </w:r>
          </w:p>
        </w:tc>
        <w:tc>
          <w:tcPr>
            <w:tcW w:type="dxa" w:w="1200"/>
            <w:tcBorders>
              <w:top w:val="single" w:color="BFBFBF" w:sz="1"/>
              <w:left w:val="single" w:color="BFBFBF" w:sz="1"/>
              <w:bottom w:val="single" w:color="BFBFBF" w:sz="1"/>
              <w:right w:val="single" w:color="BFBFBF" w:sz="1"/>
            </w:tcBorders>
            <w:tcMar>
              <w:top w:type="dxa" w:w="100"/>
              <w:left w:type="dxa" w:w="120"/>
              <w:bottom w:type="dxa" w:w="100"/>
              <w:right w:type="dxa" w:w="120"/>
            </w:tcMar>
          </w:tcPr>
          <w:p>
            <w:pPr>
              <w:spacing w:after="40"/>
            </w:pPr>
            <w:r>
              <w:rPr>
                <w:rFonts w:ascii="Arial" w:cs="Arial" w:eastAsia="Arial" w:hAnsi="Arial"/>
                <w:color w:val="1F1F1F"/>
                <w:sz w:val="20"/>
                <w:szCs w:val="20"/>
              </w:rPr>
              <w:t xml:space="preserve">2025-26</w:t>
            </w:r>
          </w:p>
        </w:tc>
        <w:tc>
          <w:tcPr>
            <w:tcW w:type="dxa" w:w="5800"/>
            <w:tcBorders>
              <w:top w:val="single" w:color="BFBFBF" w:sz="1"/>
              <w:left w:val="single" w:color="BFBFBF" w:sz="1"/>
              <w:bottom w:val="single" w:color="BFBFBF" w:sz="1"/>
              <w:right w:val="single" w:color="BFBFBF" w:sz="1"/>
            </w:tcBorders>
            <w:tcMar>
              <w:top w:type="dxa" w:w="100"/>
              <w:left w:type="dxa" w:w="120"/>
              <w:bottom w:type="dxa" w:w="100"/>
              <w:right w:type="dxa" w:w="120"/>
            </w:tcMar>
          </w:tcPr>
          <w:p>
            <w:pPr>
              <w:spacing w:after="40"/>
            </w:pPr>
            <w:r>
              <w:rPr>
                <w:rFonts w:ascii="Arial" w:cs="Arial" w:eastAsia="Arial" w:hAnsi="Arial"/>
                <w:color w:val="1F1F1F"/>
                <w:sz w:val="20"/>
                <w:szCs w:val="20"/>
              </w:rPr>
              <w:t xml:space="preserve">70% YoY growth in AI-literacy demand; 177% growth in AI-skilled members since 2023</w:t>
            </w:r>
          </w:p>
        </w:tc>
      </w:tr>
      <w:tr>
        <w:tc>
          <w:tcPr>
            <w:tcW w:type="dxa" w:w="3000"/>
            <w:tcBorders>
              <w:top w:val="single" w:color="BFBFBF" w:sz="1"/>
              <w:left w:val="single" w:color="BFBFBF" w:sz="1"/>
              <w:bottom w:val="single" w:color="BFBFBF" w:sz="1"/>
              <w:right w:val="single" w:color="BFBFBF" w:sz="1"/>
            </w:tcBorders>
            <w:tcMar>
              <w:top w:type="dxa" w:w="100"/>
              <w:left w:type="dxa" w:w="120"/>
              <w:bottom w:type="dxa" w:w="100"/>
              <w:right w:type="dxa" w:w="120"/>
            </w:tcMar>
          </w:tcPr>
          <w:p>
            <w:pPr>
              <w:spacing w:after="40"/>
            </w:pPr>
            <w:r>
              <w:rPr>
                <w:rFonts w:ascii="Arial" w:cs="Arial" w:eastAsia="Arial" w:hAnsi="Arial"/>
                <w:color w:val="1F1F1F"/>
                <w:sz w:val="20"/>
                <w:szCs w:val="20"/>
              </w:rPr>
              <w:t xml:space="preserve">WEF Future of Jobs</w:t>
            </w:r>
          </w:p>
        </w:tc>
        <w:tc>
          <w:tcPr>
            <w:tcW w:type="dxa" w:w="1200"/>
            <w:tcBorders>
              <w:top w:val="single" w:color="BFBFBF" w:sz="1"/>
              <w:left w:val="single" w:color="BFBFBF" w:sz="1"/>
              <w:bottom w:val="single" w:color="BFBFBF" w:sz="1"/>
              <w:right w:val="single" w:color="BFBFBF" w:sz="1"/>
            </w:tcBorders>
            <w:tcMar>
              <w:top w:type="dxa" w:w="100"/>
              <w:left w:type="dxa" w:w="120"/>
              <w:bottom w:type="dxa" w:w="100"/>
              <w:right w:type="dxa" w:w="120"/>
            </w:tcMar>
          </w:tcPr>
          <w:p>
            <w:pPr>
              <w:spacing w:after="40"/>
            </w:pPr>
            <w:r>
              <w:rPr>
                <w:rFonts w:ascii="Arial" w:cs="Arial" w:eastAsia="Arial" w:hAnsi="Arial"/>
                <w:color w:val="1F1F1F"/>
                <w:sz w:val="20"/>
                <w:szCs w:val="20"/>
              </w:rPr>
              <w:t xml:space="preserve">2025</w:t>
            </w:r>
          </w:p>
        </w:tc>
        <w:tc>
          <w:tcPr>
            <w:tcW w:type="dxa" w:w="5800"/>
            <w:tcBorders>
              <w:top w:val="single" w:color="BFBFBF" w:sz="1"/>
              <w:left w:val="single" w:color="BFBFBF" w:sz="1"/>
              <w:bottom w:val="single" w:color="BFBFBF" w:sz="1"/>
              <w:right w:val="single" w:color="BFBFBF" w:sz="1"/>
            </w:tcBorders>
            <w:tcMar>
              <w:top w:type="dxa" w:w="100"/>
              <w:left w:type="dxa" w:w="120"/>
              <w:bottom w:type="dxa" w:w="100"/>
              <w:right w:type="dxa" w:w="120"/>
            </w:tcMar>
          </w:tcPr>
          <w:p>
            <w:pPr>
              <w:spacing w:after="40"/>
            </w:pPr>
            <w:r>
              <w:rPr>
                <w:rFonts w:ascii="Arial" w:cs="Arial" w:eastAsia="Arial" w:hAnsi="Arial"/>
                <w:color w:val="1F1F1F"/>
                <w:sz w:val="20"/>
                <w:szCs w:val="20"/>
              </w:rPr>
              <w:t xml:space="preserve">86% of large employers expect AI transformation by 2030; 77% plan AI-specific upskilling</w:t>
            </w:r>
          </w:p>
        </w:tc>
      </w:tr>
      <w:tr>
        <w:tc>
          <w:tcPr>
            <w:tcW w:type="dxa" w:w="3000"/>
            <w:tcBorders>
              <w:top w:val="single" w:color="BFBFBF" w:sz="1"/>
              <w:left w:val="single" w:color="BFBFBF" w:sz="1"/>
              <w:bottom w:val="single" w:color="BFBFBF" w:sz="1"/>
              <w:right w:val="single" w:color="BFBFBF" w:sz="1"/>
            </w:tcBorders>
            <w:tcMar>
              <w:top w:type="dxa" w:w="100"/>
              <w:left w:type="dxa" w:w="120"/>
              <w:bottom w:type="dxa" w:w="100"/>
              <w:right w:type="dxa" w:w="120"/>
            </w:tcMar>
          </w:tcPr>
          <w:p>
            <w:pPr>
              <w:spacing w:after="40"/>
            </w:pPr>
            <w:r>
              <w:rPr>
                <w:rFonts w:ascii="Arial" w:cs="Arial" w:eastAsia="Arial" w:hAnsi="Arial"/>
                <w:color w:val="1F1F1F"/>
                <w:sz w:val="20"/>
                <w:szCs w:val="20"/>
              </w:rPr>
              <w:t xml:space="preserve">Cisco AI Workforce Consortium</w:t>
            </w:r>
          </w:p>
        </w:tc>
        <w:tc>
          <w:tcPr>
            <w:tcW w:type="dxa" w:w="1200"/>
            <w:tcBorders>
              <w:top w:val="single" w:color="BFBFBF" w:sz="1"/>
              <w:left w:val="single" w:color="BFBFBF" w:sz="1"/>
              <w:bottom w:val="single" w:color="BFBFBF" w:sz="1"/>
              <w:right w:val="single" w:color="BFBFBF" w:sz="1"/>
            </w:tcBorders>
            <w:tcMar>
              <w:top w:type="dxa" w:w="100"/>
              <w:left w:type="dxa" w:w="120"/>
              <w:bottom w:type="dxa" w:w="100"/>
              <w:right w:type="dxa" w:w="120"/>
            </w:tcMar>
          </w:tcPr>
          <w:p>
            <w:pPr>
              <w:spacing w:after="40"/>
            </w:pPr>
            <w:r>
              <w:rPr>
                <w:rFonts w:ascii="Arial" w:cs="Arial" w:eastAsia="Arial" w:hAnsi="Arial"/>
                <w:color w:val="1F1F1F"/>
                <w:sz w:val="20"/>
                <w:szCs w:val="20"/>
              </w:rPr>
              <w:t xml:space="preserve">2025</w:t>
            </w:r>
          </w:p>
        </w:tc>
        <w:tc>
          <w:tcPr>
            <w:tcW w:type="dxa" w:w="5800"/>
            <w:tcBorders>
              <w:top w:val="single" w:color="BFBFBF" w:sz="1"/>
              <w:left w:val="single" w:color="BFBFBF" w:sz="1"/>
              <w:bottom w:val="single" w:color="BFBFBF" w:sz="1"/>
              <w:right w:val="single" w:color="BFBFBF" w:sz="1"/>
            </w:tcBorders>
            <w:tcMar>
              <w:top w:type="dxa" w:w="100"/>
              <w:left w:type="dxa" w:w="120"/>
              <w:bottom w:type="dxa" w:w="100"/>
              <w:right w:type="dxa" w:w="120"/>
            </w:tcMar>
          </w:tcPr>
          <w:p>
            <w:pPr>
              <w:spacing w:after="40"/>
            </w:pPr>
            <w:r>
              <w:rPr>
                <w:rFonts w:ascii="Arial" w:cs="Arial" w:eastAsia="Arial" w:hAnsi="Arial"/>
                <w:color w:val="1F1F1F"/>
                <w:sz w:val="20"/>
                <w:szCs w:val="20"/>
              </w:rPr>
              <w:t xml:space="preserve">78% of G7 in-demand ICT roles require AI skills</w:t>
            </w:r>
          </w:p>
        </w:tc>
      </w:tr>
    </w:tbl>
    <w:p>
      <w:pPr>
        <w:spacing w:after="80"/>
      </w:pPr>
      <w:r>
        <w:t xml:space="preserve"/>
      </w:r>
    </w:p>
    <w:p>
      <w:pPr>
        <w:spacing w:after="160" w:line="300" w:lineRule="auto"/>
        <w:jc w:val="both"/>
      </w:pPr>
      <w:r>
        <w:rPr>
          <w:rFonts w:ascii="Arial" w:cs="Arial" w:eastAsia="Arial" w:hAnsi="Arial"/>
          <w:color w:val="1F1F1F"/>
          <w:sz w:val="22"/>
          <w:szCs w:val="22"/>
        </w:rPr>
        <w:t xml:space="preserve">These five sources converge on a single picture. AI integration into role specifications is now standard practice in G7 ICT, growing at double-digit rates per year, and treated by the major employers UNICC interacts with as the default rather than the exception. UN clients have access to this capability today through commercial procurement, from providers whose role specifications already reflect AI as the default. The strategic question for UNICC is whether the UN-system providers — UNICC included — will continue to be the credible default for UN organisations' IT services, or whether the gap between UN-system documentation and private-sector practice becomes large enough that UN clients increasingly source AI-augmented IT services from elsewhere. The pace at which that gap is opening is the subject of Sections 2 and 3.</w:t>
      </w:r>
    </w:p>
    <w:p>
      <w:pPr>
        <w:pStyle w:val="Heading1"/>
        <w:spacing w:after="200" w:before="320"/>
      </w:pPr>
      <w:r>
        <w:rPr>
          <w:rFonts w:ascii="Arial" w:cs="Arial" w:eastAsia="Arial" w:hAnsi="Arial"/>
          <w:b/>
          <w:bCs/>
          <w:color w:val="1F4E79"/>
          <w:sz w:val="30"/>
          <w:szCs w:val="30"/>
        </w:rPr>
        <w:t xml:space="preserve">2. UNICC PD Library at the AI-Core Bar</w:t>
      </w:r>
    </w:p>
    <w:p>
      <w:pPr>
        <w:pStyle w:val="Heading2"/>
        <w:spacing w:after="140" w:before="240"/>
      </w:pPr>
      <w:r>
        <w:rPr>
          <w:rFonts w:ascii="Arial" w:cs="Arial" w:eastAsia="Arial" w:hAnsi="Arial"/>
          <w:b/>
          <w:bCs/>
          <w:color w:val="1F4E79"/>
          <w:sz w:val="26"/>
          <w:szCs w:val="26"/>
        </w:rPr>
        <w:t xml:space="preserve">2.1 Aggregate findings</w:t>
      </w:r>
    </w:p>
    <w:p>
      <w:pPr>
        <w:spacing w:after="160" w:line="300" w:lineRule="auto"/>
        <w:jc w:val="both"/>
      </w:pPr>
      <w:r>
        <w:rPr>
          <w:rFonts w:ascii="Arial" w:cs="Arial" w:eastAsia="Arial" w:hAnsi="Arial"/>
          <w:color w:val="1F1F1F"/>
          <w:sz w:val="22"/>
          <w:szCs w:val="22"/>
        </w:rPr>
        <w:t xml:space="preserve">The UNICC PD analysis (April 2026) reviewed 567 unique PDs across the full library — 373 staff PDs, 82 consultant profiles, 112 procurement profiles. Detection used a strict-tier regex (artificial intelligence, machine learning, deep learning, neural network, NLP, large language model, generative AI, foundation model, computer vision, prompt engineering, named AI tools — ChatGPT, Claude, Gemini, GitHub Copilot, M365 Copilot) with explicit false-positive masking and contextual quality-control on every match.</w:t>
      </w:r>
    </w:p>
    <w:p>
      <w:pPr>
        <w:spacing w:after="160" w:line="300" w:lineRule="auto"/>
        <w:jc w:val="both"/>
      </w:pPr>
      <w:r>
        <w:rPr>
          <w:rFonts w:ascii="Arial" w:cs="Arial" w:eastAsia="Arial" w:hAnsi="Arial"/>
          <w:color w:val="1F1F1F"/>
          <w:sz w:val="22"/>
          <w:szCs w:val="22"/>
        </w:rPr>
        <w:t xml:space="preserve">Of 33 raw regex matches, 9 PDs (1.6% of the full corpus) were classified AI-Core after contextual QC, 13 were AI-Adjacent (substantive but not primary-function references), and 11 were False-Match. The headline figure for direct comparison to UN peers is the staff-only AI-Core count: 7 of 373 staff PDs, or 1.9%. This reconciles cleanly with the original parent paper finding of 11 of 371 (3.0%) — both numbers are valid; the 1.9% is the stricter cut.</w:t>
      </w:r>
    </w:p>
    <w:p>
      <w:pPr>
        <w:pStyle w:val="Heading2"/>
        <w:spacing w:after="140" w:before="240"/>
      </w:pPr>
      <w:r>
        <w:rPr>
          <w:rFonts w:ascii="Arial" w:cs="Arial" w:eastAsia="Arial" w:hAnsi="Arial"/>
          <w:b/>
          <w:bCs/>
          <w:color w:val="1F4E79"/>
          <w:sz w:val="26"/>
          <w:szCs w:val="26"/>
        </w:rPr>
        <w:t xml:space="preserve">2.2 Where the AI-Core PDs are</w:t>
      </w:r>
    </w:p>
    <w:p>
      <w:pPr>
        <w:spacing w:after="160" w:line="300" w:lineRule="auto"/>
        <w:jc w:val="both"/>
      </w:pPr>
      <w:r>
        <w:rPr>
          <w:rFonts w:ascii="Arial" w:cs="Arial" w:eastAsia="Arial" w:hAnsi="Arial"/>
          <w:color w:val="1F1F1F"/>
          <w:sz w:val="22"/>
          <w:szCs w:val="22"/>
        </w:rPr>
        <w:t xml:space="preserve">Of nine AI-Core PDs across the full library, six are concentrated in two specific places: the AI/ML Unit (3 of 19 PDs in Quality/Training, 16%) and data-science specialist roles in Development (4 of 110 PDs, 4%). Other AI-Core PDs are the Chief of AI Hub and an IT Officer (Data Science) role. UNICC has built a small dedicated AI Unit and appointed AI-titled specialists. AI references have not propagated out of these specialist roles into the broader operating model.</w:t>
      </w:r>
    </w:p>
    <w:p>
      <w:pPr>
        <w:pStyle w:val="Heading2"/>
        <w:spacing w:after="140" w:before="240"/>
      </w:pPr>
      <w:r>
        <w:rPr>
          <w:rFonts w:ascii="Arial" w:cs="Arial" w:eastAsia="Arial" w:hAnsi="Arial"/>
          <w:b/>
          <w:bCs/>
          <w:color w:val="1F4E79"/>
          <w:sz w:val="26"/>
          <w:szCs w:val="26"/>
        </w:rPr>
        <w:t xml:space="preserve">2.3 Where the AI-Core PDs aren't</w:t>
      </w:r>
    </w:p>
    <w:p>
      <w:pPr>
        <w:spacing w:after="160" w:line="300" w:lineRule="auto"/>
        <w:jc w:val="both"/>
      </w:pPr>
      <w:r>
        <w:rPr>
          <w:rFonts w:ascii="Arial" w:cs="Arial" w:eastAsia="Arial" w:hAnsi="Arial"/>
          <w:color w:val="1F1F1F"/>
          <w:sz w:val="22"/>
          <w:szCs w:val="22"/>
        </w:rPr>
        <w:t xml:space="preserve">The function-level breakdown is the most strategically consequential finding in the analysis. Figure 1 shows the AI-Core distribution across the largest functional areas of the UNICC PD library.</w:t>
      </w:r>
    </w:p>
    <w:p>
      <w:pPr>
        <w:spacing w:after="100" w:before="200"/>
        <w:jc w:val="center"/>
      </w:pPr>
      <w:r>
        <w:drawing>
          <wp:inline distT="0" distB="0" distL="0" distR="0">
            <wp:extent cx="5715000" cy="2419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419350"/>
                    </a:xfrm>
                    <a:prstGeom prst="rect">
                      <a:avLst/>
                    </a:prstGeom>
                  </pic:spPr>
                </pic:pic>
              </a:graphicData>
            </a:graphic>
          </wp:inline>
        </w:drawing>
      </w:r>
    </w:p>
    <w:p>
      <w:pPr>
        <w:spacing w:after="240" w:before="0"/>
        <w:jc w:val="center"/>
      </w:pPr>
      <w:r>
        <w:rPr>
          <w:rFonts w:ascii="Arial" w:cs="Arial" w:eastAsia="Arial" w:hAnsi="Arial"/>
          <w:i/>
          <w:iCs/>
          <w:color w:val="595959"/>
          <w:sz w:val="18"/>
          <w:szCs w:val="18"/>
        </w:rPr>
        <w:t xml:space="preserve">Figure 1: UNICC PD library by functional area, AI-Core distribution. Cybersecurity, Digital Workplace, Enterprise Apps, Network, and Project Management — collectively 213 PDs (38% of the library) — contain zero AI-Core specifications.</w:t>
      </w:r>
    </w:p>
    <w:p>
      <w:pPr>
        <w:spacing w:after="80"/>
      </w:pPr>
      <w:r>
        <w:t xml:space="preserve"/>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1100"/>
        <w:gridCol w:w="1100"/>
        <w:gridCol w:w="4400"/>
      </w:tblGrid>
      <w:tr>
        <w:trPr>
          <w:tblHeader/>
        </w:trPr>
        <w:tc>
          <w:tcPr>
            <w:tcW w:type="dxa" w:w="2400"/>
            <w:tcBorders>
              <w:top w:val="single" w:color="BFBFBF" w:sz="1"/>
              <w:left w:val="single" w:color="BFBFBF" w:sz="1"/>
              <w:bottom w:val="single" w:color="BFBFBF" w:sz="1"/>
              <w:right w:val="single" w:color="BFBFBF" w:sz="1"/>
            </w:tcBorders>
            <w:shd w:fill="D5E8F0" w:color="auto" w:val="clear"/>
            <w:tcMar>
              <w:top w:type="dxa" w:w="100"/>
              <w:left w:type="dxa" w:w="120"/>
              <w:bottom w:type="dxa" w:w="100"/>
              <w:right w:type="dxa" w:w="120"/>
            </w:tcMar>
          </w:tcPr>
          <w:p>
            <w:pPr>
              <w:spacing w:after="0"/>
            </w:pPr>
            <w:r>
              <w:rPr>
                <w:rFonts w:ascii="Arial" w:cs="Arial" w:eastAsia="Arial" w:hAnsi="Arial"/>
                <w:b/>
                <w:bCs/>
                <w:color w:val="1F1F1F"/>
                <w:sz w:val="20"/>
                <w:szCs w:val="20"/>
              </w:rPr>
              <w:t xml:space="preserve">Function</w:t>
            </w:r>
          </w:p>
        </w:tc>
        <w:tc>
          <w:tcPr>
            <w:tcW w:type="dxa" w:w="1200"/>
            <w:tcBorders>
              <w:top w:val="single" w:color="BFBFBF" w:sz="1"/>
              <w:left w:val="single" w:color="BFBFBF" w:sz="1"/>
              <w:bottom w:val="single" w:color="BFBFBF" w:sz="1"/>
              <w:right w:val="single" w:color="BFBFBF" w:sz="1"/>
            </w:tcBorders>
            <w:shd w:fill="D5E8F0" w:color="auto" w:val="clear"/>
            <w:tcMar>
              <w:top w:type="dxa" w:w="100"/>
              <w:left w:type="dxa" w:w="120"/>
              <w:bottom w:type="dxa" w:w="100"/>
              <w:right w:type="dxa" w:w="120"/>
            </w:tcMar>
          </w:tcPr>
          <w:p>
            <w:pPr>
              <w:spacing w:after="0"/>
            </w:pPr>
            <w:r>
              <w:rPr>
                <w:rFonts w:ascii="Arial" w:cs="Arial" w:eastAsia="Arial" w:hAnsi="Arial"/>
                <w:b/>
                <w:bCs/>
                <w:color w:val="1F1F1F"/>
                <w:sz w:val="20"/>
                <w:szCs w:val="20"/>
              </w:rPr>
              <w:t xml:space="preserve">Total PDs</w:t>
            </w:r>
          </w:p>
        </w:tc>
        <w:tc>
          <w:tcPr>
            <w:tcW w:type="dxa" w:w="1100"/>
            <w:tcBorders>
              <w:top w:val="single" w:color="BFBFBF" w:sz="1"/>
              <w:left w:val="single" w:color="BFBFBF" w:sz="1"/>
              <w:bottom w:val="single" w:color="BFBFBF" w:sz="1"/>
              <w:right w:val="single" w:color="BFBFBF" w:sz="1"/>
            </w:tcBorders>
            <w:shd w:fill="D5E8F0" w:color="auto" w:val="clear"/>
            <w:tcMar>
              <w:top w:type="dxa" w:w="100"/>
              <w:left w:type="dxa" w:w="120"/>
              <w:bottom w:type="dxa" w:w="100"/>
              <w:right w:type="dxa" w:w="120"/>
            </w:tcMar>
          </w:tcPr>
          <w:p>
            <w:pPr>
              <w:spacing w:after="0"/>
            </w:pPr>
            <w:r>
              <w:rPr>
                <w:rFonts w:ascii="Arial" w:cs="Arial" w:eastAsia="Arial" w:hAnsi="Arial"/>
                <w:b/>
                <w:bCs/>
                <w:color w:val="1F1F1F"/>
                <w:sz w:val="20"/>
                <w:szCs w:val="20"/>
              </w:rPr>
              <w:t xml:space="preserve">AI-Core</w:t>
            </w:r>
          </w:p>
        </w:tc>
        <w:tc>
          <w:tcPr>
            <w:tcW w:type="dxa" w:w="1100"/>
            <w:tcBorders>
              <w:top w:val="single" w:color="BFBFBF" w:sz="1"/>
              <w:left w:val="single" w:color="BFBFBF" w:sz="1"/>
              <w:bottom w:val="single" w:color="BFBFBF" w:sz="1"/>
              <w:right w:val="single" w:color="BFBFBF" w:sz="1"/>
            </w:tcBorders>
            <w:shd w:fill="D5E8F0" w:color="auto" w:val="clear"/>
            <w:tcMar>
              <w:top w:type="dxa" w:w="100"/>
              <w:left w:type="dxa" w:w="120"/>
              <w:bottom w:type="dxa" w:w="100"/>
              <w:right w:type="dxa" w:w="120"/>
            </w:tcMar>
          </w:tcPr>
          <w:p>
            <w:pPr>
              <w:spacing w:after="0"/>
            </w:pPr>
            <w:r>
              <w:rPr>
                <w:rFonts w:ascii="Arial" w:cs="Arial" w:eastAsia="Arial" w:hAnsi="Arial"/>
                <w:b/>
                <w:bCs/>
                <w:color w:val="1F1F1F"/>
                <w:sz w:val="20"/>
                <w:szCs w:val="20"/>
              </w:rPr>
              <w:t xml:space="preserve">AI-Core %</w:t>
            </w:r>
          </w:p>
        </w:tc>
        <w:tc>
          <w:tcPr>
            <w:tcW w:type="dxa" w:w="4400"/>
            <w:tcBorders>
              <w:top w:val="single" w:color="BFBFBF" w:sz="1"/>
              <w:left w:val="single" w:color="BFBFBF" w:sz="1"/>
              <w:bottom w:val="single" w:color="BFBFBF" w:sz="1"/>
              <w:right w:val="single" w:color="BFBFBF" w:sz="1"/>
            </w:tcBorders>
            <w:shd w:fill="D5E8F0" w:color="auto" w:val="clear"/>
            <w:tcMar>
              <w:top w:type="dxa" w:w="100"/>
              <w:left w:type="dxa" w:w="120"/>
              <w:bottom w:type="dxa" w:w="100"/>
              <w:right w:type="dxa" w:w="120"/>
            </w:tcMar>
          </w:tcPr>
          <w:p>
            <w:pPr>
              <w:spacing w:after="0"/>
            </w:pPr>
            <w:r>
              <w:rPr>
                <w:rFonts w:ascii="Arial" w:cs="Arial" w:eastAsia="Arial" w:hAnsi="Arial"/>
                <w:b/>
                <w:bCs/>
                <w:color w:val="1F1F1F"/>
                <w:sz w:val="20"/>
                <w:szCs w:val="20"/>
              </w:rPr>
              <w:t xml:space="preserve">Note</w:t>
            </w:r>
          </w:p>
        </w:tc>
      </w:tr>
      <w:tr>
        <w:tc>
          <w:tcPr>
            <w:tcW w:type="dxa" w:w="2400"/>
            <w:tcBorders>
              <w:top w:val="single" w:color="BFBFBF" w:sz="1"/>
              <w:left w:val="single" w:color="BFBFBF" w:sz="1"/>
              <w:bottom w:val="single" w:color="BFBFBF" w:sz="1"/>
              <w:right w:val="single" w:color="BFBFBF" w:sz="1"/>
            </w:tcBorders>
            <w:tcMar>
              <w:top w:type="dxa" w:w="100"/>
              <w:left w:type="dxa" w:w="120"/>
              <w:bottom w:type="dxa" w:w="100"/>
              <w:right w:type="dxa" w:w="120"/>
            </w:tcMar>
          </w:tcPr>
          <w:p>
            <w:pPr>
              <w:spacing w:after="40"/>
            </w:pPr>
            <w:r>
              <w:rPr>
                <w:rFonts w:ascii="Arial" w:cs="Arial" w:eastAsia="Arial" w:hAnsi="Arial"/>
                <w:color w:val="1F1F1F"/>
                <w:sz w:val="20"/>
                <w:szCs w:val="20"/>
              </w:rPr>
              <w:t xml:space="preserve">Development</w:t>
            </w:r>
          </w:p>
        </w:tc>
        <w:tc>
          <w:tcPr>
            <w:tcW w:type="dxa" w:w="1200"/>
            <w:tcBorders>
              <w:top w:val="single" w:color="BFBFBF" w:sz="1"/>
              <w:left w:val="single" w:color="BFBFBF" w:sz="1"/>
              <w:bottom w:val="single" w:color="BFBFBF" w:sz="1"/>
              <w:right w:val="single" w:color="BFBFBF" w:sz="1"/>
            </w:tcBorders>
            <w:tcMar>
              <w:top w:type="dxa" w:w="100"/>
              <w:left w:type="dxa" w:w="120"/>
              <w:bottom w:type="dxa" w:w="100"/>
              <w:right w:type="dxa" w:w="120"/>
            </w:tcMar>
          </w:tcPr>
          <w:p>
            <w:pPr>
              <w:spacing w:after="40"/>
            </w:pPr>
            <w:r>
              <w:rPr>
                <w:rFonts w:ascii="Arial" w:cs="Arial" w:eastAsia="Arial" w:hAnsi="Arial"/>
                <w:color w:val="1F1F1F"/>
                <w:sz w:val="20"/>
                <w:szCs w:val="20"/>
              </w:rPr>
              <w:t xml:space="preserve">110</w:t>
            </w:r>
          </w:p>
        </w:tc>
        <w:tc>
          <w:tcPr>
            <w:tcW w:type="dxa" w:w="1100"/>
            <w:tcBorders>
              <w:top w:val="single" w:color="BFBFBF" w:sz="1"/>
              <w:left w:val="single" w:color="BFBFBF" w:sz="1"/>
              <w:bottom w:val="single" w:color="BFBFBF" w:sz="1"/>
              <w:right w:val="single" w:color="BFBFBF" w:sz="1"/>
            </w:tcBorders>
            <w:tcMar>
              <w:top w:type="dxa" w:w="100"/>
              <w:left w:type="dxa" w:w="120"/>
              <w:bottom w:type="dxa" w:w="100"/>
              <w:right w:type="dxa" w:w="120"/>
            </w:tcMar>
          </w:tcPr>
          <w:p>
            <w:pPr>
              <w:spacing w:after="40"/>
            </w:pPr>
            <w:r>
              <w:rPr>
                <w:rFonts w:ascii="Arial" w:cs="Arial" w:eastAsia="Arial" w:hAnsi="Arial"/>
                <w:color w:val="1F1F1F"/>
                <w:sz w:val="20"/>
                <w:szCs w:val="20"/>
              </w:rPr>
              <w:t xml:space="preserve">4</w:t>
            </w:r>
          </w:p>
        </w:tc>
        <w:tc>
          <w:tcPr>
            <w:tcW w:type="dxa" w:w="1100"/>
            <w:tcBorders>
              <w:top w:val="single" w:color="BFBFBF" w:sz="1"/>
              <w:left w:val="single" w:color="BFBFBF" w:sz="1"/>
              <w:bottom w:val="single" w:color="BFBFBF" w:sz="1"/>
              <w:right w:val="single" w:color="BFBFBF" w:sz="1"/>
            </w:tcBorders>
            <w:tcMar>
              <w:top w:type="dxa" w:w="100"/>
              <w:left w:type="dxa" w:w="120"/>
              <w:bottom w:type="dxa" w:w="100"/>
              <w:right w:type="dxa" w:w="120"/>
            </w:tcMar>
          </w:tcPr>
          <w:p>
            <w:pPr>
              <w:spacing w:after="40"/>
            </w:pPr>
            <w:r>
              <w:rPr>
                <w:rFonts w:ascii="Arial" w:cs="Arial" w:eastAsia="Arial" w:hAnsi="Arial"/>
                <w:color w:val="1F1F1F"/>
                <w:sz w:val="20"/>
                <w:szCs w:val="20"/>
              </w:rPr>
              <w:t xml:space="preserve">3.6%</w:t>
            </w:r>
          </w:p>
        </w:tc>
        <w:tc>
          <w:tcPr>
            <w:tcW w:type="dxa" w:w="4400"/>
            <w:tcBorders>
              <w:top w:val="single" w:color="BFBFBF" w:sz="1"/>
              <w:left w:val="single" w:color="BFBFBF" w:sz="1"/>
              <w:bottom w:val="single" w:color="BFBFBF" w:sz="1"/>
              <w:right w:val="single" w:color="BFBFBF" w:sz="1"/>
            </w:tcBorders>
            <w:tcMar>
              <w:top w:type="dxa" w:w="100"/>
              <w:left w:type="dxa" w:w="120"/>
              <w:bottom w:type="dxa" w:w="100"/>
              <w:right w:type="dxa" w:w="120"/>
            </w:tcMar>
          </w:tcPr>
          <w:p>
            <w:pPr>
              <w:spacing w:after="40"/>
            </w:pPr>
            <w:r>
              <w:rPr>
                <w:rFonts w:ascii="Arial" w:cs="Arial" w:eastAsia="Arial" w:hAnsi="Arial"/>
                <w:color w:val="1F1F1F"/>
                <w:sz w:val="20"/>
                <w:szCs w:val="20"/>
              </w:rPr>
              <w:t xml:space="preserve">Includes 3 AI/ML Unit data-science roles</w:t>
            </w:r>
          </w:p>
        </w:tc>
      </w:tr>
      <w:tr>
        <w:tc>
          <w:tcPr>
            <w:tcW w:type="dxa" w:w="2400"/>
            <w:tcBorders>
              <w:top w:val="single" w:color="BFBFBF" w:sz="1"/>
              <w:left w:val="single" w:color="BFBFBF" w:sz="1"/>
              <w:bottom w:val="single" w:color="BFBFBF" w:sz="1"/>
              <w:right w:val="single" w:color="BFBFBF" w:sz="1"/>
            </w:tcBorders>
            <w:shd w:fill="FCE4E4" w:color="auto" w:val="clear"/>
            <w:tcMar>
              <w:top w:type="dxa" w:w="100"/>
              <w:left w:type="dxa" w:w="120"/>
              <w:bottom w:type="dxa" w:w="100"/>
              <w:right w:type="dxa" w:w="120"/>
            </w:tcMar>
          </w:tcPr>
          <w:p>
            <w:pPr>
              <w:spacing w:after="40"/>
            </w:pPr>
            <w:r>
              <w:rPr>
                <w:rFonts w:ascii="Arial" w:cs="Arial" w:eastAsia="Arial" w:hAnsi="Arial"/>
                <w:color w:val="1F1F1F"/>
                <w:sz w:val="20"/>
                <w:szCs w:val="20"/>
              </w:rPr>
              <w:t xml:space="preserve">Cybersecurity</w:t>
            </w:r>
          </w:p>
        </w:tc>
        <w:tc>
          <w:tcPr>
            <w:tcW w:type="dxa" w:w="1200"/>
            <w:tcBorders>
              <w:top w:val="single" w:color="BFBFBF" w:sz="1"/>
              <w:left w:val="single" w:color="BFBFBF" w:sz="1"/>
              <w:bottom w:val="single" w:color="BFBFBF" w:sz="1"/>
              <w:right w:val="single" w:color="BFBFBF" w:sz="1"/>
            </w:tcBorders>
            <w:shd w:fill="FCE4E4" w:color="auto" w:val="clear"/>
            <w:tcMar>
              <w:top w:type="dxa" w:w="100"/>
              <w:left w:type="dxa" w:w="120"/>
              <w:bottom w:type="dxa" w:w="100"/>
              <w:right w:type="dxa" w:w="120"/>
            </w:tcMar>
          </w:tcPr>
          <w:p>
            <w:pPr>
              <w:spacing w:after="40"/>
            </w:pPr>
            <w:r>
              <w:rPr>
                <w:rFonts w:ascii="Arial" w:cs="Arial" w:eastAsia="Arial" w:hAnsi="Arial"/>
                <w:color w:val="1F1F1F"/>
                <w:sz w:val="20"/>
                <w:szCs w:val="20"/>
              </w:rPr>
              <w:t xml:space="preserve">97</w:t>
            </w:r>
          </w:p>
        </w:tc>
        <w:tc>
          <w:tcPr>
            <w:tcW w:type="dxa" w:w="1100"/>
            <w:tcBorders>
              <w:top w:val="single" w:color="BFBFBF" w:sz="1"/>
              <w:left w:val="single" w:color="BFBFBF" w:sz="1"/>
              <w:bottom w:val="single" w:color="BFBFBF" w:sz="1"/>
              <w:right w:val="single" w:color="BFBFBF" w:sz="1"/>
            </w:tcBorders>
            <w:shd w:fill="FCE4E4" w:color="auto" w:val="clear"/>
            <w:tcMar>
              <w:top w:type="dxa" w:w="100"/>
              <w:left w:type="dxa" w:w="120"/>
              <w:bottom w:type="dxa" w:w="100"/>
              <w:right w:type="dxa" w:w="120"/>
            </w:tcMar>
          </w:tcPr>
          <w:p>
            <w:pPr>
              <w:spacing w:after="40"/>
            </w:pPr>
            <w:r>
              <w:rPr>
                <w:rFonts w:ascii="Arial" w:cs="Arial" w:eastAsia="Arial" w:hAnsi="Arial"/>
                <w:color w:val="1F1F1F"/>
                <w:sz w:val="20"/>
                <w:szCs w:val="20"/>
              </w:rPr>
              <w:t xml:space="preserve">0</w:t>
            </w:r>
          </w:p>
        </w:tc>
        <w:tc>
          <w:tcPr>
            <w:tcW w:type="dxa" w:w="1100"/>
            <w:tcBorders>
              <w:top w:val="single" w:color="BFBFBF" w:sz="1"/>
              <w:left w:val="single" w:color="BFBFBF" w:sz="1"/>
              <w:bottom w:val="single" w:color="BFBFBF" w:sz="1"/>
              <w:right w:val="single" w:color="BFBFBF" w:sz="1"/>
            </w:tcBorders>
            <w:shd w:fill="FCE4E4" w:color="auto" w:val="clear"/>
            <w:tcMar>
              <w:top w:type="dxa" w:w="100"/>
              <w:left w:type="dxa" w:w="120"/>
              <w:bottom w:type="dxa" w:w="100"/>
              <w:right w:type="dxa" w:w="120"/>
            </w:tcMar>
          </w:tcPr>
          <w:p>
            <w:pPr>
              <w:spacing w:after="40"/>
            </w:pPr>
            <w:r>
              <w:rPr>
                <w:rFonts w:ascii="Arial" w:cs="Arial" w:eastAsia="Arial" w:hAnsi="Arial"/>
                <w:color w:val="1F1F1F"/>
                <w:sz w:val="20"/>
                <w:szCs w:val="20"/>
              </w:rPr>
              <w:t xml:space="preserve">0.0%</w:t>
            </w:r>
          </w:p>
        </w:tc>
        <w:tc>
          <w:tcPr>
            <w:tcW w:type="dxa" w:w="4400"/>
            <w:tcBorders>
              <w:top w:val="single" w:color="BFBFBF" w:sz="1"/>
              <w:left w:val="single" w:color="BFBFBF" w:sz="1"/>
              <w:bottom w:val="single" w:color="BFBFBF" w:sz="1"/>
              <w:right w:val="single" w:color="BFBFBF" w:sz="1"/>
            </w:tcBorders>
            <w:shd w:fill="FCE4E4" w:color="auto" w:val="clear"/>
            <w:tcMar>
              <w:top w:type="dxa" w:w="100"/>
              <w:left w:type="dxa" w:w="120"/>
              <w:bottom w:type="dxa" w:w="100"/>
              <w:right w:type="dxa" w:w="120"/>
            </w:tcMar>
          </w:tcPr>
          <w:p>
            <w:pPr>
              <w:spacing w:after="40"/>
            </w:pPr>
            <w:r>
              <w:rPr>
                <w:rFonts w:ascii="Arial" w:cs="Arial" w:eastAsia="Arial" w:hAnsi="Arial"/>
                <w:color w:val="1F1F1F"/>
                <w:sz w:val="20"/>
                <w:szCs w:val="20"/>
              </w:rPr>
              <w:t xml:space="preserve">Zero AI-Core in UNICC's largest function</w:t>
            </w:r>
          </w:p>
        </w:tc>
      </w:tr>
      <w:tr>
        <w:tc>
          <w:tcPr>
            <w:tcW w:type="dxa" w:w="2400"/>
            <w:tcBorders>
              <w:top w:val="single" w:color="BFBFBF" w:sz="1"/>
              <w:left w:val="single" w:color="BFBFBF" w:sz="1"/>
              <w:bottom w:val="single" w:color="BFBFBF" w:sz="1"/>
              <w:right w:val="single" w:color="BFBFBF" w:sz="1"/>
            </w:tcBorders>
            <w:tcMar>
              <w:top w:type="dxa" w:w="100"/>
              <w:left w:type="dxa" w:w="120"/>
              <w:bottom w:type="dxa" w:w="100"/>
              <w:right w:type="dxa" w:w="120"/>
            </w:tcMar>
          </w:tcPr>
          <w:p>
            <w:pPr>
              <w:spacing w:after="40"/>
            </w:pPr>
            <w:r>
              <w:rPr>
                <w:rFonts w:ascii="Arial" w:cs="Arial" w:eastAsia="Arial" w:hAnsi="Arial"/>
                <w:color w:val="1F1F1F"/>
                <w:sz w:val="20"/>
                <w:szCs w:val="20"/>
              </w:rPr>
              <w:t xml:space="preserve">Management/Leadership</w:t>
            </w:r>
          </w:p>
        </w:tc>
        <w:tc>
          <w:tcPr>
            <w:tcW w:type="dxa" w:w="1200"/>
            <w:tcBorders>
              <w:top w:val="single" w:color="BFBFBF" w:sz="1"/>
              <w:left w:val="single" w:color="BFBFBF" w:sz="1"/>
              <w:bottom w:val="single" w:color="BFBFBF" w:sz="1"/>
              <w:right w:val="single" w:color="BFBFBF" w:sz="1"/>
            </w:tcBorders>
            <w:tcMar>
              <w:top w:type="dxa" w:w="100"/>
              <w:left w:type="dxa" w:w="120"/>
              <w:bottom w:type="dxa" w:w="100"/>
              <w:right w:type="dxa" w:w="120"/>
            </w:tcMar>
          </w:tcPr>
          <w:p>
            <w:pPr>
              <w:spacing w:after="40"/>
            </w:pPr>
            <w:r>
              <w:rPr>
                <w:rFonts w:ascii="Arial" w:cs="Arial" w:eastAsia="Arial" w:hAnsi="Arial"/>
                <w:color w:val="1F1F1F"/>
                <w:sz w:val="20"/>
                <w:szCs w:val="20"/>
              </w:rPr>
              <w:t xml:space="preserve">35</w:t>
            </w:r>
          </w:p>
        </w:tc>
        <w:tc>
          <w:tcPr>
            <w:tcW w:type="dxa" w:w="1100"/>
            <w:tcBorders>
              <w:top w:val="single" w:color="BFBFBF" w:sz="1"/>
              <w:left w:val="single" w:color="BFBFBF" w:sz="1"/>
              <w:bottom w:val="single" w:color="BFBFBF" w:sz="1"/>
              <w:right w:val="single" w:color="BFBFBF" w:sz="1"/>
            </w:tcBorders>
            <w:tcMar>
              <w:top w:type="dxa" w:w="100"/>
              <w:left w:type="dxa" w:w="120"/>
              <w:bottom w:type="dxa" w:w="100"/>
              <w:right w:type="dxa" w:w="120"/>
            </w:tcMar>
          </w:tcPr>
          <w:p>
            <w:pPr>
              <w:spacing w:after="40"/>
            </w:pPr>
            <w:r>
              <w:rPr>
                <w:rFonts w:ascii="Arial" w:cs="Arial" w:eastAsia="Arial" w:hAnsi="Arial"/>
                <w:color w:val="1F1F1F"/>
                <w:sz w:val="20"/>
                <w:szCs w:val="20"/>
              </w:rPr>
              <w:t xml:space="preserve">1</w:t>
            </w:r>
          </w:p>
        </w:tc>
        <w:tc>
          <w:tcPr>
            <w:tcW w:type="dxa" w:w="1100"/>
            <w:tcBorders>
              <w:top w:val="single" w:color="BFBFBF" w:sz="1"/>
              <w:left w:val="single" w:color="BFBFBF" w:sz="1"/>
              <w:bottom w:val="single" w:color="BFBFBF" w:sz="1"/>
              <w:right w:val="single" w:color="BFBFBF" w:sz="1"/>
            </w:tcBorders>
            <w:tcMar>
              <w:top w:type="dxa" w:w="100"/>
              <w:left w:type="dxa" w:w="120"/>
              <w:bottom w:type="dxa" w:w="100"/>
              <w:right w:type="dxa" w:w="120"/>
            </w:tcMar>
          </w:tcPr>
          <w:p>
            <w:pPr>
              <w:spacing w:after="40"/>
            </w:pPr>
            <w:r>
              <w:rPr>
                <w:rFonts w:ascii="Arial" w:cs="Arial" w:eastAsia="Arial" w:hAnsi="Arial"/>
                <w:color w:val="1F1F1F"/>
                <w:sz w:val="20"/>
                <w:szCs w:val="20"/>
              </w:rPr>
              <w:t xml:space="preserve">2.9%</w:t>
            </w:r>
          </w:p>
        </w:tc>
        <w:tc>
          <w:tcPr>
            <w:tcW w:type="dxa" w:w="4400"/>
            <w:tcBorders>
              <w:top w:val="single" w:color="BFBFBF" w:sz="1"/>
              <w:left w:val="single" w:color="BFBFBF" w:sz="1"/>
              <w:bottom w:val="single" w:color="BFBFBF" w:sz="1"/>
              <w:right w:val="single" w:color="BFBFBF" w:sz="1"/>
            </w:tcBorders>
            <w:tcMar>
              <w:top w:type="dxa" w:w="100"/>
              <w:left w:type="dxa" w:w="120"/>
              <w:bottom w:type="dxa" w:w="100"/>
              <w:right w:type="dxa" w:w="120"/>
            </w:tcMar>
          </w:tcPr>
          <w:p>
            <w:pPr>
              <w:spacing w:after="40"/>
            </w:pPr>
            <w:r>
              <w:rPr>
                <w:rFonts w:ascii="Arial" w:cs="Arial" w:eastAsia="Arial" w:hAnsi="Arial"/>
                <w:color w:val="1F1F1F"/>
                <w:sz w:val="20"/>
                <w:szCs w:val="20"/>
              </w:rPr>
              <w:t xml:space="preserve">Chief, AI Hub</w:t>
            </w:r>
          </w:p>
        </w:tc>
      </w:tr>
      <w:tr>
        <w:tc>
          <w:tcPr>
            <w:tcW w:type="dxa" w:w="2400"/>
            <w:tcBorders>
              <w:top w:val="single" w:color="BFBFBF" w:sz="1"/>
              <w:left w:val="single" w:color="BFBFBF" w:sz="1"/>
              <w:bottom w:val="single" w:color="BFBFBF" w:sz="1"/>
              <w:right w:val="single" w:color="BFBFBF" w:sz="1"/>
            </w:tcBorders>
            <w:shd w:fill="FCE4E4" w:color="auto" w:val="clear"/>
            <w:tcMar>
              <w:top w:type="dxa" w:w="100"/>
              <w:left w:type="dxa" w:w="120"/>
              <w:bottom w:type="dxa" w:w="100"/>
              <w:right w:type="dxa" w:w="120"/>
            </w:tcMar>
          </w:tcPr>
          <w:p>
            <w:pPr>
              <w:spacing w:after="40"/>
            </w:pPr>
            <w:r>
              <w:rPr>
                <w:rFonts w:ascii="Arial" w:cs="Arial" w:eastAsia="Arial" w:hAnsi="Arial"/>
                <w:color w:val="1F1F1F"/>
                <w:sz w:val="20"/>
                <w:szCs w:val="20"/>
              </w:rPr>
              <w:t xml:space="preserve">Digital Workplace</w:t>
            </w:r>
          </w:p>
        </w:tc>
        <w:tc>
          <w:tcPr>
            <w:tcW w:type="dxa" w:w="1200"/>
            <w:tcBorders>
              <w:top w:val="single" w:color="BFBFBF" w:sz="1"/>
              <w:left w:val="single" w:color="BFBFBF" w:sz="1"/>
              <w:bottom w:val="single" w:color="BFBFBF" w:sz="1"/>
              <w:right w:val="single" w:color="BFBFBF" w:sz="1"/>
            </w:tcBorders>
            <w:shd w:fill="FCE4E4" w:color="auto" w:val="clear"/>
            <w:tcMar>
              <w:top w:type="dxa" w:w="100"/>
              <w:left w:type="dxa" w:w="120"/>
              <w:bottom w:type="dxa" w:w="100"/>
              <w:right w:type="dxa" w:w="120"/>
            </w:tcMar>
          </w:tcPr>
          <w:p>
            <w:pPr>
              <w:spacing w:after="40"/>
            </w:pPr>
            <w:r>
              <w:rPr>
                <w:rFonts w:ascii="Arial" w:cs="Arial" w:eastAsia="Arial" w:hAnsi="Arial"/>
                <w:color w:val="1F1F1F"/>
                <w:sz w:val="20"/>
                <w:szCs w:val="20"/>
              </w:rPr>
              <w:t xml:space="preserve">34</w:t>
            </w:r>
          </w:p>
        </w:tc>
        <w:tc>
          <w:tcPr>
            <w:tcW w:type="dxa" w:w="1100"/>
            <w:tcBorders>
              <w:top w:val="single" w:color="BFBFBF" w:sz="1"/>
              <w:left w:val="single" w:color="BFBFBF" w:sz="1"/>
              <w:bottom w:val="single" w:color="BFBFBF" w:sz="1"/>
              <w:right w:val="single" w:color="BFBFBF" w:sz="1"/>
            </w:tcBorders>
            <w:shd w:fill="FCE4E4" w:color="auto" w:val="clear"/>
            <w:tcMar>
              <w:top w:type="dxa" w:w="100"/>
              <w:left w:type="dxa" w:w="120"/>
              <w:bottom w:type="dxa" w:w="100"/>
              <w:right w:type="dxa" w:w="120"/>
            </w:tcMar>
          </w:tcPr>
          <w:p>
            <w:pPr>
              <w:spacing w:after="40"/>
            </w:pPr>
            <w:r>
              <w:rPr>
                <w:rFonts w:ascii="Arial" w:cs="Arial" w:eastAsia="Arial" w:hAnsi="Arial"/>
                <w:color w:val="1F1F1F"/>
                <w:sz w:val="20"/>
                <w:szCs w:val="20"/>
              </w:rPr>
              <w:t xml:space="preserve">0</w:t>
            </w:r>
          </w:p>
        </w:tc>
        <w:tc>
          <w:tcPr>
            <w:tcW w:type="dxa" w:w="1100"/>
            <w:tcBorders>
              <w:top w:val="single" w:color="BFBFBF" w:sz="1"/>
              <w:left w:val="single" w:color="BFBFBF" w:sz="1"/>
              <w:bottom w:val="single" w:color="BFBFBF" w:sz="1"/>
              <w:right w:val="single" w:color="BFBFBF" w:sz="1"/>
            </w:tcBorders>
            <w:shd w:fill="FCE4E4" w:color="auto" w:val="clear"/>
            <w:tcMar>
              <w:top w:type="dxa" w:w="100"/>
              <w:left w:type="dxa" w:w="120"/>
              <w:bottom w:type="dxa" w:w="100"/>
              <w:right w:type="dxa" w:w="120"/>
            </w:tcMar>
          </w:tcPr>
          <w:p>
            <w:pPr>
              <w:spacing w:after="40"/>
            </w:pPr>
            <w:r>
              <w:rPr>
                <w:rFonts w:ascii="Arial" w:cs="Arial" w:eastAsia="Arial" w:hAnsi="Arial"/>
                <w:color w:val="1F1F1F"/>
                <w:sz w:val="20"/>
                <w:szCs w:val="20"/>
              </w:rPr>
              <w:t xml:space="preserve">0.0%</w:t>
            </w:r>
          </w:p>
        </w:tc>
        <w:tc>
          <w:tcPr>
            <w:tcW w:type="dxa" w:w="4400"/>
            <w:tcBorders>
              <w:top w:val="single" w:color="BFBFBF" w:sz="1"/>
              <w:left w:val="single" w:color="BFBFBF" w:sz="1"/>
              <w:bottom w:val="single" w:color="BFBFBF" w:sz="1"/>
              <w:right w:val="single" w:color="BFBFBF" w:sz="1"/>
            </w:tcBorders>
            <w:shd w:fill="FCE4E4" w:color="auto" w:val="clear"/>
            <w:tcMar>
              <w:top w:type="dxa" w:w="100"/>
              <w:left w:type="dxa" w:w="120"/>
              <w:bottom w:type="dxa" w:w="100"/>
              <w:right w:type="dxa" w:w="120"/>
            </w:tcMar>
          </w:tcPr>
          <w:p>
            <w:pPr>
              <w:spacing w:after="40"/>
            </w:pPr>
            <w:r>
              <w:rPr>
                <w:rFonts w:ascii="Arial" w:cs="Arial" w:eastAsia="Arial" w:hAnsi="Arial"/>
                <w:color w:val="1F1F1F"/>
                <w:sz w:val="20"/>
                <w:szCs w:val="20"/>
              </w:rPr>
              <w:t xml:space="preserve">M365/Copilot landscape</w:t>
            </w:r>
          </w:p>
        </w:tc>
      </w:tr>
      <w:tr>
        <w:tc>
          <w:tcPr>
            <w:tcW w:type="dxa" w:w="2400"/>
            <w:tcBorders>
              <w:top w:val="single" w:color="BFBFBF" w:sz="1"/>
              <w:left w:val="single" w:color="BFBFBF" w:sz="1"/>
              <w:bottom w:val="single" w:color="BFBFBF" w:sz="1"/>
              <w:right w:val="single" w:color="BFBFBF" w:sz="1"/>
            </w:tcBorders>
            <w:shd w:fill="FCE4E4" w:color="auto" w:val="clear"/>
            <w:tcMar>
              <w:top w:type="dxa" w:w="100"/>
              <w:left w:type="dxa" w:w="120"/>
              <w:bottom w:type="dxa" w:w="100"/>
              <w:right w:type="dxa" w:w="120"/>
            </w:tcMar>
          </w:tcPr>
          <w:p>
            <w:pPr>
              <w:spacing w:after="40"/>
            </w:pPr>
            <w:r>
              <w:rPr>
                <w:rFonts w:ascii="Arial" w:cs="Arial" w:eastAsia="Arial" w:hAnsi="Arial"/>
                <w:color w:val="1F1F1F"/>
                <w:sz w:val="20"/>
                <w:szCs w:val="20"/>
              </w:rPr>
              <w:t xml:space="preserve">Enterprise Apps</w:t>
            </w:r>
          </w:p>
        </w:tc>
        <w:tc>
          <w:tcPr>
            <w:tcW w:type="dxa" w:w="1200"/>
            <w:tcBorders>
              <w:top w:val="single" w:color="BFBFBF" w:sz="1"/>
              <w:left w:val="single" w:color="BFBFBF" w:sz="1"/>
              <w:bottom w:val="single" w:color="BFBFBF" w:sz="1"/>
              <w:right w:val="single" w:color="BFBFBF" w:sz="1"/>
            </w:tcBorders>
            <w:shd w:fill="FCE4E4" w:color="auto" w:val="clear"/>
            <w:tcMar>
              <w:top w:type="dxa" w:w="100"/>
              <w:left w:type="dxa" w:w="120"/>
              <w:bottom w:type="dxa" w:w="100"/>
              <w:right w:type="dxa" w:w="120"/>
            </w:tcMar>
          </w:tcPr>
          <w:p>
            <w:pPr>
              <w:spacing w:after="40"/>
            </w:pPr>
            <w:r>
              <w:rPr>
                <w:rFonts w:ascii="Arial" w:cs="Arial" w:eastAsia="Arial" w:hAnsi="Arial"/>
                <w:color w:val="1F1F1F"/>
                <w:sz w:val="20"/>
                <w:szCs w:val="20"/>
              </w:rPr>
              <w:t xml:space="preserve">33</w:t>
            </w:r>
          </w:p>
        </w:tc>
        <w:tc>
          <w:tcPr>
            <w:tcW w:type="dxa" w:w="1100"/>
            <w:tcBorders>
              <w:top w:val="single" w:color="BFBFBF" w:sz="1"/>
              <w:left w:val="single" w:color="BFBFBF" w:sz="1"/>
              <w:bottom w:val="single" w:color="BFBFBF" w:sz="1"/>
              <w:right w:val="single" w:color="BFBFBF" w:sz="1"/>
            </w:tcBorders>
            <w:shd w:fill="FCE4E4" w:color="auto" w:val="clear"/>
            <w:tcMar>
              <w:top w:type="dxa" w:w="100"/>
              <w:left w:type="dxa" w:w="120"/>
              <w:bottom w:type="dxa" w:w="100"/>
              <w:right w:type="dxa" w:w="120"/>
            </w:tcMar>
          </w:tcPr>
          <w:p>
            <w:pPr>
              <w:spacing w:after="40"/>
            </w:pPr>
            <w:r>
              <w:rPr>
                <w:rFonts w:ascii="Arial" w:cs="Arial" w:eastAsia="Arial" w:hAnsi="Arial"/>
                <w:color w:val="1F1F1F"/>
                <w:sz w:val="20"/>
                <w:szCs w:val="20"/>
              </w:rPr>
              <w:t xml:space="preserve">0</w:t>
            </w:r>
          </w:p>
        </w:tc>
        <w:tc>
          <w:tcPr>
            <w:tcW w:type="dxa" w:w="1100"/>
            <w:tcBorders>
              <w:top w:val="single" w:color="BFBFBF" w:sz="1"/>
              <w:left w:val="single" w:color="BFBFBF" w:sz="1"/>
              <w:bottom w:val="single" w:color="BFBFBF" w:sz="1"/>
              <w:right w:val="single" w:color="BFBFBF" w:sz="1"/>
            </w:tcBorders>
            <w:shd w:fill="FCE4E4" w:color="auto" w:val="clear"/>
            <w:tcMar>
              <w:top w:type="dxa" w:w="100"/>
              <w:left w:type="dxa" w:w="120"/>
              <w:bottom w:type="dxa" w:w="100"/>
              <w:right w:type="dxa" w:w="120"/>
            </w:tcMar>
          </w:tcPr>
          <w:p>
            <w:pPr>
              <w:spacing w:after="40"/>
            </w:pPr>
            <w:r>
              <w:rPr>
                <w:rFonts w:ascii="Arial" w:cs="Arial" w:eastAsia="Arial" w:hAnsi="Arial"/>
                <w:color w:val="1F1F1F"/>
                <w:sz w:val="20"/>
                <w:szCs w:val="20"/>
              </w:rPr>
              <w:t xml:space="preserve">0.0%</w:t>
            </w:r>
          </w:p>
        </w:tc>
        <w:tc>
          <w:tcPr>
            <w:tcW w:type="dxa" w:w="4400"/>
            <w:tcBorders>
              <w:top w:val="single" w:color="BFBFBF" w:sz="1"/>
              <w:left w:val="single" w:color="BFBFBF" w:sz="1"/>
              <w:bottom w:val="single" w:color="BFBFBF" w:sz="1"/>
              <w:right w:val="single" w:color="BFBFBF" w:sz="1"/>
            </w:tcBorders>
            <w:shd w:fill="FCE4E4" w:color="auto" w:val="clear"/>
            <w:tcMar>
              <w:top w:type="dxa" w:w="100"/>
              <w:left w:type="dxa" w:w="120"/>
              <w:bottom w:type="dxa" w:w="100"/>
              <w:right w:type="dxa" w:w="120"/>
            </w:tcMar>
          </w:tcPr>
          <w:p>
            <w:pPr>
              <w:spacing w:after="40"/>
            </w:pPr>
            <w:r>
              <w:rPr>
                <w:rFonts w:ascii="Arial" w:cs="Arial" w:eastAsia="Arial" w:hAnsi="Arial"/>
                <w:color w:val="1F1F1F"/>
                <w:sz w:val="20"/>
                <w:szCs w:val="20"/>
              </w:rPr>
              <w:t xml:space="preserve">SAP/ServiceNow/Oracle AI products in GA</w:t>
            </w:r>
          </w:p>
        </w:tc>
      </w:tr>
      <w:tr>
        <w:tc>
          <w:tcPr>
            <w:tcW w:type="dxa" w:w="2400"/>
            <w:tcBorders>
              <w:top w:val="single" w:color="BFBFBF" w:sz="1"/>
              <w:left w:val="single" w:color="BFBFBF" w:sz="1"/>
              <w:bottom w:val="single" w:color="BFBFBF" w:sz="1"/>
              <w:right w:val="single" w:color="BFBFBF" w:sz="1"/>
            </w:tcBorders>
            <w:shd w:fill="FCE4E4" w:color="auto" w:val="clear"/>
            <w:tcMar>
              <w:top w:type="dxa" w:w="100"/>
              <w:left w:type="dxa" w:w="120"/>
              <w:bottom w:type="dxa" w:w="100"/>
              <w:right w:type="dxa" w:w="120"/>
            </w:tcMar>
          </w:tcPr>
          <w:p>
            <w:pPr>
              <w:spacing w:after="40"/>
            </w:pPr>
            <w:r>
              <w:rPr>
                <w:rFonts w:ascii="Arial" w:cs="Arial" w:eastAsia="Arial" w:hAnsi="Arial"/>
                <w:color w:val="1F1F1F"/>
                <w:sz w:val="20"/>
                <w:szCs w:val="20"/>
              </w:rPr>
              <w:t xml:space="preserve">Network</w:t>
            </w:r>
          </w:p>
        </w:tc>
        <w:tc>
          <w:tcPr>
            <w:tcW w:type="dxa" w:w="1200"/>
            <w:tcBorders>
              <w:top w:val="single" w:color="BFBFBF" w:sz="1"/>
              <w:left w:val="single" w:color="BFBFBF" w:sz="1"/>
              <w:bottom w:val="single" w:color="BFBFBF" w:sz="1"/>
              <w:right w:val="single" w:color="BFBFBF" w:sz="1"/>
            </w:tcBorders>
            <w:shd w:fill="FCE4E4" w:color="auto" w:val="clear"/>
            <w:tcMar>
              <w:top w:type="dxa" w:w="100"/>
              <w:left w:type="dxa" w:w="120"/>
              <w:bottom w:type="dxa" w:w="100"/>
              <w:right w:type="dxa" w:w="120"/>
            </w:tcMar>
          </w:tcPr>
          <w:p>
            <w:pPr>
              <w:spacing w:after="40"/>
            </w:pPr>
            <w:r>
              <w:rPr>
                <w:rFonts w:ascii="Arial" w:cs="Arial" w:eastAsia="Arial" w:hAnsi="Arial"/>
                <w:color w:val="1F1F1F"/>
                <w:sz w:val="20"/>
                <w:szCs w:val="20"/>
              </w:rPr>
              <w:t xml:space="preserve">31</w:t>
            </w:r>
          </w:p>
        </w:tc>
        <w:tc>
          <w:tcPr>
            <w:tcW w:type="dxa" w:w="1100"/>
            <w:tcBorders>
              <w:top w:val="single" w:color="BFBFBF" w:sz="1"/>
              <w:left w:val="single" w:color="BFBFBF" w:sz="1"/>
              <w:bottom w:val="single" w:color="BFBFBF" w:sz="1"/>
              <w:right w:val="single" w:color="BFBFBF" w:sz="1"/>
            </w:tcBorders>
            <w:shd w:fill="FCE4E4" w:color="auto" w:val="clear"/>
            <w:tcMar>
              <w:top w:type="dxa" w:w="100"/>
              <w:left w:type="dxa" w:w="120"/>
              <w:bottom w:type="dxa" w:w="100"/>
              <w:right w:type="dxa" w:w="120"/>
            </w:tcMar>
          </w:tcPr>
          <w:p>
            <w:pPr>
              <w:spacing w:after="40"/>
            </w:pPr>
            <w:r>
              <w:rPr>
                <w:rFonts w:ascii="Arial" w:cs="Arial" w:eastAsia="Arial" w:hAnsi="Arial"/>
                <w:color w:val="1F1F1F"/>
                <w:sz w:val="20"/>
                <w:szCs w:val="20"/>
              </w:rPr>
              <w:t xml:space="preserve">0</w:t>
            </w:r>
          </w:p>
        </w:tc>
        <w:tc>
          <w:tcPr>
            <w:tcW w:type="dxa" w:w="1100"/>
            <w:tcBorders>
              <w:top w:val="single" w:color="BFBFBF" w:sz="1"/>
              <w:left w:val="single" w:color="BFBFBF" w:sz="1"/>
              <w:bottom w:val="single" w:color="BFBFBF" w:sz="1"/>
              <w:right w:val="single" w:color="BFBFBF" w:sz="1"/>
            </w:tcBorders>
            <w:shd w:fill="FCE4E4" w:color="auto" w:val="clear"/>
            <w:tcMar>
              <w:top w:type="dxa" w:w="100"/>
              <w:left w:type="dxa" w:w="120"/>
              <w:bottom w:type="dxa" w:w="100"/>
              <w:right w:type="dxa" w:w="120"/>
            </w:tcMar>
          </w:tcPr>
          <w:p>
            <w:pPr>
              <w:spacing w:after="40"/>
            </w:pPr>
            <w:r>
              <w:rPr>
                <w:rFonts w:ascii="Arial" w:cs="Arial" w:eastAsia="Arial" w:hAnsi="Arial"/>
                <w:color w:val="1F1F1F"/>
                <w:sz w:val="20"/>
                <w:szCs w:val="20"/>
              </w:rPr>
              <w:t xml:space="preserve">0.0%</w:t>
            </w:r>
          </w:p>
        </w:tc>
        <w:tc>
          <w:tcPr>
            <w:tcW w:type="dxa" w:w="4400"/>
            <w:tcBorders>
              <w:top w:val="single" w:color="BFBFBF" w:sz="1"/>
              <w:left w:val="single" w:color="BFBFBF" w:sz="1"/>
              <w:bottom w:val="single" w:color="BFBFBF" w:sz="1"/>
              <w:right w:val="single" w:color="BFBFBF" w:sz="1"/>
            </w:tcBorders>
            <w:shd w:fill="FCE4E4" w:color="auto" w:val="clear"/>
            <w:tcMar>
              <w:top w:type="dxa" w:w="100"/>
              <w:left w:type="dxa" w:w="120"/>
              <w:bottom w:type="dxa" w:w="100"/>
              <w:right w:type="dxa" w:w="120"/>
            </w:tcMar>
          </w:tcPr>
          <w:p>
            <w:pPr>
              <w:spacing w:after="40"/>
            </w:pPr>
            <w:r>
              <w:rPr>
                <w:rFonts w:ascii="Arial" w:cs="Arial" w:eastAsia="Arial" w:hAnsi="Arial"/>
                <w:color w:val="1F1F1F"/>
                <w:sz w:val="20"/>
                <w:szCs w:val="20"/>
              </w:rPr>
              <w:t xml:space="preserve">Zero</w:t>
            </w:r>
          </w:p>
        </w:tc>
      </w:tr>
      <w:tr>
        <w:tc>
          <w:tcPr>
            <w:tcW w:type="dxa" w:w="2400"/>
            <w:tcBorders>
              <w:top w:val="single" w:color="BFBFBF" w:sz="1"/>
              <w:left w:val="single" w:color="BFBFBF" w:sz="1"/>
              <w:bottom w:val="single" w:color="BFBFBF" w:sz="1"/>
              <w:right w:val="single" w:color="BFBFBF" w:sz="1"/>
            </w:tcBorders>
            <w:tcMar>
              <w:top w:type="dxa" w:w="100"/>
              <w:left w:type="dxa" w:w="120"/>
              <w:bottom w:type="dxa" w:w="100"/>
              <w:right w:type="dxa" w:w="120"/>
            </w:tcMar>
          </w:tcPr>
          <w:p>
            <w:pPr>
              <w:spacing w:after="40"/>
            </w:pPr>
            <w:r>
              <w:rPr>
                <w:rFonts w:ascii="Arial" w:cs="Arial" w:eastAsia="Arial" w:hAnsi="Arial"/>
                <w:color w:val="1F1F1F"/>
                <w:sz w:val="20"/>
                <w:szCs w:val="20"/>
              </w:rPr>
              <w:t xml:space="preserve">Quality/Training</w:t>
            </w:r>
          </w:p>
        </w:tc>
        <w:tc>
          <w:tcPr>
            <w:tcW w:type="dxa" w:w="1200"/>
            <w:tcBorders>
              <w:top w:val="single" w:color="BFBFBF" w:sz="1"/>
              <w:left w:val="single" w:color="BFBFBF" w:sz="1"/>
              <w:bottom w:val="single" w:color="BFBFBF" w:sz="1"/>
              <w:right w:val="single" w:color="BFBFBF" w:sz="1"/>
            </w:tcBorders>
            <w:tcMar>
              <w:top w:type="dxa" w:w="100"/>
              <w:left w:type="dxa" w:w="120"/>
              <w:bottom w:type="dxa" w:w="100"/>
              <w:right w:type="dxa" w:w="120"/>
            </w:tcMar>
          </w:tcPr>
          <w:p>
            <w:pPr>
              <w:spacing w:after="40"/>
            </w:pPr>
            <w:r>
              <w:rPr>
                <w:rFonts w:ascii="Arial" w:cs="Arial" w:eastAsia="Arial" w:hAnsi="Arial"/>
                <w:color w:val="1F1F1F"/>
                <w:sz w:val="20"/>
                <w:szCs w:val="20"/>
              </w:rPr>
              <w:t xml:space="preserve">19</w:t>
            </w:r>
          </w:p>
        </w:tc>
        <w:tc>
          <w:tcPr>
            <w:tcW w:type="dxa" w:w="1100"/>
            <w:tcBorders>
              <w:top w:val="single" w:color="BFBFBF" w:sz="1"/>
              <w:left w:val="single" w:color="BFBFBF" w:sz="1"/>
              <w:bottom w:val="single" w:color="BFBFBF" w:sz="1"/>
              <w:right w:val="single" w:color="BFBFBF" w:sz="1"/>
            </w:tcBorders>
            <w:tcMar>
              <w:top w:type="dxa" w:w="100"/>
              <w:left w:type="dxa" w:w="120"/>
              <w:bottom w:type="dxa" w:w="100"/>
              <w:right w:type="dxa" w:w="120"/>
            </w:tcMar>
          </w:tcPr>
          <w:p>
            <w:pPr>
              <w:spacing w:after="40"/>
            </w:pPr>
            <w:r>
              <w:rPr>
                <w:rFonts w:ascii="Arial" w:cs="Arial" w:eastAsia="Arial" w:hAnsi="Arial"/>
                <w:color w:val="1F1F1F"/>
                <w:sz w:val="20"/>
                <w:szCs w:val="20"/>
              </w:rPr>
              <w:t xml:space="preserve">3</w:t>
            </w:r>
          </w:p>
        </w:tc>
        <w:tc>
          <w:tcPr>
            <w:tcW w:type="dxa" w:w="1100"/>
            <w:tcBorders>
              <w:top w:val="single" w:color="BFBFBF" w:sz="1"/>
              <w:left w:val="single" w:color="BFBFBF" w:sz="1"/>
              <w:bottom w:val="single" w:color="BFBFBF" w:sz="1"/>
              <w:right w:val="single" w:color="BFBFBF" w:sz="1"/>
            </w:tcBorders>
            <w:tcMar>
              <w:top w:type="dxa" w:w="100"/>
              <w:left w:type="dxa" w:w="120"/>
              <w:bottom w:type="dxa" w:w="100"/>
              <w:right w:type="dxa" w:w="120"/>
            </w:tcMar>
          </w:tcPr>
          <w:p>
            <w:pPr>
              <w:spacing w:after="40"/>
            </w:pPr>
            <w:r>
              <w:rPr>
                <w:rFonts w:ascii="Arial" w:cs="Arial" w:eastAsia="Arial" w:hAnsi="Arial"/>
                <w:color w:val="1F1F1F"/>
                <w:sz w:val="20"/>
                <w:szCs w:val="20"/>
              </w:rPr>
              <w:t xml:space="preserve">15.8%</w:t>
            </w:r>
          </w:p>
        </w:tc>
        <w:tc>
          <w:tcPr>
            <w:tcW w:type="dxa" w:w="4400"/>
            <w:tcBorders>
              <w:top w:val="single" w:color="BFBFBF" w:sz="1"/>
              <w:left w:val="single" w:color="BFBFBF" w:sz="1"/>
              <w:bottom w:val="single" w:color="BFBFBF" w:sz="1"/>
              <w:right w:val="single" w:color="BFBFBF" w:sz="1"/>
            </w:tcBorders>
            <w:tcMar>
              <w:top w:type="dxa" w:w="100"/>
              <w:left w:type="dxa" w:w="120"/>
              <w:bottom w:type="dxa" w:w="100"/>
              <w:right w:type="dxa" w:w="120"/>
            </w:tcMar>
          </w:tcPr>
          <w:p>
            <w:pPr>
              <w:spacing w:after="40"/>
            </w:pPr>
            <w:r>
              <w:rPr>
                <w:rFonts w:ascii="Arial" w:cs="Arial" w:eastAsia="Arial" w:hAnsi="Arial"/>
                <w:color w:val="1F1F1F"/>
                <w:sz w:val="20"/>
                <w:szCs w:val="20"/>
              </w:rPr>
              <w:t xml:space="preserve">AI/ML Unit base</w:t>
            </w:r>
          </w:p>
        </w:tc>
      </w:tr>
      <w:tr>
        <w:tc>
          <w:tcPr>
            <w:tcW w:type="dxa" w:w="2400"/>
            <w:tcBorders>
              <w:top w:val="single" w:color="BFBFBF" w:sz="1"/>
              <w:left w:val="single" w:color="BFBFBF" w:sz="1"/>
              <w:bottom w:val="single" w:color="BFBFBF" w:sz="1"/>
              <w:right w:val="single" w:color="BFBFBF" w:sz="1"/>
            </w:tcBorders>
            <w:shd w:fill="FCE4E4" w:color="auto" w:val="clear"/>
            <w:tcMar>
              <w:top w:type="dxa" w:w="100"/>
              <w:left w:type="dxa" w:w="120"/>
              <w:bottom w:type="dxa" w:w="100"/>
              <w:right w:type="dxa" w:w="120"/>
            </w:tcMar>
          </w:tcPr>
          <w:p>
            <w:pPr>
              <w:spacing w:after="40"/>
            </w:pPr>
            <w:r>
              <w:rPr>
                <w:rFonts w:ascii="Arial" w:cs="Arial" w:eastAsia="Arial" w:hAnsi="Arial"/>
                <w:color w:val="1F1F1F"/>
                <w:sz w:val="20"/>
                <w:szCs w:val="20"/>
              </w:rPr>
              <w:t xml:space="preserve">Project Management</w:t>
            </w:r>
          </w:p>
        </w:tc>
        <w:tc>
          <w:tcPr>
            <w:tcW w:type="dxa" w:w="1200"/>
            <w:tcBorders>
              <w:top w:val="single" w:color="BFBFBF" w:sz="1"/>
              <w:left w:val="single" w:color="BFBFBF" w:sz="1"/>
              <w:bottom w:val="single" w:color="BFBFBF" w:sz="1"/>
              <w:right w:val="single" w:color="BFBFBF" w:sz="1"/>
            </w:tcBorders>
            <w:shd w:fill="FCE4E4" w:color="auto" w:val="clear"/>
            <w:tcMar>
              <w:top w:type="dxa" w:w="100"/>
              <w:left w:type="dxa" w:w="120"/>
              <w:bottom w:type="dxa" w:w="100"/>
              <w:right w:type="dxa" w:w="120"/>
            </w:tcMar>
          </w:tcPr>
          <w:p>
            <w:pPr>
              <w:spacing w:after="40"/>
            </w:pPr>
            <w:r>
              <w:rPr>
                <w:rFonts w:ascii="Arial" w:cs="Arial" w:eastAsia="Arial" w:hAnsi="Arial"/>
                <w:color w:val="1F1F1F"/>
                <w:sz w:val="20"/>
                <w:szCs w:val="20"/>
              </w:rPr>
              <w:t xml:space="preserve">18</w:t>
            </w:r>
          </w:p>
        </w:tc>
        <w:tc>
          <w:tcPr>
            <w:tcW w:type="dxa" w:w="1100"/>
            <w:tcBorders>
              <w:top w:val="single" w:color="BFBFBF" w:sz="1"/>
              <w:left w:val="single" w:color="BFBFBF" w:sz="1"/>
              <w:bottom w:val="single" w:color="BFBFBF" w:sz="1"/>
              <w:right w:val="single" w:color="BFBFBF" w:sz="1"/>
            </w:tcBorders>
            <w:shd w:fill="FCE4E4" w:color="auto" w:val="clear"/>
            <w:tcMar>
              <w:top w:type="dxa" w:w="100"/>
              <w:left w:type="dxa" w:w="120"/>
              <w:bottom w:type="dxa" w:w="100"/>
              <w:right w:type="dxa" w:w="120"/>
            </w:tcMar>
          </w:tcPr>
          <w:p>
            <w:pPr>
              <w:spacing w:after="40"/>
            </w:pPr>
            <w:r>
              <w:rPr>
                <w:rFonts w:ascii="Arial" w:cs="Arial" w:eastAsia="Arial" w:hAnsi="Arial"/>
                <w:color w:val="1F1F1F"/>
                <w:sz w:val="20"/>
                <w:szCs w:val="20"/>
              </w:rPr>
              <w:t xml:space="preserve">0</w:t>
            </w:r>
          </w:p>
        </w:tc>
        <w:tc>
          <w:tcPr>
            <w:tcW w:type="dxa" w:w="1100"/>
            <w:tcBorders>
              <w:top w:val="single" w:color="BFBFBF" w:sz="1"/>
              <w:left w:val="single" w:color="BFBFBF" w:sz="1"/>
              <w:bottom w:val="single" w:color="BFBFBF" w:sz="1"/>
              <w:right w:val="single" w:color="BFBFBF" w:sz="1"/>
            </w:tcBorders>
            <w:shd w:fill="FCE4E4" w:color="auto" w:val="clear"/>
            <w:tcMar>
              <w:top w:type="dxa" w:w="100"/>
              <w:left w:type="dxa" w:w="120"/>
              <w:bottom w:type="dxa" w:w="100"/>
              <w:right w:type="dxa" w:w="120"/>
            </w:tcMar>
          </w:tcPr>
          <w:p>
            <w:pPr>
              <w:spacing w:after="40"/>
            </w:pPr>
            <w:r>
              <w:rPr>
                <w:rFonts w:ascii="Arial" w:cs="Arial" w:eastAsia="Arial" w:hAnsi="Arial"/>
                <w:color w:val="1F1F1F"/>
                <w:sz w:val="20"/>
                <w:szCs w:val="20"/>
              </w:rPr>
              <w:t xml:space="preserve">0.0%</w:t>
            </w:r>
          </w:p>
        </w:tc>
        <w:tc>
          <w:tcPr>
            <w:tcW w:type="dxa" w:w="4400"/>
            <w:tcBorders>
              <w:top w:val="single" w:color="BFBFBF" w:sz="1"/>
              <w:left w:val="single" w:color="BFBFBF" w:sz="1"/>
              <w:bottom w:val="single" w:color="BFBFBF" w:sz="1"/>
              <w:right w:val="single" w:color="BFBFBF" w:sz="1"/>
            </w:tcBorders>
            <w:shd w:fill="FCE4E4" w:color="auto" w:val="clear"/>
            <w:tcMar>
              <w:top w:type="dxa" w:w="100"/>
              <w:left w:type="dxa" w:w="120"/>
              <w:bottom w:type="dxa" w:w="100"/>
              <w:right w:type="dxa" w:w="120"/>
            </w:tcMar>
          </w:tcPr>
          <w:p>
            <w:pPr>
              <w:spacing w:after="40"/>
            </w:pPr>
            <w:r>
              <w:rPr>
                <w:rFonts w:ascii="Arial" w:cs="Arial" w:eastAsia="Arial" w:hAnsi="Arial"/>
                <w:color w:val="1F1F1F"/>
                <w:sz w:val="20"/>
                <w:szCs w:val="20"/>
              </w:rPr>
              <w:t xml:space="preserve">Zero</w:t>
            </w:r>
          </w:p>
        </w:tc>
      </w:tr>
      <w:tr>
        <w:tc>
          <w:tcPr>
            <w:tcW w:type="dxa" w:w="2400"/>
            <w:tcBorders>
              <w:top w:val="single" w:color="BFBFBF" w:sz="1"/>
              <w:left w:val="single" w:color="BFBFBF" w:sz="1"/>
              <w:bottom w:val="single" w:color="BFBFBF" w:sz="1"/>
              <w:right w:val="single" w:color="BFBFBF" w:sz="1"/>
            </w:tcBorders>
            <w:tcMar>
              <w:top w:type="dxa" w:w="100"/>
              <w:left w:type="dxa" w:w="120"/>
              <w:bottom w:type="dxa" w:w="100"/>
              <w:right w:type="dxa" w:w="120"/>
            </w:tcMar>
          </w:tcPr>
          <w:p>
            <w:pPr>
              <w:spacing w:after="40"/>
            </w:pPr>
            <w:r>
              <w:rPr>
                <w:rFonts w:ascii="Arial" w:cs="Arial" w:eastAsia="Arial" w:hAnsi="Arial"/>
                <w:color w:val="1F1F1F"/>
                <w:sz w:val="20"/>
                <w:szCs w:val="20"/>
              </w:rPr>
              <w:t xml:space="preserve">Solution Delivery</w:t>
            </w:r>
          </w:p>
        </w:tc>
        <w:tc>
          <w:tcPr>
            <w:tcW w:type="dxa" w:w="1200"/>
            <w:tcBorders>
              <w:top w:val="single" w:color="BFBFBF" w:sz="1"/>
              <w:left w:val="single" w:color="BFBFBF" w:sz="1"/>
              <w:bottom w:val="single" w:color="BFBFBF" w:sz="1"/>
              <w:right w:val="single" w:color="BFBFBF" w:sz="1"/>
            </w:tcBorders>
            <w:tcMar>
              <w:top w:type="dxa" w:w="100"/>
              <w:left w:type="dxa" w:w="120"/>
              <w:bottom w:type="dxa" w:w="100"/>
              <w:right w:type="dxa" w:w="120"/>
            </w:tcMar>
          </w:tcPr>
          <w:p>
            <w:pPr>
              <w:spacing w:after="40"/>
            </w:pPr>
            <w:r>
              <w:rPr>
                <w:rFonts w:ascii="Arial" w:cs="Arial" w:eastAsia="Arial" w:hAnsi="Arial"/>
                <w:color w:val="1F1F1F"/>
                <w:sz w:val="20"/>
                <w:szCs w:val="20"/>
              </w:rPr>
              <w:t xml:space="preserve">13</w:t>
            </w:r>
          </w:p>
        </w:tc>
        <w:tc>
          <w:tcPr>
            <w:tcW w:type="dxa" w:w="1100"/>
            <w:tcBorders>
              <w:top w:val="single" w:color="BFBFBF" w:sz="1"/>
              <w:left w:val="single" w:color="BFBFBF" w:sz="1"/>
              <w:bottom w:val="single" w:color="BFBFBF" w:sz="1"/>
              <w:right w:val="single" w:color="BFBFBF" w:sz="1"/>
            </w:tcBorders>
            <w:tcMar>
              <w:top w:type="dxa" w:w="100"/>
              <w:left w:type="dxa" w:w="120"/>
              <w:bottom w:type="dxa" w:w="100"/>
              <w:right w:type="dxa" w:w="120"/>
            </w:tcMar>
          </w:tcPr>
          <w:p>
            <w:pPr>
              <w:spacing w:after="40"/>
            </w:pPr>
            <w:r>
              <w:rPr>
                <w:rFonts w:ascii="Arial" w:cs="Arial" w:eastAsia="Arial" w:hAnsi="Arial"/>
                <w:color w:val="1F1F1F"/>
                <w:sz w:val="20"/>
                <w:szCs w:val="20"/>
              </w:rPr>
              <w:t xml:space="preserve">1</w:t>
            </w:r>
          </w:p>
        </w:tc>
        <w:tc>
          <w:tcPr>
            <w:tcW w:type="dxa" w:w="1100"/>
            <w:tcBorders>
              <w:top w:val="single" w:color="BFBFBF" w:sz="1"/>
              <w:left w:val="single" w:color="BFBFBF" w:sz="1"/>
              <w:bottom w:val="single" w:color="BFBFBF" w:sz="1"/>
              <w:right w:val="single" w:color="BFBFBF" w:sz="1"/>
            </w:tcBorders>
            <w:tcMar>
              <w:top w:type="dxa" w:w="100"/>
              <w:left w:type="dxa" w:w="120"/>
              <w:bottom w:type="dxa" w:w="100"/>
              <w:right w:type="dxa" w:w="120"/>
            </w:tcMar>
          </w:tcPr>
          <w:p>
            <w:pPr>
              <w:spacing w:after="40"/>
            </w:pPr>
            <w:r>
              <w:rPr>
                <w:rFonts w:ascii="Arial" w:cs="Arial" w:eastAsia="Arial" w:hAnsi="Arial"/>
                <w:color w:val="1F1F1F"/>
                <w:sz w:val="20"/>
                <w:szCs w:val="20"/>
              </w:rPr>
              <w:t xml:space="preserve">7.7%</w:t>
            </w:r>
          </w:p>
        </w:tc>
        <w:tc>
          <w:tcPr>
            <w:tcW w:type="dxa" w:w="4400"/>
            <w:tcBorders>
              <w:top w:val="single" w:color="BFBFBF" w:sz="1"/>
              <w:left w:val="single" w:color="BFBFBF" w:sz="1"/>
              <w:bottom w:val="single" w:color="BFBFBF" w:sz="1"/>
              <w:right w:val="single" w:color="BFBFBF" w:sz="1"/>
            </w:tcBorders>
            <w:tcMar>
              <w:top w:type="dxa" w:w="100"/>
              <w:left w:type="dxa" w:w="120"/>
              <w:bottom w:type="dxa" w:w="100"/>
              <w:right w:type="dxa" w:w="120"/>
            </w:tcMar>
          </w:tcPr>
          <w:p>
            <w:pPr>
              <w:spacing w:after="40"/>
            </w:pPr>
            <w:r>
              <w:rPr>
                <w:rFonts w:ascii="Arial" w:cs="Arial" w:eastAsia="Arial" w:hAnsi="Arial"/>
                <w:color w:val="1F1F1F"/>
                <w:sz w:val="20"/>
                <w:szCs w:val="20"/>
              </w:rPr>
              <w:t xml:space="preserve">Data Solution Architect</w:t>
            </w:r>
          </w:p>
        </w:tc>
      </w:tr>
    </w:tbl>
    <w:p>
      <w:pPr>
        <w:spacing w:after="80"/>
      </w:pPr>
      <w:r>
        <w:t xml:space="preserve"/>
      </w:r>
    </w:p>
    <w:p>
      <w:pPr>
        <w:spacing w:after="160" w:line="300" w:lineRule="auto"/>
        <w:jc w:val="both"/>
      </w:pPr>
      <w:r>
        <w:rPr>
          <w:rFonts w:ascii="Arial" w:cs="Arial" w:eastAsia="Arial" w:hAnsi="Arial"/>
          <w:b/>
          <w:bCs/>
          <w:color w:val="1F1F1F"/>
          <w:sz w:val="22"/>
          <w:szCs w:val="22"/>
        </w:rPr>
        <w:t xml:space="preserve">The pattern is the AI Centre of Excellence model. </w:t>
      </w:r>
      <w:r>
        <w:rPr>
          <w:rFonts w:ascii="Arial" w:cs="Arial" w:eastAsia="Arial" w:hAnsi="Arial"/>
          <w:color w:val="1F1F1F"/>
          <w:sz w:val="22"/>
          <w:szCs w:val="22"/>
        </w:rPr>
        <w:t xml:space="preserve">Cybersecurity has zero AI-Core PDs in 97 documents — despite AI-driven threat detection, automated incident response, and LLM-assisted threat hunting being defining features of cybersecurity practice. CrowdStrike Charlotte AI is in production. Microsoft Security Copilot is in production. Every major SIEM and XDR product has shipped AI assistant capabilities. Digital Workplace covers M365, where Copilot is the live partner-facing AI integration point and where UNICC has paid licences. Enterprise Apps covers the SAP/ServiceNow/Oracle estate, where AI products are in or approaching general availability. The PD library does not yet describe the work as AI exists in any of these functions.</w:t>
      </w:r>
    </w:p>
    <w:p>
      <w:pPr>
        <w:pStyle w:val="Heading2"/>
        <w:spacing w:after="140" w:before="240"/>
      </w:pPr>
      <w:r>
        <w:rPr>
          <w:rFonts w:ascii="Arial" w:cs="Arial" w:eastAsia="Arial" w:hAnsi="Arial"/>
          <w:b/>
          <w:bCs/>
          <w:color w:val="1F4E79"/>
          <w:sz w:val="26"/>
          <w:szCs w:val="26"/>
        </w:rPr>
        <w:t xml:space="preserve">2.4 The entry-level pipeline gap</w:t>
      </w:r>
    </w:p>
    <w:p>
      <w:pPr>
        <w:spacing w:after="160" w:line="300" w:lineRule="auto"/>
        <w:jc w:val="both"/>
      </w:pPr>
      <w:r>
        <w:rPr>
          <w:rFonts w:ascii="Arial" w:cs="Arial" w:eastAsia="Arial" w:hAnsi="Arial"/>
          <w:color w:val="1F1F1F"/>
          <w:sz w:val="22"/>
          <w:szCs w:val="22"/>
        </w:rPr>
        <w:t xml:space="preserve">A second pattern surfaces in the grade-level breakdown. UNICC's seven staff AI-Core PDs are distributed: 1 P5, 1 P4, 3 P3, 1 G7, 1 grade unknown. The most populated grade in the staff library — P2, with 106 PDs — contains zero AI-Core specifications. UNICC has built AI capability at senior and mid-senior levels but has not designed AI-native entry-level roles. By contrast, UNDP's recent tech postings include 'AI Innovation Intern', 'Urban Data and AI Specialist (Green Transition)', 'Digital, AI and Innovation Internship: Global Call for 2026' — AI-native roles down to entry and intern level. The pipeline that should grow into mid-level AI capability does not yet exist in UNICC's documentation.</w:t>
      </w:r>
    </w:p>
    <w:p>
      <w:pPr>
        <w:pStyle w:val="Heading1"/>
        <w:spacing w:after="200" w:before="320"/>
      </w:pPr>
      <w:r>
        <w:rPr>
          <w:rFonts w:ascii="Arial" w:cs="Arial" w:eastAsia="Arial" w:hAnsi="Arial"/>
          <w:b/>
          <w:bCs/>
          <w:color w:val="1F4E79"/>
          <w:sz w:val="30"/>
          <w:szCs w:val="30"/>
        </w:rPr>
        <w:t xml:space="preserve">3. UN-System Peer Comparison</w:t>
      </w:r>
    </w:p>
    <w:p>
      <w:pPr>
        <w:spacing w:after="160" w:line="300" w:lineRule="auto"/>
        <w:jc w:val="both"/>
      </w:pPr>
      <w:r>
        <w:rPr>
          <w:rFonts w:ascii="Arial" w:cs="Arial" w:eastAsia="Arial" w:hAnsi="Arial"/>
          <w:color w:val="1F1F1F"/>
          <w:sz w:val="22"/>
          <w:szCs w:val="22"/>
        </w:rPr>
        <w:t xml:space="preserve">Strict-tier AI-Core analysis was applied to 856 UN-system tech postings issued between 1 August 2025 and 28 April 2026, across 47 distinct organisations, drawn from the aggregated UN jobs board. Figure 2 places UNICC's PD-stock figure on the same axis as the peer flow figures.</w:t>
      </w:r>
    </w:p>
    <w:p>
      <w:pPr>
        <w:spacing w:after="100" w:before="200"/>
        <w:jc w:val="center"/>
      </w:pPr>
      <w:r>
        <w:drawing>
          <wp:inline distT="0" distB="0" distL="0" distR="0">
            <wp:extent cx="5715000" cy="2419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419350"/>
                    </a:xfrm>
                    <a:prstGeom prst="rect">
                      <a:avLst/>
                    </a:prstGeom>
                  </pic:spPr>
                </pic:pic>
              </a:graphicData>
            </a:graphic>
          </wp:inline>
        </w:drawing>
      </w:r>
    </w:p>
    <w:p>
      <w:pPr>
        <w:spacing w:after="240" w:before="0"/>
        <w:jc w:val="center"/>
      </w:pPr>
      <w:r>
        <w:rPr>
          <w:rFonts w:ascii="Arial" w:cs="Arial" w:eastAsia="Arial" w:hAnsi="Arial"/>
          <w:i/>
          <w:iCs/>
          <w:color w:val="595959"/>
          <w:sz w:val="18"/>
          <w:szCs w:val="18"/>
        </w:rPr>
        <w:t xml:space="preserve">Figure 2: UNICC strategic landscape at the AI-Core bar. UNICC figure is stock (April 2026 PD library); peer figures are flow over the 9-month window August 2025 to April 2026.</w:t>
      </w:r>
    </w:p>
    <w:p>
      <w:pPr>
        <w:pStyle w:val="Heading2"/>
        <w:spacing w:after="140" w:before="240"/>
      </w:pPr>
      <w:r>
        <w:rPr>
          <w:rFonts w:ascii="Arial" w:cs="Arial" w:eastAsia="Arial" w:hAnsi="Arial"/>
          <w:b/>
          <w:bCs/>
          <w:color w:val="1F4E79"/>
          <w:sz w:val="26"/>
          <w:szCs w:val="26"/>
        </w:rPr>
        <w:t xml:space="preserve">3.1 Group level</w:t>
      </w:r>
    </w:p>
    <w:p>
      <w:pPr>
        <w:spacing w:after="80"/>
      </w:pPr>
      <w:r>
        <w:t xml:space="preserve"/>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4000"/>
        <w:gridCol w:w="1500"/>
        <w:gridCol w:w="1500"/>
        <w:gridCol w:w="1500"/>
      </w:tblGrid>
      <w:tr>
        <w:trPr>
          <w:tblHeader/>
        </w:trPr>
        <w:tc>
          <w:tcPr>
            <w:tcW w:type="dxa" w:w="4000"/>
            <w:tcBorders>
              <w:top w:val="single" w:color="BFBFBF" w:sz="1"/>
              <w:left w:val="single" w:color="BFBFBF" w:sz="1"/>
              <w:bottom w:val="single" w:color="BFBFBF" w:sz="1"/>
              <w:right w:val="single" w:color="BFBFBF" w:sz="1"/>
            </w:tcBorders>
            <w:shd w:fill="D5E8F0" w:color="auto" w:val="clear"/>
            <w:tcMar>
              <w:top w:type="dxa" w:w="100"/>
              <w:left w:type="dxa" w:w="120"/>
              <w:bottom w:type="dxa" w:w="100"/>
              <w:right w:type="dxa" w:w="120"/>
            </w:tcMar>
          </w:tcPr>
          <w:p>
            <w:pPr>
              <w:spacing w:after="0"/>
            </w:pPr>
            <w:r>
              <w:rPr>
                <w:rFonts w:ascii="Arial" w:cs="Arial" w:eastAsia="Arial" w:hAnsi="Arial"/>
                <w:b/>
                <w:bCs/>
                <w:color w:val="1F1F1F"/>
                <w:sz w:val="20"/>
                <w:szCs w:val="20"/>
              </w:rPr>
              <w:t xml:space="preserve">Group</w:t>
            </w:r>
          </w:p>
        </w:tc>
        <w:tc>
          <w:tcPr>
            <w:tcW w:type="dxa" w:w="1500"/>
            <w:tcBorders>
              <w:top w:val="single" w:color="BFBFBF" w:sz="1"/>
              <w:left w:val="single" w:color="BFBFBF" w:sz="1"/>
              <w:bottom w:val="single" w:color="BFBFBF" w:sz="1"/>
              <w:right w:val="single" w:color="BFBFBF" w:sz="1"/>
            </w:tcBorders>
            <w:shd w:fill="D5E8F0" w:color="auto" w:val="clear"/>
            <w:tcMar>
              <w:top w:type="dxa" w:w="100"/>
              <w:left w:type="dxa" w:w="120"/>
              <w:bottom w:type="dxa" w:w="100"/>
              <w:right w:type="dxa" w:w="120"/>
            </w:tcMar>
          </w:tcPr>
          <w:p>
            <w:pPr>
              <w:spacing w:after="0"/>
            </w:pPr>
            <w:r>
              <w:rPr>
                <w:rFonts w:ascii="Arial" w:cs="Arial" w:eastAsia="Arial" w:hAnsi="Arial"/>
                <w:b/>
                <w:bCs/>
                <w:color w:val="1F1F1F"/>
                <w:sz w:val="20"/>
                <w:szCs w:val="20"/>
              </w:rPr>
              <w:t xml:space="preserve">Tech postings</w:t>
            </w:r>
          </w:p>
        </w:tc>
        <w:tc>
          <w:tcPr>
            <w:tcW w:type="dxa" w:w="1500"/>
            <w:tcBorders>
              <w:top w:val="single" w:color="BFBFBF" w:sz="1"/>
              <w:left w:val="single" w:color="BFBFBF" w:sz="1"/>
              <w:bottom w:val="single" w:color="BFBFBF" w:sz="1"/>
              <w:right w:val="single" w:color="BFBFBF" w:sz="1"/>
            </w:tcBorders>
            <w:shd w:fill="D5E8F0" w:color="auto" w:val="clear"/>
            <w:tcMar>
              <w:top w:type="dxa" w:w="100"/>
              <w:left w:type="dxa" w:w="120"/>
              <w:bottom w:type="dxa" w:w="100"/>
              <w:right w:type="dxa" w:w="120"/>
            </w:tcMar>
          </w:tcPr>
          <w:p>
            <w:pPr>
              <w:spacing w:after="0"/>
            </w:pPr>
            <w:r>
              <w:rPr>
                <w:rFonts w:ascii="Arial" w:cs="Arial" w:eastAsia="Arial" w:hAnsi="Arial"/>
                <w:b/>
                <w:bCs/>
                <w:color w:val="1F1F1F"/>
                <w:sz w:val="20"/>
                <w:szCs w:val="20"/>
              </w:rPr>
              <w:t xml:space="preserve">AI-Core</w:t>
            </w:r>
          </w:p>
        </w:tc>
        <w:tc>
          <w:tcPr>
            <w:tcW w:type="dxa" w:w="1500"/>
            <w:tcBorders>
              <w:top w:val="single" w:color="BFBFBF" w:sz="1"/>
              <w:left w:val="single" w:color="BFBFBF" w:sz="1"/>
              <w:bottom w:val="single" w:color="BFBFBF" w:sz="1"/>
              <w:right w:val="single" w:color="BFBFBF" w:sz="1"/>
            </w:tcBorders>
            <w:shd w:fill="D5E8F0" w:color="auto" w:val="clear"/>
            <w:tcMar>
              <w:top w:type="dxa" w:w="100"/>
              <w:left w:type="dxa" w:w="120"/>
              <w:bottom w:type="dxa" w:w="100"/>
              <w:right w:type="dxa" w:w="120"/>
            </w:tcMar>
          </w:tcPr>
          <w:p>
            <w:pPr>
              <w:spacing w:after="0"/>
            </w:pPr>
            <w:r>
              <w:rPr>
                <w:rFonts w:ascii="Arial" w:cs="Arial" w:eastAsia="Arial" w:hAnsi="Arial"/>
                <w:b/>
                <w:bCs/>
                <w:color w:val="1F1F1F"/>
                <w:sz w:val="20"/>
                <w:szCs w:val="20"/>
              </w:rPr>
              <w:t xml:space="preserve">AI-Core %</w:t>
            </w:r>
          </w:p>
        </w:tc>
      </w:tr>
      <w:tr>
        <w:tc>
          <w:tcPr>
            <w:tcW w:type="dxa" w:w="4000"/>
            <w:tcBorders>
              <w:top w:val="single" w:color="BFBFBF" w:sz="1"/>
              <w:left w:val="single" w:color="BFBFBF" w:sz="1"/>
              <w:bottom w:val="single" w:color="BFBFBF" w:sz="1"/>
              <w:right w:val="single" w:color="BFBFBF" w:sz="1"/>
            </w:tcBorders>
            <w:shd w:fill="E7F0F7" w:color="auto" w:val="clear"/>
            <w:tcMar>
              <w:top w:type="dxa" w:w="100"/>
              <w:left w:type="dxa" w:w="120"/>
              <w:bottom w:type="dxa" w:w="100"/>
              <w:right w:type="dxa" w:w="120"/>
            </w:tcMar>
          </w:tcPr>
          <w:p>
            <w:pPr>
              <w:spacing w:after="40"/>
            </w:pPr>
            <w:r>
              <w:rPr>
                <w:rFonts w:ascii="Arial" w:cs="Arial" w:eastAsia="Arial" w:hAnsi="Arial"/>
                <w:color w:val="1F1F1F"/>
                <w:sz w:val="20"/>
                <w:szCs w:val="20"/>
              </w:rPr>
              <w:t xml:space="preserve">UNICC PD library — staff (baseline)</w:t>
            </w:r>
          </w:p>
        </w:tc>
        <w:tc>
          <w:tcPr>
            <w:tcW w:type="dxa" w:w="1500"/>
            <w:tcBorders>
              <w:top w:val="single" w:color="BFBFBF" w:sz="1"/>
              <w:left w:val="single" w:color="BFBFBF" w:sz="1"/>
              <w:bottom w:val="single" w:color="BFBFBF" w:sz="1"/>
              <w:right w:val="single" w:color="BFBFBF" w:sz="1"/>
            </w:tcBorders>
            <w:shd w:fill="E7F0F7" w:color="auto" w:val="clear"/>
            <w:tcMar>
              <w:top w:type="dxa" w:w="100"/>
              <w:left w:type="dxa" w:w="120"/>
              <w:bottom w:type="dxa" w:w="100"/>
              <w:right w:type="dxa" w:w="120"/>
            </w:tcMar>
          </w:tcPr>
          <w:p>
            <w:pPr>
              <w:spacing w:after="40"/>
            </w:pPr>
            <w:r>
              <w:rPr>
                <w:rFonts w:ascii="Arial" w:cs="Arial" w:eastAsia="Arial" w:hAnsi="Arial"/>
                <w:color w:val="1F1F1F"/>
                <w:sz w:val="20"/>
                <w:szCs w:val="20"/>
              </w:rPr>
              <w:t xml:space="preserve">373</w:t>
            </w:r>
          </w:p>
        </w:tc>
        <w:tc>
          <w:tcPr>
            <w:tcW w:type="dxa" w:w="1500"/>
            <w:tcBorders>
              <w:top w:val="single" w:color="BFBFBF" w:sz="1"/>
              <w:left w:val="single" w:color="BFBFBF" w:sz="1"/>
              <w:bottom w:val="single" w:color="BFBFBF" w:sz="1"/>
              <w:right w:val="single" w:color="BFBFBF" w:sz="1"/>
            </w:tcBorders>
            <w:shd w:fill="E7F0F7" w:color="auto" w:val="clear"/>
            <w:tcMar>
              <w:top w:type="dxa" w:w="100"/>
              <w:left w:type="dxa" w:w="120"/>
              <w:bottom w:type="dxa" w:w="100"/>
              <w:right w:type="dxa" w:w="120"/>
            </w:tcMar>
          </w:tcPr>
          <w:p>
            <w:pPr>
              <w:spacing w:after="40"/>
            </w:pPr>
            <w:r>
              <w:rPr>
                <w:rFonts w:ascii="Arial" w:cs="Arial" w:eastAsia="Arial" w:hAnsi="Arial"/>
                <w:color w:val="1F1F1F"/>
                <w:sz w:val="20"/>
                <w:szCs w:val="20"/>
              </w:rPr>
              <w:t xml:space="preserve">7</w:t>
            </w:r>
          </w:p>
        </w:tc>
        <w:tc>
          <w:tcPr>
            <w:tcW w:type="dxa" w:w="1500"/>
            <w:tcBorders>
              <w:top w:val="single" w:color="BFBFBF" w:sz="1"/>
              <w:left w:val="single" w:color="BFBFBF" w:sz="1"/>
              <w:bottom w:val="single" w:color="BFBFBF" w:sz="1"/>
              <w:right w:val="single" w:color="BFBFBF" w:sz="1"/>
            </w:tcBorders>
            <w:shd w:fill="E7F0F7" w:color="auto" w:val="clear"/>
            <w:tcMar>
              <w:top w:type="dxa" w:w="100"/>
              <w:left w:type="dxa" w:w="120"/>
              <w:bottom w:type="dxa" w:w="100"/>
              <w:right w:type="dxa" w:w="120"/>
            </w:tcMar>
          </w:tcPr>
          <w:p>
            <w:pPr>
              <w:spacing w:after="40"/>
            </w:pPr>
            <w:r>
              <w:rPr>
                <w:rFonts w:ascii="Arial" w:cs="Arial" w:eastAsia="Arial" w:hAnsi="Arial"/>
                <w:color w:val="1F1F1F"/>
                <w:sz w:val="20"/>
                <w:szCs w:val="20"/>
              </w:rPr>
              <w:t xml:space="preserve">1.9%</w:t>
            </w:r>
          </w:p>
        </w:tc>
      </w:tr>
      <w:tr>
        <w:tc>
          <w:tcPr>
            <w:tcW w:type="dxa" w:w="4000"/>
            <w:tcBorders>
              <w:top w:val="single" w:color="BFBFBF" w:sz="1"/>
              <w:left w:val="single" w:color="BFBFBF" w:sz="1"/>
              <w:bottom w:val="single" w:color="BFBFBF" w:sz="1"/>
              <w:right w:val="single" w:color="BFBFBF" w:sz="1"/>
            </w:tcBorders>
            <w:tcMar>
              <w:top w:type="dxa" w:w="100"/>
              <w:left w:type="dxa" w:w="120"/>
              <w:bottom w:type="dxa" w:w="100"/>
              <w:right w:type="dxa" w:w="120"/>
            </w:tcMar>
          </w:tcPr>
          <w:p>
            <w:pPr>
              <w:spacing w:after="40"/>
            </w:pPr>
            <w:r>
              <w:rPr>
                <w:rFonts w:ascii="Arial" w:cs="Arial" w:eastAsia="Arial" w:hAnsi="Arial"/>
                <w:color w:val="1F1F1F"/>
                <w:sz w:val="20"/>
                <w:szCs w:val="20"/>
              </w:rPr>
              <w:t xml:space="preserve">UN Secretariat</w:t>
            </w:r>
          </w:p>
        </w:tc>
        <w:tc>
          <w:tcPr>
            <w:tcW w:type="dxa" w:w="1500"/>
            <w:tcBorders>
              <w:top w:val="single" w:color="BFBFBF" w:sz="1"/>
              <w:left w:val="single" w:color="BFBFBF" w:sz="1"/>
              <w:bottom w:val="single" w:color="BFBFBF" w:sz="1"/>
              <w:right w:val="single" w:color="BFBFBF" w:sz="1"/>
            </w:tcBorders>
            <w:tcMar>
              <w:top w:type="dxa" w:w="100"/>
              <w:left w:type="dxa" w:w="120"/>
              <w:bottom w:type="dxa" w:w="100"/>
              <w:right w:type="dxa" w:w="120"/>
            </w:tcMar>
          </w:tcPr>
          <w:p>
            <w:pPr>
              <w:spacing w:after="40"/>
            </w:pPr>
            <w:r>
              <w:rPr>
                <w:rFonts w:ascii="Arial" w:cs="Arial" w:eastAsia="Arial" w:hAnsi="Arial"/>
                <w:color w:val="1F1F1F"/>
                <w:sz w:val="20"/>
                <w:szCs w:val="20"/>
              </w:rPr>
              <w:t xml:space="preserve">526</w:t>
            </w:r>
          </w:p>
        </w:tc>
        <w:tc>
          <w:tcPr>
            <w:tcW w:type="dxa" w:w="1500"/>
            <w:tcBorders>
              <w:top w:val="single" w:color="BFBFBF" w:sz="1"/>
              <w:left w:val="single" w:color="BFBFBF" w:sz="1"/>
              <w:bottom w:val="single" w:color="BFBFBF" w:sz="1"/>
              <w:right w:val="single" w:color="BFBFBF" w:sz="1"/>
            </w:tcBorders>
            <w:tcMar>
              <w:top w:type="dxa" w:w="100"/>
              <w:left w:type="dxa" w:w="120"/>
              <w:bottom w:type="dxa" w:w="100"/>
              <w:right w:type="dxa" w:w="120"/>
            </w:tcMar>
          </w:tcPr>
          <w:p>
            <w:pPr>
              <w:spacing w:after="40"/>
            </w:pPr>
            <w:r>
              <w:rPr>
                <w:rFonts w:ascii="Arial" w:cs="Arial" w:eastAsia="Arial" w:hAnsi="Arial"/>
                <w:color w:val="1F1F1F"/>
                <w:sz w:val="20"/>
                <w:szCs w:val="20"/>
              </w:rPr>
              <w:t xml:space="preserve">21</w:t>
            </w:r>
          </w:p>
        </w:tc>
        <w:tc>
          <w:tcPr>
            <w:tcW w:type="dxa" w:w="1500"/>
            <w:tcBorders>
              <w:top w:val="single" w:color="BFBFBF" w:sz="1"/>
              <w:left w:val="single" w:color="BFBFBF" w:sz="1"/>
              <w:bottom w:val="single" w:color="BFBFBF" w:sz="1"/>
              <w:right w:val="single" w:color="BFBFBF" w:sz="1"/>
            </w:tcBorders>
            <w:tcMar>
              <w:top w:type="dxa" w:w="100"/>
              <w:left w:type="dxa" w:w="120"/>
              <w:bottom w:type="dxa" w:w="100"/>
              <w:right w:type="dxa" w:w="120"/>
            </w:tcMar>
          </w:tcPr>
          <w:p>
            <w:pPr>
              <w:spacing w:after="40"/>
            </w:pPr>
            <w:r>
              <w:rPr>
                <w:rFonts w:ascii="Arial" w:cs="Arial" w:eastAsia="Arial" w:hAnsi="Arial"/>
                <w:color w:val="1F1F1F"/>
                <w:sz w:val="20"/>
                <w:szCs w:val="20"/>
              </w:rPr>
              <w:t xml:space="preserve">4.0%</w:t>
            </w:r>
          </w:p>
        </w:tc>
      </w:tr>
      <w:tr>
        <w:tc>
          <w:tcPr>
            <w:tcW w:type="dxa" w:w="4000"/>
            <w:tcBorders>
              <w:top w:val="single" w:color="BFBFBF" w:sz="1"/>
              <w:left w:val="single" w:color="BFBFBF" w:sz="1"/>
              <w:bottom w:val="single" w:color="BFBFBF" w:sz="1"/>
              <w:right w:val="single" w:color="BFBFBF" w:sz="1"/>
            </w:tcBorders>
            <w:tcMar>
              <w:top w:type="dxa" w:w="100"/>
              <w:left w:type="dxa" w:w="120"/>
              <w:bottom w:type="dxa" w:w="100"/>
              <w:right w:type="dxa" w:w="120"/>
            </w:tcMar>
          </w:tcPr>
          <w:p>
            <w:pPr>
              <w:spacing w:after="40"/>
            </w:pPr>
            <w:r>
              <w:rPr>
                <w:rFonts w:ascii="Arial" w:cs="Arial" w:eastAsia="Arial" w:hAnsi="Arial"/>
                <w:color w:val="1F1F1F"/>
                <w:sz w:val="20"/>
                <w:szCs w:val="20"/>
              </w:rPr>
              <w:t xml:space="preserve">UN Funds &amp; Programmes</w:t>
            </w:r>
          </w:p>
        </w:tc>
        <w:tc>
          <w:tcPr>
            <w:tcW w:type="dxa" w:w="1500"/>
            <w:tcBorders>
              <w:top w:val="single" w:color="BFBFBF" w:sz="1"/>
              <w:left w:val="single" w:color="BFBFBF" w:sz="1"/>
              <w:bottom w:val="single" w:color="BFBFBF" w:sz="1"/>
              <w:right w:val="single" w:color="BFBFBF" w:sz="1"/>
            </w:tcBorders>
            <w:tcMar>
              <w:top w:type="dxa" w:w="100"/>
              <w:left w:type="dxa" w:w="120"/>
              <w:bottom w:type="dxa" w:w="100"/>
              <w:right w:type="dxa" w:w="120"/>
            </w:tcMar>
          </w:tcPr>
          <w:p>
            <w:pPr>
              <w:spacing w:after="40"/>
            </w:pPr>
            <w:r>
              <w:rPr>
                <w:rFonts w:ascii="Arial" w:cs="Arial" w:eastAsia="Arial" w:hAnsi="Arial"/>
                <w:color w:val="1F1F1F"/>
                <w:sz w:val="20"/>
                <w:szCs w:val="20"/>
              </w:rPr>
              <w:t xml:space="preserve">257</w:t>
            </w:r>
          </w:p>
        </w:tc>
        <w:tc>
          <w:tcPr>
            <w:tcW w:type="dxa" w:w="1500"/>
            <w:tcBorders>
              <w:top w:val="single" w:color="BFBFBF" w:sz="1"/>
              <w:left w:val="single" w:color="BFBFBF" w:sz="1"/>
              <w:bottom w:val="single" w:color="BFBFBF" w:sz="1"/>
              <w:right w:val="single" w:color="BFBFBF" w:sz="1"/>
            </w:tcBorders>
            <w:tcMar>
              <w:top w:type="dxa" w:w="100"/>
              <w:left w:type="dxa" w:w="120"/>
              <w:bottom w:type="dxa" w:w="100"/>
              <w:right w:type="dxa" w:w="120"/>
            </w:tcMar>
          </w:tcPr>
          <w:p>
            <w:pPr>
              <w:spacing w:after="40"/>
            </w:pPr>
            <w:r>
              <w:rPr>
                <w:rFonts w:ascii="Arial" w:cs="Arial" w:eastAsia="Arial" w:hAnsi="Arial"/>
                <w:color w:val="1F1F1F"/>
                <w:sz w:val="20"/>
                <w:szCs w:val="20"/>
              </w:rPr>
              <w:t xml:space="preserve">14</w:t>
            </w:r>
          </w:p>
        </w:tc>
        <w:tc>
          <w:tcPr>
            <w:tcW w:type="dxa" w:w="1500"/>
            <w:tcBorders>
              <w:top w:val="single" w:color="BFBFBF" w:sz="1"/>
              <w:left w:val="single" w:color="BFBFBF" w:sz="1"/>
              <w:bottom w:val="single" w:color="BFBFBF" w:sz="1"/>
              <w:right w:val="single" w:color="BFBFBF" w:sz="1"/>
            </w:tcBorders>
            <w:tcMar>
              <w:top w:type="dxa" w:w="100"/>
              <w:left w:type="dxa" w:w="120"/>
              <w:bottom w:type="dxa" w:w="100"/>
              <w:right w:type="dxa" w:w="120"/>
            </w:tcMar>
          </w:tcPr>
          <w:p>
            <w:pPr>
              <w:spacing w:after="40"/>
            </w:pPr>
            <w:r>
              <w:rPr>
                <w:rFonts w:ascii="Arial" w:cs="Arial" w:eastAsia="Arial" w:hAnsi="Arial"/>
                <w:color w:val="1F1F1F"/>
                <w:sz w:val="20"/>
                <w:szCs w:val="20"/>
              </w:rPr>
              <w:t xml:space="preserve">5.4%</w:t>
            </w:r>
          </w:p>
        </w:tc>
      </w:tr>
      <w:tr>
        <w:tc>
          <w:tcPr>
            <w:tcW w:type="dxa" w:w="4000"/>
            <w:tcBorders>
              <w:top w:val="single" w:color="BFBFBF" w:sz="1"/>
              <w:left w:val="single" w:color="BFBFBF" w:sz="1"/>
              <w:bottom w:val="single" w:color="BFBFBF" w:sz="1"/>
              <w:right w:val="single" w:color="BFBFBF" w:sz="1"/>
            </w:tcBorders>
            <w:tcMar>
              <w:top w:type="dxa" w:w="100"/>
              <w:left w:type="dxa" w:w="120"/>
              <w:bottom w:type="dxa" w:w="100"/>
              <w:right w:type="dxa" w:w="120"/>
            </w:tcMar>
          </w:tcPr>
          <w:p>
            <w:pPr>
              <w:spacing w:after="40"/>
            </w:pPr>
            <w:r>
              <w:rPr>
                <w:rFonts w:ascii="Arial" w:cs="Arial" w:eastAsia="Arial" w:hAnsi="Arial"/>
                <w:color w:val="1F1F1F"/>
                <w:sz w:val="20"/>
                <w:szCs w:val="20"/>
              </w:rPr>
              <w:t xml:space="preserve">UN Specialised Agencies (technical)</w:t>
            </w:r>
          </w:p>
        </w:tc>
        <w:tc>
          <w:tcPr>
            <w:tcW w:type="dxa" w:w="1500"/>
            <w:tcBorders>
              <w:top w:val="single" w:color="BFBFBF" w:sz="1"/>
              <w:left w:val="single" w:color="BFBFBF" w:sz="1"/>
              <w:bottom w:val="single" w:color="BFBFBF" w:sz="1"/>
              <w:right w:val="single" w:color="BFBFBF" w:sz="1"/>
            </w:tcBorders>
            <w:tcMar>
              <w:top w:type="dxa" w:w="100"/>
              <w:left w:type="dxa" w:w="120"/>
              <w:bottom w:type="dxa" w:w="100"/>
              <w:right w:type="dxa" w:w="120"/>
            </w:tcMar>
          </w:tcPr>
          <w:p>
            <w:pPr>
              <w:spacing w:after="40"/>
            </w:pPr>
            <w:r>
              <w:rPr>
                <w:rFonts w:ascii="Arial" w:cs="Arial" w:eastAsia="Arial" w:hAnsi="Arial"/>
                <w:color w:val="1F1F1F"/>
                <w:sz w:val="20"/>
                <w:szCs w:val="20"/>
              </w:rPr>
              <w:t xml:space="preserve">23</w:t>
            </w:r>
          </w:p>
        </w:tc>
        <w:tc>
          <w:tcPr>
            <w:tcW w:type="dxa" w:w="1500"/>
            <w:tcBorders>
              <w:top w:val="single" w:color="BFBFBF" w:sz="1"/>
              <w:left w:val="single" w:color="BFBFBF" w:sz="1"/>
              <w:bottom w:val="single" w:color="BFBFBF" w:sz="1"/>
              <w:right w:val="single" w:color="BFBFBF" w:sz="1"/>
            </w:tcBorders>
            <w:tcMar>
              <w:top w:type="dxa" w:w="100"/>
              <w:left w:type="dxa" w:w="120"/>
              <w:bottom w:type="dxa" w:w="100"/>
              <w:right w:type="dxa" w:w="120"/>
            </w:tcMar>
          </w:tcPr>
          <w:p>
            <w:pPr>
              <w:spacing w:after="40"/>
            </w:pPr>
            <w:r>
              <w:rPr>
                <w:rFonts w:ascii="Arial" w:cs="Arial" w:eastAsia="Arial" w:hAnsi="Arial"/>
                <w:color w:val="1F1F1F"/>
                <w:sz w:val="20"/>
                <w:szCs w:val="20"/>
              </w:rPr>
              <w:t xml:space="preserve">2</w:t>
            </w:r>
          </w:p>
        </w:tc>
        <w:tc>
          <w:tcPr>
            <w:tcW w:type="dxa" w:w="1500"/>
            <w:tcBorders>
              <w:top w:val="single" w:color="BFBFBF" w:sz="1"/>
              <w:left w:val="single" w:color="BFBFBF" w:sz="1"/>
              <w:bottom w:val="single" w:color="BFBFBF" w:sz="1"/>
              <w:right w:val="single" w:color="BFBFBF" w:sz="1"/>
            </w:tcBorders>
            <w:tcMar>
              <w:top w:type="dxa" w:w="100"/>
              <w:left w:type="dxa" w:w="120"/>
              <w:bottom w:type="dxa" w:w="100"/>
              <w:right w:type="dxa" w:w="120"/>
            </w:tcMar>
          </w:tcPr>
          <w:p>
            <w:pPr>
              <w:spacing w:after="40"/>
            </w:pPr>
            <w:r>
              <w:rPr>
                <w:rFonts w:ascii="Arial" w:cs="Arial" w:eastAsia="Arial" w:hAnsi="Arial"/>
                <w:color w:val="1F1F1F"/>
                <w:sz w:val="20"/>
                <w:szCs w:val="20"/>
              </w:rPr>
              <w:t xml:space="preserve">8.7%</w:t>
            </w:r>
          </w:p>
        </w:tc>
      </w:tr>
      <w:tr>
        <w:tc>
          <w:tcPr>
            <w:tcW w:type="dxa" w:w="4000"/>
            <w:tcBorders>
              <w:top w:val="single" w:color="BFBFBF" w:sz="1"/>
              <w:left w:val="single" w:color="BFBFBF" w:sz="1"/>
              <w:bottom w:val="single" w:color="BFBFBF" w:sz="1"/>
              <w:right w:val="single" w:color="BFBFBF" w:sz="1"/>
            </w:tcBorders>
            <w:tcMar>
              <w:top w:type="dxa" w:w="100"/>
              <w:left w:type="dxa" w:w="120"/>
              <w:bottom w:type="dxa" w:w="100"/>
              <w:right w:type="dxa" w:w="120"/>
            </w:tcMar>
          </w:tcPr>
          <w:p>
            <w:pPr>
              <w:spacing w:after="40"/>
            </w:pPr>
            <w:r>
              <w:rPr>
                <w:rFonts w:ascii="Arial" w:cs="Arial" w:eastAsia="Arial" w:hAnsi="Arial"/>
                <w:color w:val="1F1F1F"/>
                <w:sz w:val="20"/>
                <w:szCs w:val="20"/>
              </w:rPr>
              <w:t xml:space="preserve">UN Specialised Agencies (other)</w:t>
            </w:r>
          </w:p>
        </w:tc>
        <w:tc>
          <w:tcPr>
            <w:tcW w:type="dxa" w:w="1500"/>
            <w:tcBorders>
              <w:top w:val="single" w:color="BFBFBF" w:sz="1"/>
              <w:left w:val="single" w:color="BFBFBF" w:sz="1"/>
              <w:bottom w:val="single" w:color="BFBFBF" w:sz="1"/>
              <w:right w:val="single" w:color="BFBFBF" w:sz="1"/>
            </w:tcBorders>
            <w:tcMar>
              <w:top w:type="dxa" w:w="100"/>
              <w:left w:type="dxa" w:w="120"/>
              <w:bottom w:type="dxa" w:w="100"/>
              <w:right w:type="dxa" w:w="120"/>
            </w:tcMar>
          </w:tcPr>
          <w:p>
            <w:pPr>
              <w:spacing w:after="40"/>
            </w:pPr>
            <w:r>
              <w:rPr>
                <w:rFonts w:ascii="Arial" w:cs="Arial" w:eastAsia="Arial" w:hAnsi="Arial"/>
                <w:color w:val="1F1F1F"/>
                <w:sz w:val="20"/>
                <w:szCs w:val="20"/>
              </w:rPr>
              <w:t xml:space="preserve">33</w:t>
            </w:r>
          </w:p>
        </w:tc>
        <w:tc>
          <w:tcPr>
            <w:tcW w:type="dxa" w:w="1500"/>
            <w:tcBorders>
              <w:top w:val="single" w:color="BFBFBF" w:sz="1"/>
              <w:left w:val="single" w:color="BFBFBF" w:sz="1"/>
              <w:bottom w:val="single" w:color="BFBFBF" w:sz="1"/>
              <w:right w:val="single" w:color="BFBFBF" w:sz="1"/>
            </w:tcBorders>
            <w:tcMar>
              <w:top w:type="dxa" w:w="100"/>
              <w:left w:type="dxa" w:w="120"/>
              <w:bottom w:type="dxa" w:w="100"/>
              <w:right w:type="dxa" w:w="120"/>
            </w:tcMar>
          </w:tcPr>
          <w:p>
            <w:pPr>
              <w:spacing w:after="40"/>
            </w:pPr>
            <w:r>
              <w:rPr>
                <w:rFonts w:ascii="Arial" w:cs="Arial" w:eastAsia="Arial" w:hAnsi="Arial"/>
                <w:color w:val="1F1F1F"/>
                <w:sz w:val="20"/>
                <w:szCs w:val="20"/>
              </w:rPr>
              <w:t xml:space="preserve">3</w:t>
            </w:r>
          </w:p>
        </w:tc>
        <w:tc>
          <w:tcPr>
            <w:tcW w:type="dxa" w:w="1500"/>
            <w:tcBorders>
              <w:top w:val="single" w:color="BFBFBF" w:sz="1"/>
              <w:left w:val="single" w:color="BFBFBF" w:sz="1"/>
              <w:bottom w:val="single" w:color="BFBFBF" w:sz="1"/>
              <w:right w:val="single" w:color="BFBFBF" w:sz="1"/>
            </w:tcBorders>
            <w:tcMar>
              <w:top w:type="dxa" w:w="100"/>
              <w:left w:type="dxa" w:w="120"/>
              <w:bottom w:type="dxa" w:w="100"/>
              <w:right w:type="dxa" w:w="120"/>
            </w:tcMar>
          </w:tcPr>
          <w:p>
            <w:pPr>
              <w:spacing w:after="40"/>
            </w:pPr>
            <w:r>
              <w:rPr>
                <w:rFonts w:ascii="Arial" w:cs="Arial" w:eastAsia="Arial" w:hAnsi="Arial"/>
                <w:color w:val="1F1F1F"/>
                <w:sz w:val="20"/>
                <w:szCs w:val="20"/>
              </w:rPr>
              <w:t xml:space="preserve">9.1%</w:t>
            </w:r>
          </w:p>
        </w:tc>
      </w:tr>
      <w:tr>
        <w:tc>
          <w:tcPr>
            <w:tcW w:type="dxa" w:w="4000"/>
            <w:tcBorders>
              <w:top w:val="single" w:color="BFBFBF" w:sz="1"/>
              <w:left w:val="single" w:color="BFBFBF" w:sz="1"/>
              <w:bottom w:val="single" w:color="BFBFBF" w:sz="1"/>
              <w:right w:val="single" w:color="BFBFBF" w:sz="1"/>
            </w:tcBorders>
            <w:shd w:fill="FFF2CC" w:color="auto" w:val="clear"/>
            <w:tcMar>
              <w:top w:type="dxa" w:w="100"/>
              <w:left w:type="dxa" w:w="120"/>
              <w:bottom w:type="dxa" w:w="100"/>
              <w:right w:type="dxa" w:w="120"/>
            </w:tcMar>
          </w:tcPr>
          <w:p>
            <w:pPr>
              <w:spacing w:after="40"/>
            </w:pPr>
            <w:r>
              <w:rPr>
                <w:rFonts w:ascii="Arial" w:cs="Arial" w:eastAsia="Arial" w:hAnsi="Arial"/>
                <w:color w:val="1F1F1F"/>
                <w:sz w:val="20"/>
                <w:szCs w:val="20"/>
              </w:rPr>
              <w:t xml:space="preserve">Bretton Woods / IFI</w:t>
            </w:r>
          </w:p>
        </w:tc>
        <w:tc>
          <w:tcPr>
            <w:tcW w:type="dxa" w:w="1500"/>
            <w:tcBorders>
              <w:top w:val="single" w:color="BFBFBF" w:sz="1"/>
              <w:left w:val="single" w:color="BFBFBF" w:sz="1"/>
              <w:bottom w:val="single" w:color="BFBFBF" w:sz="1"/>
              <w:right w:val="single" w:color="BFBFBF" w:sz="1"/>
            </w:tcBorders>
            <w:shd w:fill="FFF2CC" w:color="auto" w:val="clear"/>
            <w:tcMar>
              <w:top w:type="dxa" w:w="100"/>
              <w:left w:type="dxa" w:w="120"/>
              <w:bottom w:type="dxa" w:w="100"/>
              <w:right w:type="dxa" w:w="120"/>
            </w:tcMar>
          </w:tcPr>
          <w:p>
            <w:pPr>
              <w:spacing w:after="40"/>
            </w:pPr>
            <w:r>
              <w:rPr>
                <w:rFonts w:ascii="Arial" w:cs="Arial" w:eastAsia="Arial" w:hAnsi="Arial"/>
                <w:color w:val="1F1F1F"/>
                <w:sz w:val="20"/>
                <w:szCs w:val="20"/>
              </w:rPr>
              <w:t xml:space="preserve">17</w:t>
            </w:r>
          </w:p>
        </w:tc>
        <w:tc>
          <w:tcPr>
            <w:tcW w:type="dxa" w:w="1500"/>
            <w:tcBorders>
              <w:top w:val="single" w:color="BFBFBF" w:sz="1"/>
              <w:left w:val="single" w:color="BFBFBF" w:sz="1"/>
              <w:bottom w:val="single" w:color="BFBFBF" w:sz="1"/>
              <w:right w:val="single" w:color="BFBFBF" w:sz="1"/>
            </w:tcBorders>
            <w:shd w:fill="FFF2CC" w:color="auto" w:val="clear"/>
            <w:tcMar>
              <w:top w:type="dxa" w:w="100"/>
              <w:left w:type="dxa" w:w="120"/>
              <w:bottom w:type="dxa" w:w="100"/>
              <w:right w:type="dxa" w:w="120"/>
            </w:tcMar>
          </w:tcPr>
          <w:p>
            <w:pPr>
              <w:spacing w:after="40"/>
            </w:pPr>
            <w:r>
              <w:rPr>
                <w:rFonts w:ascii="Arial" w:cs="Arial" w:eastAsia="Arial" w:hAnsi="Arial"/>
                <w:color w:val="1F1F1F"/>
                <w:sz w:val="20"/>
                <w:szCs w:val="20"/>
              </w:rPr>
              <w:t xml:space="preserve">6</w:t>
            </w:r>
          </w:p>
        </w:tc>
        <w:tc>
          <w:tcPr>
            <w:tcW w:type="dxa" w:w="1500"/>
            <w:tcBorders>
              <w:top w:val="single" w:color="BFBFBF" w:sz="1"/>
              <w:left w:val="single" w:color="BFBFBF" w:sz="1"/>
              <w:bottom w:val="single" w:color="BFBFBF" w:sz="1"/>
              <w:right w:val="single" w:color="BFBFBF" w:sz="1"/>
            </w:tcBorders>
            <w:shd w:fill="FFF2CC" w:color="auto" w:val="clear"/>
            <w:tcMar>
              <w:top w:type="dxa" w:w="100"/>
              <w:left w:type="dxa" w:w="120"/>
              <w:bottom w:type="dxa" w:w="100"/>
              <w:right w:type="dxa" w:w="120"/>
            </w:tcMar>
          </w:tcPr>
          <w:p>
            <w:pPr>
              <w:spacing w:after="40"/>
            </w:pPr>
            <w:r>
              <w:rPr>
                <w:rFonts w:ascii="Arial" w:cs="Arial" w:eastAsia="Arial" w:hAnsi="Arial"/>
                <w:color w:val="1F1F1F"/>
                <w:sz w:val="20"/>
                <w:szCs w:val="20"/>
              </w:rPr>
              <w:t xml:space="preserve">35.3%</w:t>
            </w:r>
          </w:p>
        </w:tc>
      </w:tr>
      <w:tr>
        <w:tc>
          <w:tcPr>
            <w:tcW w:type="dxa" w:w="4000"/>
            <w:tcBorders>
              <w:top w:val="single" w:color="BFBFBF" w:sz="1"/>
              <w:left w:val="single" w:color="BFBFBF" w:sz="1"/>
              <w:bottom w:val="single" w:color="BFBFBF" w:sz="1"/>
              <w:right w:val="single" w:color="BFBFBF" w:sz="1"/>
            </w:tcBorders>
            <w:shd w:fill="FFF2CC" w:color="auto" w:val="clear"/>
            <w:tcMar>
              <w:top w:type="dxa" w:w="100"/>
              <w:left w:type="dxa" w:w="120"/>
              <w:bottom w:type="dxa" w:w="100"/>
              <w:right w:type="dxa" w:w="120"/>
            </w:tcMar>
          </w:tcPr>
          <w:p>
            <w:pPr>
              <w:spacing w:after="40"/>
            </w:pPr>
            <w:r>
              <w:rPr>
                <w:rFonts w:ascii="Arial" w:cs="Arial" w:eastAsia="Arial" w:hAnsi="Arial"/>
                <w:color w:val="1F1F1F"/>
                <w:sz w:val="20"/>
                <w:szCs w:val="20"/>
              </w:rPr>
              <w:t xml:space="preserve">Private sector ICT (Cisco/G7)</w:t>
            </w:r>
          </w:p>
        </w:tc>
        <w:tc>
          <w:tcPr>
            <w:tcW w:type="dxa" w:w="1500"/>
            <w:tcBorders>
              <w:top w:val="single" w:color="BFBFBF" w:sz="1"/>
              <w:left w:val="single" w:color="BFBFBF" w:sz="1"/>
              <w:bottom w:val="single" w:color="BFBFBF" w:sz="1"/>
              <w:right w:val="single" w:color="BFBFBF" w:sz="1"/>
            </w:tcBorders>
            <w:shd w:fill="FFF2CC" w:color="auto" w:val="clear"/>
            <w:tcMar>
              <w:top w:type="dxa" w:w="100"/>
              <w:left w:type="dxa" w:w="120"/>
              <w:bottom w:type="dxa" w:w="100"/>
              <w:right w:type="dxa" w:w="120"/>
            </w:tcMar>
          </w:tcPr>
          <w:p>
            <w:pPr>
              <w:spacing w:after="40"/>
            </w:pPr>
            <w:r>
              <w:rPr>
                <w:rFonts w:ascii="Arial" w:cs="Arial" w:eastAsia="Arial" w:hAnsi="Arial"/>
                <w:color w:val="1F1F1F"/>
                <w:sz w:val="20"/>
                <w:szCs w:val="20"/>
              </w:rPr>
              <w:t xml:space="preserve">—</w:t>
            </w:r>
          </w:p>
        </w:tc>
        <w:tc>
          <w:tcPr>
            <w:tcW w:type="dxa" w:w="1500"/>
            <w:tcBorders>
              <w:top w:val="single" w:color="BFBFBF" w:sz="1"/>
              <w:left w:val="single" w:color="BFBFBF" w:sz="1"/>
              <w:bottom w:val="single" w:color="BFBFBF" w:sz="1"/>
              <w:right w:val="single" w:color="BFBFBF" w:sz="1"/>
            </w:tcBorders>
            <w:shd w:fill="FFF2CC" w:color="auto" w:val="clear"/>
            <w:tcMar>
              <w:top w:type="dxa" w:w="100"/>
              <w:left w:type="dxa" w:w="120"/>
              <w:bottom w:type="dxa" w:w="100"/>
              <w:right w:type="dxa" w:w="120"/>
            </w:tcMar>
          </w:tcPr>
          <w:p>
            <w:pPr>
              <w:spacing w:after="40"/>
            </w:pPr>
            <w:r>
              <w:rPr>
                <w:rFonts w:ascii="Arial" w:cs="Arial" w:eastAsia="Arial" w:hAnsi="Arial"/>
                <w:color w:val="1F1F1F"/>
                <w:sz w:val="20"/>
                <w:szCs w:val="20"/>
              </w:rPr>
              <w:t xml:space="preserve">—</w:t>
            </w:r>
          </w:p>
        </w:tc>
        <w:tc>
          <w:tcPr>
            <w:tcW w:type="dxa" w:w="1500"/>
            <w:tcBorders>
              <w:top w:val="single" w:color="BFBFBF" w:sz="1"/>
              <w:left w:val="single" w:color="BFBFBF" w:sz="1"/>
              <w:bottom w:val="single" w:color="BFBFBF" w:sz="1"/>
              <w:right w:val="single" w:color="BFBFBF" w:sz="1"/>
            </w:tcBorders>
            <w:shd w:fill="FFF2CC" w:color="auto" w:val="clear"/>
            <w:tcMar>
              <w:top w:type="dxa" w:w="100"/>
              <w:left w:type="dxa" w:w="120"/>
              <w:bottom w:type="dxa" w:w="100"/>
              <w:right w:type="dxa" w:w="120"/>
            </w:tcMar>
          </w:tcPr>
          <w:p>
            <w:pPr>
              <w:spacing w:after="40"/>
            </w:pPr>
            <w:r>
              <w:rPr>
                <w:rFonts w:ascii="Arial" w:cs="Arial" w:eastAsia="Arial" w:hAnsi="Arial"/>
                <w:color w:val="1F1F1F"/>
                <w:sz w:val="20"/>
                <w:szCs w:val="20"/>
              </w:rPr>
              <w:t xml:space="preserve">78.0%</w:t>
            </w:r>
          </w:p>
        </w:tc>
      </w:tr>
    </w:tbl>
    <w:p>
      <w:pPr>
        <w:spacing w:after="80"/>
      </w:pPr>
      <w:r>
        <w:t xml:space="preserve"/>
      </w:r>
    </w:p>
    <w:p>
      <w:pPr>
        <w:spacing w:after="160" w:line="300" w:lineRule="auto"/>
        <w:jc w:val="both"/>
      </w:pPr>
      <w:r>
        <w:rPr>
          <w:rFonts w:ascii="Arial" w:cs="Arial" w:eastAsia="Arial" w:hAnsi="Arial"/>
          <w:color w:val="1F1F1F"/>
          <w:sz w:val="22"/>
          <w:szCs w:val="22"/>
        </w:rPr>
        <w:t xml:space="preserve">The UN Secretariat at 4.0% across n=526 is the most reliably-measured cohort and the natural analogue to UNICC's institutional position. UNICC at 1.9% sits below this figure even on the favourable stock-versus-flow comparison. The Bretton Woods cohort at 35.3% is dominated by World Bank Group (15 of 17 postings); the UN Funds &amp; Programmes group at 5.4% is largely carried by UNDP and UNOPS, with other agencies in the group sitting at or below the Secretariat rate.</w:t>
      </w:r>
    </w:p>
    <w:p>
      <w:pPr>
        <w:pStyle w:val="Heading2"/>
        <w:spacing w:after="140" w:before="240"/>
      </w:pPr>
      <w:r>
        <w:rPr>
          <w:rFonts w:ascii="Arial" w:cs="Arial" w:eastAsia="Arial" w:hAnsi="Arial"/>
          <w:b/>
          <w:bCs/>
          <w:color w:val="1F4E79"/>
          <w:sz w:val="26"/>
          <w:szCs w:val="26"/>
        </w:rPr>
        <w:t xml:space="preserve">3.2 Agency level</w:t>
      </w:r>
    </w:p>
    <w:p>
      <w:pPr>
        <w:spacing w:after="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1500"/>
        <w:gridCol w:w="1500"/>
        <w:gridCol w:w="1500"/>
      </w:tblGrid>
      <w:tr>
        <w:trPr>
          <w:tblHeader/>
        </w:trPr>
        <w:tc>
          <w:tcPr>
            <w:tcW w:type="dxa" w:w="4500"/>
            <w:tcBorders>
              <w:top w:val="single" w:color="BFBFBF" w:sz="1"/>
              <w:left w:val="single" w:color="BFBFBF" w:sz="1"/>
              <w:bottom w:val="single" w:color="BFBFBF" w:sz="1"/>
              <w:right w:val="single" w:color="BFBFBF" w:sz="1"/>
            </w:tcBorders>
            <w:shd w:fill="D5E8F0" w:color="auto" w:val="clear"/>
            <w:tcMar>
              <w:top w:type="dxa" w:w="100"/>
              <w:left w:type="dxa" w:w="120"/>
              <w:bottom w:type="dxa" w:w="100"/>
              <w:right w:type="dxa" w:w="120"/>
            </w:tcMar>
          </w:tcPr>
          <w:p>
            <w:pPr>
              <w:spacing w:after="0"/>
            </w:pPr>
            <w:r>
              <w:rPr>
                <w:rFonts w:ascii="Arial" w:cs="Arial" w:eastAsia="Arial" w:hAnsi="Arial"/>
                <w:b/>
                <w:bCs/>
                <w:color w:val="1F1F1F"/>
                <w:sz w:val="20"/>
                <w:szCs w:val="20"/>
              </w:rPr>
              <w:t xml:space="preserve">Agency</w:t>
            </w:r>
          </w:p>
        </w:tc>
        <w:tc>
          <w:tcPr>
            <w:tcW w:type="dxa" w:w="1500"/>
            <w:tcBorders>
              <w:top w:val="single" w:color="BFBFBF" w:sz="1"/>
              <w:left w:val="single" w:color="BFBFBF" w:sz="1"/>
              <w:bottom w:val="single" w:color="BFBFBF" w:sz="1"/>
              <w:right w:val="single" w:color="BFBFBF" w:sz="1"/>
            </w:tcBorders>
            <w:shd w:fill="D5E8F0" w:color="auto" w:val="clear"/>
            <w:tcMar>
              <w:top w:type="dxa" w:w="100"/>
              <w:left w:type="dxa" w:w="120"/>
              <w:bottom w:type="dxa" w:w="100"/>
              <w:right w:type="dxa" w:w="120"/>
            </w:tcMar>
          </w:tcPr>
          <w:p>
            <w:pPr>
              <w:spacing w:after="0"/>
            </w:pPr>
            <w:r>
              <w:rPr>
                <w:rFonts w:ascii="Arial" w:cs="Arial" w:eastAsia="Arial" w:hAnsi="Arial"/>
                <w:b/>
                <w:bCs/>
                <w:color w:val="1F1F1F"/>
                <w:sz w:val="20"/>
                <w:szCs w:val="20"/>
              </w:rPr>
              <w:t xml:space="preserve">Tech postings</w:t>
            </w:r>
          </w:p>
        </w:tc>
        <w:tc>
          <w:tcPr>
            <w:tcW w:type="dxa" w:w="1500"/>
            <w:tcBorders>
              <w:top w:val="single" w:color="BFBFBF" w:sz="1"/>
              <w:left w:val="single" w:color="BFBFBF" w:sz="1"/>
              <w:bottom w:val="single" w:color="BFBFBF" w:sz="1"/>
              <w:right w:val="single" w:color="BFBFBF" w:sz="1"/>
            </w:tcBorders>
            <w:shd w:fill="D5E8F0" w:color="auto" w:val="clear"/>
            <w:tcMar>
              <w:top w:type="dxa" w:w="100"/>
              <w:left w:type="dxa" w:w="120"/>
              <w:bottom w:type="dxa" w:w="100"/>
              <w:right w:type="dxa" w:w="120"/>
            </w:tcMar>
          </w:tcPr>
          <w:p>
            <w:pPr>
              <w:spacing w:after="0"/>
            </w:pPr>
            <w:r>
              <w:rPr>
                <w:rFonts w:ascii="Arial" w:cs="Arial" w:eastAsia="Arial" w:hAnsi="Arial"/>
                <w:b/>
                <w:bCs/>
                <w:color w:val="1F1F1F"/>
                <w:sz w:val="20"/>
                <w:szCs w:val="20"/>
              </w:rPr>
              <w:t xml:space="preserve">AI-Core</w:t>
            </w:r>
          </w:p>
        </w:tc>
        <w:tc>
          <w:tcPr>
            <w:tcW w:type="dxa" w:w="1500"/>
            <w:tcBorders>
              <w:top w:val="single" w:color="BFBFBF" w:sz="1"/>
              <w:left w:val="single" w:color="BFBFBF" w:sz="1"/>
              <w:bottom w:val="single" w:color="BFBFBF" w:sz="1"/>
              <w:right w:val="single" w:color="BFBFBF" w:sz="1"/>
            </w:tcBorders>
            <w:shd w:fill="D5E8F0" w:color="auto" w:val="clear"/>
            <w:tcMar>
              <w:top w:type="dxa" w:w="100"/>
              <w:left w:type="dxa" w:w="120"/>
              <w:bottom w:type="dxa" w:w="100"/>
              <w:right w:type="dxa" w:w="120"/>
            </w:tcMar>
          </w:tcPr>
          <w:p>
            <w:pPr>
              <w:spacing w:after="0"/>
            </w:pPr>
            <w:r>
              <w:rPr>
                <w:rFonts w:ascii="Arial" w:cs="Arial" w:eastAsia="Arial" w:hAnsi="Arial"/>
                <w:b/>
                <w:bCs/>
                <w:color w:val="1F1F1F"/>
                <w:sz w:val="20"/>
                <w:szCs w:val="20"/>
              </w:rPr>
              <w:t xml:space="preserve">AI-Core %</w:t>
            </w:r>
          </w:p>
        </w:tc>
      </w:tr>
      <w:tr>
        <w:tc>
          <w:tcPr>
            <w:tcW w:type="dxa" w:w="4500"/>
            <w:tcBorders>
              <w:top w:val="single" w:color="BFBFBF" w:sz="1"/>
              <w:left w:val="single" w:color="BFBFBF" w:sz="1"/>
              <w:bottom w:val="single" w:color="BFBFBF" w:sz="1"/>
              <w:right w:val="single" w:color="BFBFBF" w:sz="1"/>
            </w:tcBorders>
            <w:shd w:fill="FFF2CC" w:color="auto" w:val="clear"/>
            <w:tcMar>
              <w:top w:type="dxa" w:w="100"/>
              <w:left w:type="dxa" w:w="120"/>
              <w:bottom w:type="dxa" w:w="100"/>
              <w:right w:type="dxa" w:w="120"/>
            </w:tcMar>
          </w:tcPr>
          <w:p>
            <w:pPr>
              <w:spacing w:after="40"/>
            </w:pPr>
            <w:r>
              <w:rPr>
                <w:rFonts w:ascii="Arial" w:cs="Arial" w:eastAsia="Arial" w:hAnsi="Arial"/>
                <w:color w:val="1F1F1F"/>
                <w:sz w:val="20"/>
                <w:szCs w:val="20"/>
              </w:rPr>
              <w:t xml:space="preserve">World Bank Group</w:t>
            </w:r>
          </w:p>
        </w:tc>
        <w:tc>
          <w:tcPr>
            <w:tcW w:type="dxa" w:w="1500"/>
            <w:tcBorders>
              <w:top w:val="single" w:color="BFBFBF" w:sz="1"/>
              <w:left w:val="single" w:color="BFBFBF" w:sz="1"/>
              <w:bottom w:val="single" w:color="BFBFBF" w:sz="1"/>
              <w:right w:val="single" w:color="BFBFBF" w:sz="1"/>
            </w:tcBorders>
            <w:shd w:fill="FFF2CC" w:color="auto" w:val="clear"/>
            <w:tcMar>
              <w:top w:type="dxa" w:w="100"/>
              <w:left w:type="dxa" w:w="120"/>
              <w:bottom w:type="dxa" w:w="100"/>
              <w:right w:type="dxa" w:w="120"/>
            </w:tcMar>
          </w:tcPr>
          <w:p>
            <w:pPr>
              <w:spacing w:after="40"/>
            </w:pPr>
            <w:r>
              <w:rPr>
                <w:rFonts w:ascii="Arial" w:cs="Arial" w:eastAsia="Arial" w:hAnsi="Arial"/>
                <w:color w:val="1F1F1F"/>
                <w:sz w:val="20"/>
                <w:szCs w:val="20"/>
              </w:rPr>
              <w:t xml:space="preserve">15</w:t>
            </w:r>
          </w:p>
        </w:tc>
        <w:tc>
          <w:tcPr>
            <w:tcW w:type="dxa" w:w="1500"/>
            <w:tcBorders>
              <w:top w:val="single" w:color="BFBFBF" w:sz="1"/>
              <w:left w:val="single" w:color="BFBFBF" w:sz="1"/>
              <w:bottom w:val="single" w:color="BFBFBF" w:sz="1"/>
              <w:right w:val="single" w:color="BFBFBF" w:sz="1"/>
            </w:tcBorders>
            <w:shd w:fill="FFF2CC" w:color="auto" w:val="clear"/>
            <w:tcMar>
              <w:top w:type="dxa" w:w="100"/>
              <w:left w:type="dxa" w:w="120"/>
              <w:bottom w:type="dxa" w:w="100"/>
              <w:right w:type="dxa" w:w="120"/>
            </w:tcMar>
          </w:tcPr>
          <w:p>
            <w:pPr>
              <w:spacing w:after="40"/>
            </w:pPr>
            <w:r>
              <w:rPr>
                <w:rFonts w:ascii="Arial" w:cs="Arial" w:eastAsia="Arial" w:hAnsi="Arial"/>
                <w:color w:val="1F1F1F"/>
                <w:sz w:val="20"/>
                <w:szCs w:val="20"/>
              </w:rPr>
              <w:t xml:space="preserve">6</w:t>
            </w:r>
          </w:p>
        </w:tc>
        <w:tc>
          <w:tcPr>
            <w:tcW w:type="dxa" w:w="1500"/>
            <w:tcBorders>
              <w:top w:val="single" w:color="BFBFBF" w:sz="1"/>
              <w:left w:val="single" w:color="BFBFBF" w:sz="1"/>
              <w:bottom w:val="single" w:color="BFBFBF" w:sz="1"/>
              <w:right w:val="single" w:color="BFBFBF" w:sz="1"/>
            </w:tcBorders>
            <w:shd w:fill="FFF2CC" w:color="auto" w:val="clear"/>
            <w:tcMar>
              <w:top w:type="dxa" w:w="100"/>
              <w:left w:type="dxa" w:w="120"/>
              <w:bottom w:type="dxa" w:w="100"/>
              <w:right w:type="dxa" w:w="120"/>
            </w:tcMar>
          </w:tcPr>
          <w:p>
            <w:pPr>
              <w:spacing w:after="40"/>
            </w:pPr>
            <w:r>
              <w:rPr>
                <w:rFonts w:ascii="Arial" w:cs="Arial" w:eastAsia="Arial" w:hAnsi="Arial"/>
                <w:color w:val="1F1F1F"/>
                <w:sz w:val="20"/>
                <w:szCs w:val="20"/>
              </w:rPr>
              <w:t xml:space="preserve">40.0%</w:t>
            </w:r>
          </w:p>
        </w:tc>
      </w:tr>
      <w:tr>
        <w:tc>
          <w:tcPr>
            <w:tcW w:type="dxa" w:w="4500"/>
            <w:tcBorders>
              <w:top w:val="single" w:color="BFBFBF" w:sz="1"/>
              <w:left w:val="single" w:color="BFBFBF" w:sz="1"/>
              <w:bottom w:val="single" w:color="BFBFBF" w:sz="1"/>
              <w:right w:val="single" w:color="BFBFBF" w:sz="1"/>
            </w:tcBorders>
            <w:shd w:fill="FFF2CC" w:color="auto" w:val="clear"/>
            <w:tcMar>
              <w:top w:type="dxa" w:w="100"/>
              <w:left w:type="dxa" w:w="120"/>
              <w:bottom w:type="dxa" w:w="100"/>
              <w:right w:type="dxa" w:w="120"/>
            </w:tcMar>
          </w:tcPr>
          <w:p>
            <w:pPr>
              <w:spacing w:after="40"/>
            </w:pPr>
            <w:r>
              <w:rPr>
                <w:rFonts w:ascii="Arial" w:cs="Arial" w:eastAsia="Arial" w:hAnsi="Arial"/>
                <w:color w:val="1F1F1F"/>
                <w:sz w:val="20"/>
                <w:szCs w:val="20"/>
              </w:rPr>
              <w:t xml:space="preserve">UNDP</w:t>
            </w:r>
          </w:p>
        </w:tc>
        <w:tc>
          <w:tcPr>
            <w:tcW w:type="dxa" w:w="1500"/>
            <w:tcBorders>
              <w:top w:val="single" w:color="BFBFBF" w:sz="1"/>
              <w:left w:val="single" w:color="BFBFBF" w:sz="1"/>
              <w:bottom w:val="single" w:color="BFBFBF" w:sz="1"/>
              <w:right w:val="single" w:color="BFBFBF" w:sz="1"/>
            </w:tcBorders>
            <w:shd w:fill="FFF2CC" w:color="auto" w:val="clear"/>
            <w:tcMar>
              <w:top w:type="dxa" w:w="100"/>
              <w:left w:type="dxa" w:w="120"/>
              <w:bottom w:type="dxa" w:w="100"/>
              <w:right w:type="dxa" w:w="120"/>
            </w:tcMar>
          </w:tcPr>
          <w:p>
            <w:pPr>
              <w:spacing w:after="40"/>
            </w:pPr>
            <w:r>
              <w:rPr>
                <w:rFonts w:ascii="Arial" w:cs="Arial" w:eastAsia="Arial" w:hAnsi="Arial"/>
                <w:color w:val="1F1F1F"/>
                <w:sz w:val="20"/>
                <w:szCs w:val="20"/>
              </w:rPr>
              <w:t xml:space="preserve">17</w:t>
            </w:r>
          </w:p>
        </w:tc>
        <w:tc>
          <w:tcPr>
            <w:tcW w:type="dxa" w:w="1500"/>
            <w:tcBorders>
              <w:top w:val="single" w:color="BFBFBF" w:sz="1"/>
              <w:left w:val="single" w:color="BFBFBF" w:sz="1"/>
              <w:bottom w:val="single" w:color="BFBFBF" w:sz="1"/>
              <w:right w:val="single" w:color="BFBFBF" w:sz="1"/>
            </w:tcBorders>
            <w:shd w:fill="FFF2CC" w:color="auto" w:val="clear"/>
            <w:tcMar>
              <w:top w:type="dxa" w:w="100"/>
              <w:left w:type="dxa" w:w="120"/>
              <w:bottom w:type="dxa" w:w="100"/>
              <w:right w:type="dxa" w:w="120"/>
            </w:tcMar>
          </w:tcPr>
          <w:p>
            <w:pPr>
              <w:spacing w:after="40"/>
            </w:pPr>
            <w:r>
              <w:rPr>
                <w:rFonts w:ascii="Arial" w:cs="Arial" w:eastAsia="Arial" w:hAnsi="Arial"/>
                <w:color w:val="1F1F1F"/>
                <w:sz w:val="20"/>
                <w:szCs w:val="20"/>
              </w:rPr>
              <w:t xml:space="preserve">6</w:t>
            </w:r>
          </w:p>
        </w:tc>
        <w:tc>
          <w:tcPr>
            <w:tcW w:type="dxa" w:w="1500"/>
            <w:tcBorders>
              <w:top w:val="single" w:color="BFBFBF" w:sz="1"/>
              <w:left w:val="single" w:color="BFBFBF" w:sz="1"/>
              <w:bottom w:val="single" w:color="BFBFBF" w:sz="1"/>
              <w:right w:val="single" w:color="BFBFBF" w:sz="1"/>
            </w:tcBorders>
            <w:shd w:fill="FFF2CC" w:color="auto" w:val="clear"/>
            <w:tcMar>
              <w:top w:type="dxa" w:w="100"/>
              <w:left w:type="dxa" w:w="120"/>
              <w:bottom w:type="dxa" w:w="100"/>
              <w:right w:type="dxa" w:w="120"/>
            </w:tcMar>
          </w:tcPr>
          <w:p>
            <w:pPr>
              <w:spacing w:after="40"/>
            </w:pPr>
            <w:r>
              <w:rPr>
                <w:rFonts w:ascii="Arial" w:cs="Arial" w:eastAsia="Arial" w:hAnsi="Arial"/>
                <w:color w:val="1F1F1F"/>
                <w:sz w:val="20"/>
                <w:szCs w:val="20"/>
              </w:rPr>
              <w:t xml:space="preserve">35.3%</w:t>
            </w:r>
          </w:p>
        </w:tc>
      </w:tr>
      <w:tr>
        <w:tc>
          <w:tcPr>
            <w:tcW w:type="dxa" w:w="4500"/>
            <w:tcBorders>
              <w:top w:val="single" w:color="BFBFBF" w:sz="1"/>
              <w:left w:val="single" w:color="BFBFBF" w:sz="1"/>
              <w:bottom w:val="single" w:color="BFBFBF" w:sz="1"/>
              <w:right w:val="single" w:color="BFBFBF" w:sz="1"/>
            </w:tcBorders>
            <w:tcMar>
              <w:top w:type="dxa" w:w="100"/>
              <w:left w:type="dxa" w:w="120"/>
              <w:bottom w:type="dxa" w:w="100"/>
              <w:right w:type="dxa" w:w="120"/>
            </w:tcMar>
          </w:tcPr>
          <w:p>
            <w:pPr>
              <w:spacing w:after="40"/>
            </w:pPr>
            <w:r>
              <w:rPr>
                <w:rFonts w:ascii="Arial" w:cs="Arial" w:eastAsia="Arial" w:hAnsi="Arial"/>
                <w:color w:val="1F1F1F"/>
                <w:sz w:val="20"/>
                <w:szCs w:val="20"/>
              </w:rPr>
              <w:t xml:space="preserve">UN Office for Disaster Risk Reduction (UNDRR)</w:t>
            </w:r>
          </w:p>
        </w:tc>
        <w:tc>
          <w:tcPr>
            <w:tcW w:type="dxa" w:w="1500"/>
            <w:tcBorders>
              <w:top w:val="single" w:color="BFBFBF" w:sz="1"/>
              <w:left w:val="single" w:color="BFBFBF" w:sz="1"/>
              <w:bottom w:val="single" w:color="BFBFBF" w:sz="1"/>
              <w:right w:val="single" w:color="BFBFBF" w:sz="1"/>
            </w:tcBorders>
            <w:tcMar>
              <w:top w:type="dxa" w:w="100"/>
              <w:left w:type="dxa" w:w="120"/>
              <w:bottom w:type="dxa" w:w="100"/>
              <w:right w:type="dxa" w:w="120"/>
            </w:tcMar>
          </w:tcPr>
          <w:p>
            <w:pPr>
              <w:spacing w:after="40"/>
            </w:pPr>
            <w:r>
              <w:rPr>
                <w:rFonts w:ascii="Arial" w:cs="Arial" w:eastAsia="Arial" w:hAnsi="Arial"/>
                <w:color w:val="1F1F1F"/>
                <w:sz w:val="20"/>
                <w:szCs w:val="20"/>
              </w:rPr>
              <w:t xml:space="preserve">7</w:t>
            </w:r>
          </w:p>
        </w:tc>
        <w:tc>
          <w:tcPr>
            <w:tcW w:type="dxa" w:w="1500"/>
            <w:tcBorders>
              <w:top w:val="single" w:color="BFBFBF" w:sz="1"/>
              <w:left w:val="single" w:color="BFBFBF" w:sz="1"/>
              <w:bottom w:val="single" w:color="BFBFBF" w:sz="1"/>
              <w:right w:val="single" w:color="BFBFBF" w:sz="1"/>
            </w:tcBorders>
            <w:tcMar>
              <w:top w:type="dxa" w:w="100"/>
              <w:left w:type="dxa" w:w="120"/>
              <w:bottom w:type="dxa" w:w="100"/>
              <w:right w:type="dxa" w:w="120"/>
            </w:tcMar>
          </w:tcPr>
          <w:p>
            <w:pPr>
              <w:spacing w:after="40"/>
            </w:pPr>
            <w:r>
              <w:rPr>
                <w:rFonts w:ascii="Arial" w:cs="Arial" w:eastAsia="Arial" w:hAnsi="Arial"/>
                <w:color w:val="1F1F1F"/>
                <w:sz w:val="20"/>
                <w:szCs w:val="20"/>
              </w:rPr>
              <w:t xml:space="preserve">2</w:t>
            </w:r>
          </w:p>
        </w:tc>
        <w:tc>
          <w:tcPr>
            <w:tcW w:type="dxa" w:w="1500"/>
            <w:tcBorders>
              <w:top w:val="single" w:color="BFBFBF" w:sz="1"/>
              <w:left w:val="single" w:color="BFBFBF" w:sz="1"/>
              <w:bottom w:val="single" w:color="BFBFBF" w:sz="1"/>
              <w:right w:val="single" w:color="BFBFBF" w:sz="1"/>
            </w:tcBorders>
            <w:tcMar>
              <w:top w:type="dxa" w:w="100"/>
              <w:left w:type="dxa" w:w="120"/>
              <w:bottom w:type="dxa" w:w="100"/>
              <w:right w:type="dxa" w:w="120"/>
            </w:tcMar>
          </w:tcPr>
          <w:p>
            <w:pPr>
              <w:spacing w:after="40"/>
            </w:pPr>
            <w:r>
              <w:rPr>
                <w:rFonts w:ascii="Arial" w:cs="Arial" w:eastAsia="Arial" w:hAnsi="Arial"/>
                <w:color w:val="1F1F1F"/>
                <w:sz w:val="20"/>
                <w:szCs w:val="20"/>
              </w:rPr>
              <w:t xml:space="preserve">28.6%</w:t>
            </w:r>
          </w:p>
        </w:tc>
      </w:tr>
      <w:tr>
        <w:tc>
          <w:tcPr>
            <w:tcW w:type="dxa" w:w="4500"/>
            <w:tcBorders>
              <w:top w:val="single" w:color="BFBFBF" w:sz="1"/>
              <w:left w:val="single" w:color="BFBFBF" w:sz="1"/>
              <w:bottom w:val="single" w:color="BFBFBF" w:sz="1"/>
              <w:right w:val="single" w:color="BFBFBF" w:sz="1"/>
            </w:tcBorders>
            <w:tcMar>
              <w:top w:type="dxa" w:w="100"/>
              <w:left w:type="dxa" w:w="120"/>
              <w:bottom w:type="dxa" w:w="100"/>
              <w:right w:type="dxa" w:w="120"/>
            </w:tcMar>
          </w:tcPr>
          <w:p>
            <w:pPr>
              <w:spacing w:after="40"/>
            </w:pPr>
            <w:r>
              <w:rPr>
                <w:rFonts w:ascii="Arial" w:cs="Arial" w:eastAsia="Arial" w:hAnsi="Arial"/>
                <w:color w:val="1F1F1F"/>
                <w:sz w:val="20"/>
                <w:szCs w:val="20"/>
              </w:rPr>
              <w:t xml:space="preserve">Office for the Coordination of Humanitarian Affairs</w:t>
            </w:r>
          </w:p>
        </w:tc>
        <w:tc>
          <w:tcPr>
            <w:tcW w:type="dxa" w:w="1500"/>
            <w:tcBorders>
              <w:top w:val="single" w:color="BFBFBF" w:sz="1"/>
              <w:left w:val="single" w:color="BFBFBF" w:sz="1"/>
              <w:bottom w:val="single" w:color="BFBFBF" w:sz="1"/>
              <w:right w:val="single" w:color="BFBFBF" w:sz="1"/>
            </w:tcBorders>
            <w:tcMar>
              <w:top w:type="dxa" w:w="100"/>
              <w:left w:type="dxa" w:w="120"/>
              <w:bottom w:type="dxa" w:w="100"/>
              <w:right w:type="dxa" w:w="120"/>
            </w:tcMar>
          </w:tcPr>
          <w:p>
            <w:pPr>
              <w:spacing w:after="40"/>
            </w:pPr>
            <w:r>
              <w:rPr>
                <w:rFonts w:ascii="Arial" w:cs="Arial" w:eastAsia="Arial" w:hAnsi="Arial"/>
                <w:color w:val="1F1F1F"/>
                <w:sz w:val="20"/>
                <w:szCs w:val="20"/>
              </w:rPr>
              <w:t xml:space="preserve">8</w:t>
            </w:r>
          </w:p>
        </w:tc>
        <w:tc>
          <w:tcPr>
            <w:tcW w:type="dxa" w:w="1500"/>
            <w:tcBorders>
              <w:top w:val="single" w:color="BFBFBF" w:sz="1"/>
              <w:left w:val="single" w:color="BFBFBF" w:sz="1"/>
              <w:bottom w:val="single" w:color="BFBFBF" w:sz="1"/>
              <w:right w:val="single" w:color="BFBFBF" w:sz="1"/>
            </w:tcBorders>
            <w:tcMar>
              <w:top w:type="dxa" w:w="100"/>
              <w:left w:type="dxa" w:w="120"/>
              <w:bottom w:type="dxa" w:w="100"/>
              <w:right w:type="dxa" w:w="120"/>
            </w:tcMar>
          </w:tcPr>
          <w:p>
            <w:pPr>
              <w:spacing w:after="40"/>
            </w:pPr>
            <w:r>
              <w:rPr>
                <w:rFonts w:ascii="Arial" w:cs="Arial" w:eastAsia="Arial" w:hAnsi="Arial"/>
                <w:color w:val="1F1F1F"/>
                <w:sz w:val="20"/>
                <w:szCs w:val="20"/>
              </w:rPr>
              <w:t xml:space="preserve">2</w:t>
            </w:r>
          </w:p>
        </w:tc>
        <w:tc>
          <w:tcPr>
            <w:tcW w:type="dxa" w:w="1500"/>
            <w:tcBorders>
              <w:top w:val="single" w:color="BFBFBF" w:sz="1"/>
              <w:left w:val="single" w:color="BFBFBF" w:sz="1"/>
              <w:bottom w:val="single" w:color="BFBFBF" w:sz="1"/>
              <w:right w:val="single" w:color="BFBFBF" w:sz="1"/>
            </w:tcBorders>
            <w:tcMar>
              <w:top w:type="dxa" w:w="100"/>
              <w:left w:type="dxa" w:w="120"/>
              <w:bottom w:type="dxa" w:w="100"/>
              <w:right w:type="dxa" w:w="120"/>
            </w:tcMar>
          </w:tcPr>
          <w:p>
            <w:pPr>
              <w:spacing w:after="40"/>
            </w:pPr>
            <w:r>
              <w:rPr>
                <w:rFonts w:ascii="Arial" w:cs="Arial" w:eastAsia="Arial" w:hAnsi="Arial"/>
                <w:color w:val="1F1F1F"/>
                <w:sz w:val="20"/>
                <w:szCs w:val="20"/>
              </w:rPr>
              <w:t xml:space="preserve">25.0%</w:t>
            </w:r>
          </w:p>
        </w:tc>
      </w:tr>
      <w:tr>
        <w:tc>
          <w:tcPr>
            <w:tcW w:type="dxa" w:w="4500"/>
            <w:tcBorders>
              <w:top w:val="single" w:color="BFBFBF" w:sz="1"/>
              <w:left w:val="single" w:color="BFBFBF" w:sz="1"/>
              <w:bottom w:val="single" w:color="BFBFBF" w:sz="1"/>
              <w:right w:val="single" w:color="BFBFBF" w:sz="1"/>
            </w:tcBorders>
            <w:tcMar>
              <w:top w:type="dxa" w:w="100"/>
              <w:left w:type="dxa" w:w="120"/>
              <w:bottom w:type="dxa" w:w="100"/>
              <w:right w:type="dxa" w:w="120"/>
            </w:tcMar>
          </w:tcPr>
          <w:p>
            <w:pPr>
              <w:spacing w:after="40"/>
            </w:pPr>
            <w:r>
              <w:rPr>
                <w:rFonts w:ascii="Arial" w:cs="Arial" w:eastAsia="Arial" w:hAnsi="Arial"/>
                <w:color w:val="1F1F1F"/>
                <w:sz w:val="20"/>
                <w:szCs w:val="20"/>
              </w:rPr>
              <w:t xml:space="preserve">ITU</w:t>
            </w:r>
          </w:p>
        </w:tc>
        <w:tc>
          <w:tcPr>
            <w:tcW w:type="dxa" w:w="1500"/>
            <w:tcBorders>
              <w:top w:val="single" w:color="BFBFBF" w:sz="1"/>
              <w:left w:val="single" w:color="BFBFBF" w:sz="1"/>
              <w:bottom w:val="single" w:color="BFBFBF" w:sz="1"/>
              <w:right w:val="single" w:color="BFBFBF" w:sz="1"/>
            </w:tcBorders>
            <w:tcMar>
              <w:top w:type="dxa" w:w="100"/>
              <w:left w:type="dxa" w:w="120"/>
              <w:bottom w:type="dxa" w:w="100"/>
              <w:right w:type="dxa" w:w="120"/>
            </w:tcMar>
          </w:tcPr>
          <w:p>
            <w:pPr>
              <w:spacing w:after="40"/>
            </w:pPr>
            <w:r>
              <w:rPr>
                <w:rFonts w:ascii="Arial" w:cs="Arial" w:eastAsia="Arial" w:hAnsi="Arial"/>
                <w:color w:val="1F1F1F"/>
                <w:sz w:val="20"/>
                <w:szCs w:val="20"/>
              </w:rPr>
              <w:t xml:space="preserve">5</w:t>
            </w:r>
          </w:p>
        </w:tc>
        <w:tc>
          <w:tcPr>
            <w:tcW w:type="dxa" w:w="1500"/>
            <w:tcBorders>
              <w:top w:val="single" w:color="BFBFBF" w:sz="1"/>
              <w:left w:val="single" w:color="BFBFBF" w:sz="1"/>
              <w:bottom w:val="single" w:color="BFBFBF" w:sz="1"/>
              <w:right w:val="single" w:color="BFBFBF" w:sz="1"/>
            </w:tcBorders>
            <w:tcMar>
              <w:top w:type="dxa" w:w="100"/>
              <w:left w:type="dxa" w:w="120"/>
              <w:bottom w:type="dxa" w:w="100"/>
              <w:right w:type="dxa" w:w="120"/>
            </w:tcMar>
          </w:tcPr>
          <w:p>
            <w:pPr>
              <w:spacing w:after="40"/>
            </w:pPr>
            <w:r>
              <w:rPr>
                <w:rFonts w:ascii="Arial" w:cs="Arial" w:eastAsia="Arial" w:hAnsi="Arial"/>
                <w:color w:val="1F1F1F"/>
                <w:sz w:val="20"/>
                <w:szCs w:val="20"/>
              </w:rPr>
              <w:t xml:space="preserve">1</w:t>
            </w:r>
          </w:p>
        </w:tc>
        <w:tc>
          <w:tcPr>
            <w:tcW w:type="dxa" w:w="1500"/>
            <w:tcBorders>
              <w:top w:val="single" w:color="BFBFBF" w:sz="1"/>
              <w:left w:val="single" w:color="BFBFBF" w:sz="1"/>
              <w:bottom w:val="single" w:color="BFBFBF" w:sz="1"/>
              <w:right w:val="single" w:color="BFBFBF" w:sz="1"/>
            </w:tcBorders>
            <w:tcMar>
              <w:top w:type="dxa" w:w="100"/>
              <w:left w:type="dxa" w:w="120"/>
              <w:bottom w:type="dxa" w:w="100"/>
              <w:right w:type="dxa" w:w="120"/>
            </w:tcMar>
          </w:tcPr>
          <w:p>
            <w:pPr>
              <w:spacing w:after="40"/>
            </w:pPr>
            <w:r>
              <w:rPr>
                <w:rFonts w:ascii="Arial" w:cs="Arial" w:eastAsia="Arial" w:hAnsi="Arial"/>
                <w:color w:val="1F1F1F"/>
                <w:sz w:val="20"/>
                <w:szCs w:val="20"/>
              </w:rPr>
              <w:t xml:space="preserve">20.0%</w:t>
            </w:r>
          </w:p>
        </w:tc>
      </w:tr>
      <w:tr>
        <w:tc>
          <w:tcPr>
            <w:tcW w:type="dxa" w:w="4500"/>
            <w:tcBorders>
              <w:top w:val="single" w:color="BFBFBF" w:sz="1"/>
              <w:left w:val="single" w:color="BFBFBF" w:sz="1"/>
              <w:bottom w:val="single" w:color="BFBFBF" w:sz="1"/>
              <w:right w:val="single" w:color="BFBFBF" w:sz="1"/>
            </w:tcBorders>
            <w:shd w:fill="FFF2CC" w:color="auto" w:val="clear"/>
            <w:tcMar>
              <w:top w:type="dxa" w:w="100"/>
              <w:left w:type="dxa" w:w="120"/>
              <w:bottom w:type="dxa" w:w="100"/>
              <w:right w:type="dxa" w:w="120"/>
            </w:tcMar>
          </w:tcPr>
          <w:p>
            <w:pPr>
              <w:spacing w:after="40"/>
            </w:pPr>
            <w:r>
              <w:rPr>
                <w:rFonts w:ascii="Arial" w:cs="Arial" w:eastAsia="Arial" w:hAnsi="Arial"/>
                <w:color w:val="1F1F1F"/>
                <w:sz w:val="20"/>
                <w:szCs w:val="20"/>
              </w:rPr>
              <w:t xml:space="preserve">UN Office for Project Services (UNOPS)</w:t>
            </w:r>
          </w:p>
        </w:tc>
        <w:tc>
          <w:tcPr>
            <w:tcW w:type="dxa" w:w="1500"/>
            <w:tcBorders>
              <w:top w:val="single" w:color="BFBFBF" w:sz="1"/>
              <w:left w:val="single" w:color="BFBFBF" w:sz="1"/>
              <w:bottom w:val="single" w:color="BFBFBF" w:sz="1"/>
              <w:right w:val="single" w:color="BFBFBF" w:sz="1"/>
            </w:tcBorders>
            <w:shd w:fill="FFF2CC" w:color="auto" w:val="clear"/>
            <w:tcMar>
              <w:top w:type="dxa" w:w="100"/>
              <w:left w:type="dxa" w:w="120"/>
              <w:bottom w:type="dxa" w:w="100"/>
              <w:right w:type="dxa" w:w="120"/>
            </w:tcMar>
          </w:tcPr>
          <w:p>
            <w:pPr>
              <w:spacing w:after="40"/>
            </w:pPr>
            <w:r>
              <w:rPr>
                <w:rFonts w:ascii="Arial" w:cs="Arial" w:eastAsia="Arial" w:hAnsi="Arial"/>
                <w:color w:val="1F1F1F"/>
                <w:sz w:val="20"/>
                <w:szCs w:val="20"/>
              </w:rPr>
              <w:t xml:space="preserve">43</w:t>
            </w:r>
          </w:p>
        </w:tc>
        <w:tc>
          <w:tcPr>
            <w:tcW w:type="dxa" w:w="1500"/>
            <w:tcBorders>
              <w:top w:val="single" w:color="BFBFBF" w:sz="1"/>
              <w:left w:val="single" w:color="BFBFBF" w:sz="1"/>
              <w:bottom w:val="single" w:color="BFBFBF" w:sz="1"/>
              <w:right w:val="single" w:color="BFBFBF" w:sz="1"/>
            </w:tcBorders>
            <w:shd w:fill="FFF2CC" w:color="auto" w:val="clear"/>
            <w:tcMar>
              <w:top w:type="dxa" w:w="100"/>
              <w:left w:type="dxa" w:w="120"/>
              <w:bottom w:type="dxa" w:w="100"/>
              <w:right w:type="dxa" w:w="120"/>
            </w:tcMar>
          </w:tcPr>
          <w:p>
            <w:pPr>
              <w:spacing w:after="40"/>
            </w:pPr>
            <w:r>
              <w:rPr>
                <w:rFonts w:ascii="Arial" w:cs="Arial" w:eastAsia="Arial" w:hAnsi="Arial"/>
                <w:color w:val="1F1F1F"/>
                <w:sz w:val="20"/>
                <w:szCs w:val="20"/>
              </w:rPr>
              <w:t xml:space="preserve">8</w:t>
            </w:r>
          </w:p>
        </w:tc>
        <w:tc>
          <w:tcPr>
            <w:tcW w:type="dxa" w:w="1500"/>
            <w:tcBorders>
              <w:top w:val="single" w:color="BFBFBF" w:sz="1"/>
              <w:left w:val="single" w:color="BFBFBF" w:sz="1"/>
              <w:bottom w:val="single" w:color="BFBFBF" w:sz="1"/>
              <w:right w:val="single" w:color="BFBFBF" w:sz="1"/>
            </w:tcBorders>
            <w:shd w:fill="FFF2CC" w:color="auto" w:val="clear"/>
            <w:tcMar>
              <w:top w:type="dxa" w:w="100"/>
              <w:left w:type="dxa" w:w="120"/>
              <w:bottom w:type="dxa" w:w="100"/>
              <w:right w:type="dxa" w:w="120"/>
            </w:tcMar>
          </w:tcPr>
          <w:p>
            <w:pPr>
              <w:spacing w:after="40"/>
            </w:pPr>
            <w:r>
              <w:rPr>
                <w:rFonts w:ascii="Arial" w:cs="Arial" w:eastAsia="Arial" w:hAnsi="Arial"/>
                <w:color w:val="1F1F1F"/>
                <w:sz w:val="20"/>
                <w:szCs w:val="20"/>
              </w:rPr>
              <w:t xml:space="preserve">18.6%</w:t>
            </w:r>
          </w:p>
        </w:tc>
      </w:tr>
      <w:tr>
        <w:tc>
          <w:tcPr>
            <w:tcW w:type="dxa" w:w="4500"/>
            <w:tcBorders>
              <w:top w:val="single" w:color="BFBFBF" w:sz="1"/>
              <w:left w:val="single" w:color="BFBFBF" w:sz="1"/>
              <w:bottom w:val="single" w:color="BFBFBF" w:sz="1"/>
              <w:right w:val="single" w:color="BFBFBF" w:sz="1"/>
            </w:tcBorders>
            <w:tcMar>
              <w:top w:type="dxa" w:w="100"/>
              <w:left w:type="dxa" w:w="120"/>
              <w:bottom w:type="dxa" w:w="100"/>
              <w:right w:type="dxa" w:w="120"/>
            </w:tcMar>
          </w:tcPr>
          <w:p>
            <w:pPr>
              <w:spacing w:after="40"/>
            </w:pPr>
            <w:r>
              <w:rPr>
                <w:rFonts w:ascii="Arial" w:cs="Arial" w:eastAsia="Arial" w:hAnsi="Arial"/>
                <w:color w:val="1F1F1F"/>
                <w:sz w:val="20"/>
                <w:szCs w:val="20"/>
              </w:rPr>
              <w:t xml:space="preserve">UNICEF</w:t>
            </w:r>
          </w:p>
        </w:tc>
        <w:tc>
          <w:tcPr>
            <w:tcW w:type="dxa" w:w="1500"/>
            <w:tcBorders>
              <w:top w:val="single" w:color="BFBFBF" w:sz="1"/>
              <w:left w:val="single" w:color="BFBFBF" w:sz="1"/>
              <w:bottom w:val="single" w:color="BFBFBF" w:sz="1"/>
              <w:right w:val="single" w:color="BFBFBF" w:sz="1"/>
            </w:tcBorders>
            <w:tcMar>
              <w:top w:type="dxa" w:w="100"/>
              <w:left w:type="dxa" w:w="120"/>
              <w:bottom w:type="dxa" w:w="100"/>
              <w:right w:type="dxa" w:w="120"/>
            </w:tcMar>
          </w:tcPr>
          <w:p>
            <w:pPr>
              <w:spacing w:after="40"/>
            </w:pPr>
            <w:r>
              <w:rPr>
                <w:rFonts w:ascii="Arial" w:cs="Arial" w:eastAsia="Arial" w:hAnsi="Arial"/>
                <w:color w:val="1F1F1F"/>
                <w:sz w:val="20"/>
                <w:szCs w:val="20"/>
              </w:rPr>
              <w:t xml:space="preserve">106</w:t>
            </w:r>
          </w:p>
        </w:tc>
        <w:tc>
          <w:tcPr>
            <w:tcW w:type="dxa" w:w="1500"/>
            <w:tcBorders>
              <w:top w:val="single" w:color="BFBFBF" w:sz="1"/>
              <w:left w:val="single" w:color="BFBFBF" w:sz="1"/>
              <w:bottom w:val="single" w:color="BFBFBF" w:sz="1"/>
              <w:right w:val="single" w:color="BFBFBF" w:sz="1"/>
            </w:tcBorders>
            <w:tcMar>
              <w:top w:type="dxa" w:w="100"/>
              <w:left w:type="dxa" w:w="120"/>
              <w:bottom w:type="dxa" w:w="100"/>
              <w:right w:type="dxa" w:w="120"/>
            </w:tcMar>
          </w:tcPr>
          <w:p>
            <w:pPr>
              <w:spacing w:after="40"/>
            </w:pPr>
            <w:r>
              <w:rPr>
                <w:rFonts w:ascii="Arial" w:cs="Arial" w:eastAsia="Arial" w:hAnsi="Arial"/>
                <w:color w:val="1F1F1F"/>
                <w:sz w:val="20"/>
                <w:szCs w:val="20"/>
              </w:rPr>
              <w:t xml:space="preserve">4</w:t>
            </w:r>
          </w:p>
        </w:tc>
        <w:tc>
          <w:tcPr>
            <w:tcW w:type="dxa" w:w="1500"/>
            <w:tcBorders>
              <w:top w:val="single" w:color="BFBFBF" w:sz="1"/>
              <w:left w:val="single" w:color="BFBFBF" w:sz="1"/>
              <w:bottom w:val="single" w:color="BFBFBF" w:sz="1"/>
              <w:right w:val="single" w:color="BFBFBF" w:sz="1"/>
            </w:tcBorders>
            <w:tcMar>
              <w:top w:type="dxa" w:w="100"/>
              <w:left w:type="dxa" w:w="120"/>
              <w:bottom w:type="dxa" w:w="100"/>
              <w:right w:type="dxa" w:w="120"/>
            </w:tcMar>
          </w:tcPr>
          <w:p>
            <w:pPr>
              <w:spacing w:after="40"/>
            </w:pPr>
            <w:r>
              <w:rPr>
                <w:rFonts w:ascii="Arial" w:cs="Arial" w:eastAsia="Arial" w:hAnsi="Arial"/>
                <w:color w:val="1F1F1F"/>
                <w:sz w:val="20"/>
                <w:szCs w:val="20"/>
              </w:rPr>
              <w:t xml:space="preserve">3.8%</w:t>
            </w:r>
          </w:p>
        </w:tc>
      </w:tr>
      <w:tr>
        <w:tc>
          <w:tcPr>
            <w:tcW w:type="dxa" w:w="4500"/>
            <w:tcBorders>
              <w:top w:val="single" w:color="BFBFBF" w:sz="1"/>
              <w:left w:val="single" w:color="BFBFBF" w:sz="1"/>
              <w:bottom w:val="single" w:color="BFBFBF" w:sz="1"/>
              <w:right w:val="single" w:color="BFBFBF" w:sz="1"/>
            </w:tcBorders>
            <w:tcMar>
              <w:top w:type="dxa" w:w="100"/>
              <w:left w:type="dxa" w:w="120"/>
              <w:bottom w:type="dxa" w:w="100"/>
              <w:right w:type="dxa" w:w="120"/>
            </w:tcMar>
          </w:tcPr>
          <w:p>
            <w:pPr>
              <w:spacing w:after="40"/>
            </w:pPr>
            <w:r>
              <w:rPr>
                <w:rFonts w:ascii="Arial" w:cs="Arial" w:eastAsia="Arial" w:hAnsi="Arial"/>
                <w:color w:val="1F1F1F"/>
                <w:sz w:val="20"/>
                <w:szCs w:val="20"/>
              </w:rPr>
              <w:t xml:space="preserve">UN Environment Programme (UNEP)</w:t>
            </w:r>
          </w:p>
        </w:tc>
        <w:tc>
          <w:tcPr>
            <w:tcW w:type="dxa" w:w="1500"/>
            <w:tcBorders>
              <w:top w:val="single" w:color="BFBFBF" w:sz="1"/>
              <w:left w:val="single" w:color="BFBFBF" w:sz="1"/>
              <w:bottom w:val="single" w:color="BFBFBF" w:sz="1"/>
              <w:right w:val="single" w:color="BFBFBF" w:sz="1"/>
            </w:tcBorders>
            <w:tcMar>
              <w:top w:type="dxa" w:w="100"/>
              <w:left w:type="dxa" w:w="120"/>
              <w:bottom w:type="dxa" w:w="100"/>
              <w:right w:type="dxa" w:w="120"/>
            </w:tcMar>
          </w:tcPr>
          <w:p>
            <w:pPr>
              <w:spacing w:after="40"/>
            </w:pPr>
            <w:r>
              <w:rPr>
                <w:rFonts w:ascii="Arial" w:cs="Arial" w:eastAsia="Arial" w:hAnsi="Arial"/>
                <w:color w:val="1F1F1F"/>
                <w:sz w:val="20"/>
                <w:szCs w:val="20"/>
              </w:rPr>
              <w:t xml:space="preserve">41</w:t>
            </w:r>
          </w:p>
        </w:tc>
        <w:tc>
          <w:tcPr>
            <w:tcW w:type="dxa" w:w="1500"/>
            <w:tcBorders>
              <w:top w:val="single" w:color="BFBFBF" w:sz="1"/>
              <w:left w:val="single" w:color="BFBFBF" w:sz="1"/>
              <w:bottom w:val="single" w:color="BFBFBF" w:sz="1"/>
              <w:right w:val="single" w:color="BFBFBF" w:sz="1"/>
            </w:tcBorders>
            <w:tcMar>
              <w:top w:type="dxa" w:w="100"/>
              <w:left w:type="dxa" w:w="120"/>
              <w:bottom w:type="dxa" w:w="100"/>
              <w:right w:type="dxa" w:w="120"/>
            </w:tcMar>
          </w:tcPr>
          <w:p>
            <w:pPr>
              <w:spacing w:after="40"/>
            </w:pPr>
            <w:r>
              <w:rPr>
                <w:rFonts w:ascii="Arial" w:cs="Arial" w:eastAsia="Arial" w:hAnsi="Arial"/>
                <w:color w:val="1F1F1F"/>
                <w:sz w:val="20"/>
                <w:szCs w:val="20"/>
              </w:rPr>
              <w:t xml:space="preserve">1</w:t>
            </w:r>
          </w:p>
        </w:tc>
        <w:tc>
          <w:tcPr>
            <w:tcW w:type="dxa" w:w="1500"/>
            <w:tcBorders>
              <w:top w:val="single" w:color="BFBFBF" w:sz="1"/>
              <w:left w:val="single" w:color="BFBFBF" w:sz="1"/>
              <w:bottom w:val="single" w:color="BFBFBF" w:sz="1"/>
              <w:right w:val="single" w:color="BFBFBF" w:sz="1"/>
            </w:tcBorders>
            <w:tcMar>
              <w:top w:type="dxa" w:w="100"/>
              <w:left w:type="dxa" w:w="120"/>
              <w:bottom w:type="dxa" w:w="100"/>
              <w:right w:type="dxa" w:w="120"/>
            </w:tcMar>
          </w:tcPr>
          <w:p>
            <w:pPr>
              <w:spacing w:after="40"/>
            </w:pPr>
            <w:r>
              <w:rPr>
                <w:rFonts w:ascii="Arial" w:cs="Arial" w:eastAsia="Arial" w:hAnsi="Arial"/>
                <w:color w:val="1F1F1F"/>
                <w:sz w:val="20"/>
                <w:szCs w:val="20"/>
              </w:rPr>
              <w:t xml:space="preserve">2.4%</w:t>
            </w:r>
          </w:p>
        </w:tc>
      </w:tr>
      <w:tr>
        <w:tc>
          <w:tcPr>
            <w:tcW w:type="dxa" w:w="4500"/>
            <w:tcBorders>
              <w:top w:val="single" w:color="BFBFBF" w:sz="1"/>
              <w:left w:val="single" w:color="BFBFBF" w:sz="1"/>
              <w:bottom w:val="single" w:color="BFBFBF" w:sz="1"/>
              <w:right w:val="single" w:color="BFBFBF" w:sz="1"/>
            </w:tcBorders>
            <w:tcMar>
              <w:top w:type="dxa" w:w="100"/>
              <w:left w:type="dxa" w:w="120"/>
              <w:bottom w:type="dxa" w:w="100"/>
              <w:right w:type="dxa" w:w="120"/>
            </w:tcMar>
          </w:tcPr>
          <w:p>
            <w:pPr>
              <w:spacing w:after="40"/>
            </w:pPr>
            <w:r>
              <w:rPr>
                <w:rFonts w:ascii="Arial" w:cs="Arial" w:eastAsia="Arial" w:hAnsi="Arial"/>
                <w:color w:val="1F1F1F"/>
                <w:sz w:val="20"/>
                <w:szCs w:val="20"/>
              </w:rPr>
              <w:t xml:space="preserve">World Food Programme (WFP)</w:t>
            </w:r>
          </w:p>
        </w:tc>
        <w:tc>
          <w:tcPr>
            <w:tcW w:type="dxa" w:w="1500"/>
            <w:tcBorders>
              <w:top w:val="single" w:color="BFBFBF" w:sz="1"/>
              <w:left w:val="single" w:color="BFBFBF" w:sz="1"/>
              <w:bottom w:val="single" w:color="BFBFBF" w:sz="1"/>
              <w:right w:val="single" w:color="BFBFBF" w:sz="1"/>
            </w:tcBorders>
            <w:tcMar>
              <w:top w:type="dxa" w:w="100"/>
              <w:left w:type="dxa" w:w="120"/>
              <w:bottom w:type="dxa" w:w="100"/>
              <w:right w:type="dxa" w:w="120"/>
            </w:tcMar>
          </w:tcPr>
          <w:p>
            <w:pPr>
              <w:spacing w:after="40"/>
            </w:pPr>
            <w:r>
              <w:rPr>
                <w:rFonts w:ascii="Arial" w:cs="Arial" w:eastAsia="Arial" w:hAnsi="Arial"/>
                <w:color w:val="1F1F1F"/>
                <w:sz w:val="20"/>
                <w:szCs w:val="20"/>
              </w:rPr>
              <w:t xml:space="preserve">85</w:t>
            </w:r>
          </w:p>
        </w:tc>
        <w:tc>
          <w:tcPr>
            <w:tcW w:type="dxa" w:w="1500"/>
            <w:tcBorders>
              <w:top w:val="single" w:color="BFBFBF" w:sz="1"/>
              <w:left w:val="single" w:color="BFBFBF" w:sz="1"/>
              <w:bottom w:val="single" w:color="BFBFBF" w:sz="1"/>
              <w:right w:val="single" w:color="BFBFBF" w:sz="1"/>
            </w:tcBorders>
            <w:tcMar>
              <w:top w:type="dxa" w:w="100"/>
              <w:left w:type="dxa" w:w="120"/>
              <w:bottom w:type="dxa" w:w="100"/>
              <w:right w:type="dxa" w:w="120"/>
            </w:tcMar>
          </w:tcPr>
          <w:p>
            <w:pPr>
              <w:spacing w:after="40"/>
            </w:pPr>
            <w:r>
              <w:rPr>
                <w:rFonts w:ascii="Arial" w:cs="Arial" w:eastAsia="Arial" w:hAnsi="Arial"/>
                <w:color w:val="1F1F1F"/>
                <w:sz w:val="20"/>
                <w:szCs w:val="20"/>
              </w:rPr>
              <w:t xml:space="preserve">1</w:t>
            </w:r>
          </w:p>
        </w:tc>
        <w:tc>
          <w:tcPr>
            <w:tcW w:type="dxa" w:w="1500"/>
            <w:tcBorders>
              <w:top w:val="single" w:color="BFBFBF" w:sz="1"/>
              <w:left w:val="single" w:color="BFBFBF" w:sz="1"/>
              <w:bottom w:val="single" w:color="BFBFBF" w:sz="1"/>
              <w:right w:val="single" w:color="BFBFBF" w:sz="1"/>
            </w:tcBorders>
            <w:tcMar>
              <w:top w:type="dxa" w:w="100"/>
              <w:left w:type="dxa" w:w="120"/>
              <w:bottom w:type="dxa" w:w="100"/>
              <w:right w:type="dxa" w:w="120"/>
            </w:tcMar>
          </w:tcPr>
          <w:p>
            <w:pPr>
              <w:spacing w:after="40"/>
            </w:pPr>
            <w:r>
              <w:rPr>
                <w:rFonts w:ascii="Arial" w:cs="Arial" w:eastAsia="Arial" w:hAnsi="Arial"/>
                <w:color w:val="1F1F1F"/>
                <w:sz w:val="20"/>
                <w:szCs w:val="20"/>
              </w:rPr>
              <w:t xml:space="preserve">1.2%</w:t>
            </w:r>
          </w:p>
        </w:tc>
      </w:tr>
      <w:tr>
        <w:tc>
          <w:tcPr>
            <w:tcW w:type="dxa" w:w="4500"/>
            <w:tcBorders>
              <w:top w:val="single" w:color="BFBFBF" w:sz="1"/>
              <w:left w:val="single" w:color="BFBFBF" w:sz="1"/>
              <w:bottom w:val="single" w:color="BFBFBF" w:sz="1"/>
              <w:right w:val="single" w:color="BFBFBF" w:sz="1"/>
            </w:tcBorders>
            <w:tcMar>
              <w:top w:type="dxa" w:w="100"/>
              <w:left w:type="dxa" w:w="120"/>
              <w:bottom w:type="dxa" w:w="100"/>
              <w:right w:type="dxa" w:w="120"/>
            </w:tcMar>
          </w:tcPr>
          <w:p>
            <w:pPr>
              <w:spacing w:after="40"/>
            </w:pPr>
            <w:r>
              <w:rPr>
                <w:rFonts w:ascii="Arial" w:cs="Arial" w:eastAsia="Arial" w:hAnsi="Arial"/>
                <w:color w:val="1F1F1F"/>
                <w:sz w:val="20"/>
                <w:szCs w:val="20"/>
              </w:rPr>
              <w:t xml:space="preserve">Office of Information and Communications Technology</w:t>
            </w:r>
          </w:p>
        </w:tc>
        <w:tc>
          <w:tcPr>
            <w:tcW w:type="dxa" w:w="1500"/>
            <w:tcBorders>
              <w:top w:val="single" w:color="BFBFBF" w:sz="1"/>
              <w:left w:val="single" w:color="BFBFBF" w:sz="1"/>
              <w:bottom w:val="single" w:color="BFBFBF" w:sz="1"/>
              <w:right w:val="single" w:color="BFBFBF" w:sz="1"/>
            </w:tcBorders>
            <w:tcMar>
              <w:top w:type="dxa" w:w="100"/>
              <w:left w:type="dxa" w:w="120"/>
              <w:bottom w:type="dxa" w:w="100"/>
              <w:right w:type="dxa" w:w="120"/>
            </w:tcMar>
          </w:tcPr>
          <w:p>
            <w:pPr>
              <w:spacing w:after="40"/>
            </w:pPr>
            <w:r>
              <w:rPr>
                <w:rFonts w:ascii="Arial" w:cs="Arial" w:eastAsia="Arial" w:hAnsi="Arial"/>
                <w:color w:val="1F1F1F"/>
                <w:sz w:val="20"/>
                <w:szCs w:val="20"/>
              </w:rPr>
              <w:t xml:space="preserve">9</w:t>
            </w:r>
          </w:p>
        </w:tc>
        <w:tc>
          <w:tcPr>
            <w:tcW w:type="dxa" w:w="1500"/>
            <w:tcBorders>
              <w:top w:val="single" w:color="BFBFBF" w:sz="1"/>
              <w:left w:val="single" w:color="BFBFBF" w:sz="1"/>
              <w:bottom w:val="single" w:color="BFBFBF" w:sz="1"/>
              <w:right w:val="single" w:color="BFBFBF" w:sz="1"/>
            </w:tcBorders>
            <w:tcMar>
              <w:top w:type="dxa" w:w="100"/>
              <w:left w:type="dxa" w:w="120"/>
              <w:bottom w:type="dxa" w:w="100"/>
              <w:right w:type="dxa" w:w="120"/>
            </w:tcMar>
          </w:tcPr>
          <w:p>
            <w:pPr>
              <w:spacing w:after="40"/>
            </w:pPr>
            <w:r>
              <w:rPr>
                <w:rFonts w:ascii="Arial" w:cs="Arial" w:eastAsia="Arial" w:hAnsi="Arial"/>
                <w:color w:val="1F1F1F"/>
                <w:sz w:val="20"/>
                <w:szCs w:val="20"/>
              </w:rPr>
              <w:t xml:space="preserve">0</w:t>
            </w:r>
          </w:p>
        </w:tc>
        <w:tc>
          <w:tcPr>
            <w:tcW w:type="dxa" w:w="1500"/>
            <w:tcBorders>
              <w:top w:val="single" w:color="BFBFBF" w:sz="1"/>
              <w:left w:val="single" w:color="BFBFBF" w:sz="1"/>
              <w:bottom w:val="single" w:color="BFBFBF" w:sz="1"/>
              <w:right w:val="single" w:color="BFBFBF" w:sz="1"/>
            </w:tcBorders>
            <w:tcMar>
              <w:top w:type="dxa" w:w="100"/>
              <w:left w:type="dxa" w:w="120"/>
              <w:bottom w:type="dxa" w:w="100"/>
              <w:right w:type="dxa" w:w="120"/>
            </w:tcMar>
          </w:tcPr>
          <w:p>
            <w:pPr>
              <w:spacing w:after="40"/>
            </w:pPr>
            <w:r>
              <w:rPr>
                <w:rFonts w:ascii="Arial" w:cs="Arial" w:eastAsia="Arial" w:hAnsi="Arial"/>
                <w:color w:val="1F1F1F"/>
                <w:sz w:val="20"/>
                <w:szCs w:val="20"/>
              </w:rPr>
              <w:t xml:space="preserve">0.0%</w:t>
            </w:r>
          </w:p>
        </w:tc>
      </w:tr>
      <w:tr>
        <w:tc>
          <w:tcPr>
            <w:tcW w:type="dxa" w:w="4500"/>
            <w:tcBorders>
              <w:top w:val="single" w:color="BFBFBF" w:sz="1"/>
              <w:left w:val="single" w:color="BFBFBF" w:sz="1"/>
              <w:bottom w:val="single" w:color="BFBFBF" w:sz="1"/>
              <w:right w:val="single" w:color="BFBFBF" w:sz="1"/>
            </w:tcBorders>
            <w:tcMar>
              <w:top w:type="dxa" w:w="100"/>
              <w:left w:type="dxa" w:w="120"/>
              <w:bottom w:type="dxa" w:w="100"/>
              <w:right w:type="dxa" w:w="120"/>
            </w:tcMar>
          </w:tcPr>
          <w:p>
            <w:pPr>
              <w:spacing w:after="40"/>
            </w:pPr>
            <w:r>
              <w:rPr>
                <w:rFonts w:ascii="Arial" w:cs="Arial" w:eastAsia="Arial" w:hAnsi="Arial"/>
                <w:color w:val="1F1F1F"/>
                <w:sz w:val="20"/>
                <w:szCs w:val="20"/>
              </w:rPr>
              <w:t xml:space="preserve">UNRWA — Information Management HQ Amman</w:t>
            </w:r>
          </w:p>
        </w:tc>
        <w:tc>
          <w:tcPr>
            <w:tcW w:type="dxa" w:w="1500"/>
            <w:tcBorders>
              <w:top w:val="single" w:color="BFBFBF" w:sz="1"/>
              <w:left w:val="single" w:color="BFBFBF" w:sz="1"/>
              <w:bottom w:val="single" w:color="BFBFBF" w:sz="1"/>
              <w:right w:val="single" w:color="BFBFBF" w:sz="1"/>
            </w:tcBorders>
            <w:tcMar>
              <w:top w:type="dxa" w:w="100"/>
              <w:left w:type="dxa" w:w="120"/>
              <w:bottom w:type="dxa" w:w="100"/>
              <w:right w:type="dxa" w:w="120"/>
            </w:tcMar>
          </w:tcPr>
          <w:p>
            <w:pPr>
              <w:spacing w:after="40"/>
            </w:pPr>
            <w:r>
              <w:rPr>
                <w:rFonts w:ascii="Arial" w:cs="Arial" w:eastAsia="Arial" w:hAnsi="Arial"/>
                <w:color w:val="1F1F1F"/>
                <w:sz w:val="20"/>
                <w:szCs w:val="20"/>
              </w:rPr>
              <w:t xml:space="preserve">19</w:t>
            </w:r>
          </w:p>
        </w:tc>
        <w:tc>
          <w:tcPr>
            <w:tcW w:type="dxa" w:w="1500"/>
            <w:tcBorders>
              <w:top w:val="single" w:color="BFBFBF" w:sz="1"/>
              <w:left w:val="single" w:color="BFBFBF" w:sz="1"/>
              <w:bottom w:val="single" w:color="BFBFBF" w:sz="1"/>
              <w:right w:val="single" w:color="BFBFBF" w:sz="1"/>
            </w:tcBorders>
            <w:tcMar>
              <w:top w:type="dxa" w:w="100"/>
              <w:left w:type="dxa" w:w="120"/>
              <w:bottom w:type="dxa" w:w="100"/>
              <w:right w:type="dxa" w:w="120"/>
            </w:tcMar>
          </w:tcPr>
          <w:p>
            <w:pPr>
              <w:spacing w:after="40"/>
            </w:pPr>
            <w:r>
              <w:rPr>
                <w:rFonts w:ascii="Arial" w:cs="Arial" w:eastAsia="Arial" w:hAnsi="Arial"/>
                <w:color w:val="1F1F1F"/>
                <w:sz w:val="20"/>
                <w:szCs w:val="20"/>
              </w:rPr>
              <w:t xml:space="preserve">0</w:t>
            </w:r>
          </w:p>
        </w:tc>
        <w:tc>
          <w:tcPr>
            <w:tcW w:type="dxa" w:w="1500"/>
            <w:tcBorders>
              <w:top w:val="single" w:color="BFBFBF" w:sz="1"/>
              <w:left w:val="single" w:color="BFBFBF" w:sz="1"/>
              <w:bottom w:val="single" w:color="BFBFBF" w:sz="1"/>
              <w:right w:val="single" w:color="BFBFBF" w:sz="1"/>
            </w:tcBorders>
            <w:tcMar>
              <w:top w:type="dxa" w:w="100"/>
              <w:left w:type="dxa" w:w="120"/>
              <w:bottom w:type="dxa" w:w="100"/>
              <w:right w:type="dxa" w:w="120"/>
            </w:tcMar>
          </w:tcPr>
          <w:p>
            <w:pPr>
              <w:spacing w:after="40"/>
            </w:pPr>
            <w:r>
              <w:rPr>
                <w:rFonts w:ascii="Arial" w:cs="Arial" w:eastAsia="Arial" w:hAnsi="Arial"/>
                <w:color w:val="1F1F1F"/>
                <w:sz w:val="20"/>
                <w:szCs w:val="20"/>
              </w:rPr>
              <w:t xml:space="preserve">0.0%</w:t>
            </w:r>
          </w:p>
        </w:tc>
      </w:tr>
      <w:tr>
        <w:tc>
          <w:tcPr>
            <w:tcW w:type="dxa" w:w="4500"/>
            <w:tcBorders>
              <w:top w:val="single" w:color="BFBFBF" w:sz="1"/>
              <w:left w:val="single" w:color="BFBFBF" w:sz="1"/>
              <w:bottom w:val="single" w:color="BFBFBF" w:sz="1"/>
              <w:right w:val="single" w:color="BFBFBF" w:sz="1"/>
            </w:tcBorders>
            <w:tcMar>
              <w:top w:type="dxa" w:w="100"/>
              <w:left w:type="dxa" w:w="120"/>
              <w:bottom w:type="dxa" w:w="100"/>
              <w:right w:type="dxa" w:w="120"/>
            </w:tcMar>
          </w:tcPr>
          <w:p>
            <w:pPr>
              <w:spacing w:after="40"/>
            </w:pPr>
            <w:r>
              <w:rPr>
                <w:rFonts w:ascii="Arial" w:cs="Arial" w:eastAsia="Arial" w:hAnsi="Arial"/>
                <w:color w:val="1F1F1F"/>
                <w:sz w:val="20"/>
                <w:szCs w:val="20"/>
              </w:rPr>
              <w:t xml:space="preserve">IOM</w:t>
            </w:r>
          </w:p>
        </w:tc>
        <w:tc>
          <w:tcPr>
            <w:tcW w:type="dxa" w:w="1500"/>
            <w:tcBorders>
              <w:top w:val="single" w:color="BFBFBF" w:sz="1"/>
              <w:left w:val="single" w:color="BFBFBF" w:sz="1"/>
              <w:bottom w:val="single" w:color="BFBFBF" w:sz="1"/>
              <w:right w:val="single" w:color="BFBFBF" w:sz="1"/>
            </w:tcBorders>
            <w:tcMar>
              <w:top w:type="dxa" w:w="100"/>
              <w:left w:type="dxa" w:w="120"/>
              <w:bottom w:type="dxa" w:w="100"/>
              <w:right w:type="dxa" w:w="120"/>
            </w:tcMar>
          </w:tcPr>
          <w:p>
            <w:pPr>
              <w:spacing w:after="40"/>
            </w:pPr>
            <w:r>
              <w:rPr>
                <w:rFonts w:ascii="Arial" w:cs="Arial" w:eastAsia="Arial" w:hAnsi="Arial"/>
                <w:color w:val="1F1F1F"/>
                <w:sz w:val="20"/>
                <w:szCs w:val="20"/>
              </w:rPr>
              <w:t xml:space="preserve">23</w:t>
            </w:r>
          </w:p>
        </w:tc>
        <w:tc>
          <w:tcPr>
            <w:tcW w:type="dxa" w:w="1500"/>
            <w:tcBorders>
              <w:top w:val="single" w:color="BFBFBF" w:sz="1"/>
              <w:left w:val="single" w:color="BFBFBF" w:sz="1"/>
              <w:bottom w:val="single" w:color="BFBFBF" w:sz="1"/>
              <w:right w:val="single" w:color="BFBFBF" w:sz="1"/>
            </w:tcBorders>
            <w:tcMar>
              <w:top w:type="dxa" w:w="100"/>
              <w:left w:type="dxa" w:w="120"/>
              <w:bottom w:type="dxa" w:w="100"/>
              <w:right w:type="dxa" w:w="120"/>
            </w:tcMar>
          </w:tcPr>
          <w:p>
            <w:pPr>
              <w:spacing w:after="40"/>
            </w:pPr>
            <w:r>
              <w:rPr>
                <w:rFonts w:ascii="Arial" w:cs="Arial" w:eastAsia="Arial" w:hAnsi="Arial"/>
                <w:color w:val="1F1F1F"/>
                <w:sz w:val="20"/>
                <w:szCs w:val="20"/>
              </w:rPr>
              <w:t xml:space="preserve">0</w:t>
            </w:r>
          </w:p>
        </w:tc>
        <w:tc>
          <w:tcPr>
            <w:tcW w:type="dxa" w:w="1500"/>
            <w:tcBorders>
              <w:top w:val="single" w:color="BFBFBF" w:sz="1"/>
              <w:left w:val="single" w:color="BFBFBF" w:sz="1"/>
              <w:bottom w:val="single" w:color="BFBFBF" w:sz="1"/>
              <w:right w:val="single" w:color="BFBFBF" w:sz="1"/>
            </w:tcBorders>
            <w:tcMar>
              <w:top w:type="dxa" w:w="100"/>
              <w:left w:type="dxa" w:w="120"/>
              <w:bottom w:type="dxa" w:w="100"/>
              <w:right w:type="dxa" w:w="120"/>
            </w:tcMar>
          </w:tcPr>
          <w:p>
            <w:pPr>
              <w:spacing w:after="40"/>
            </w:pPr>
            <w:r>
              <w:rPr>
                <w:rFonts w:ascii="Arial" w:cs="Arial" w:eastAsia="Arial" w:hAnsi="Arial"/>
                <w:color w:val="1F1F1F"/>
                <w:sz w:val="20"/>
                <w:szCs w:val="20"/>
              </w:rPr>
              <w:t xml:space="preserve">0.0%</w:t>
            </w:r>
          </w:p>
        </w:tc>
      </w:tr>
      <w:tr>
        <w:tc>
          <w:tcPr>
            <w:tcW w:type="dxa" w:w="4500"/>
            <w:tcBorders>
              <w:top w:val="single" w:color="BFBFBF" w:sz="1"/>
              <w:left w:val="single" w:color="BFBFBF" w:sz="1"/>
              <w:bottom w:val="single" w:color="BFBFBF" w:sz="1"/>
              <w:right w:val="single" w:color="BFBFBF" w:sz="1"/>
            </w:tcBorders>
            <w:tcMar>
              <w:top w:type="dxa" w:w="100"/>
              <w:left w:type="dxa" w:w="120"/>
              <w:bottom w:type="dxa" w:w="100"/>
              <w:right w:type="dxa" w:w="120"/>
            </w:tcMar>
          </w:tcPr>
          <w:p>
            <w:pPr>
              <w:spacing w:after="40"/>
            </w:pPr>
            <w:r>
              <w:rPr>
                <w:rFonts w:ascii="Arial" w:cs="Arial" w:eastAsia="Arial" w:hAnsi="Arial"/>
                <w:color w:val="1F1F1F"/>
                <w:sz w:val="20"/>
                <w:szCs w:val="20"/>
              </w:rPr>
              <w:t xml:space="preserve">UNCTAD</w:t>
            </w:r>
          </w:p>
        </w:tc>
        <w:tc>
          <w:tcPr>
            <w:tcW w:type="dxa" w:w="1500"/>
            <w:tcBorders>
              <w:top w:val="single" w:color="BFBFBF" w:sz="1"/>
              <w:left w:val="single" w:color="BFBFBF" w:sz="1"/>
              <w:bottom w:val="single" w:color="BFBFBF" w:sz="1"/>
              <w:right w:val="single" w:color="BFBFBF" w:sz="1"/>
            </w:tcBorders>
            <w:tcMar>
              <w:top w:type="dxa" w:w="100"/>
              <w:left w:type="dxa" w:w="120"/>
              <w:bottom w:type="dxa" w:w="100"/>
              <w:right w:type="dxa" w:w="120"/>
            </w:tcMar>
          </w:tcPr>
          <w:p>
            <w:pPr>
              <w:spacing w:after="40"/>
            </w:pPr>
            <w:r>
              <w:rPr>
                <w:rFonts w:ascii="Arial" w:cs="Arial" w:eastAsia="Arial" w:hAnsi="Arial"/>
                <w:color w:val="1F1F1F"/>
                <w:sz w:val="20"/>
                <w:szCs w:val="20"/>
              </w:rPr>
              <w:t xml:space="preserve">42</w:t>
            </w:r>
          </w:p>
        </w:tc>
        <w:tc>
          <w:tcPr>
            <w:tcW w:type="dxa" w:w="1500"/>
            <w:tcBorders>
              <w:top w:val="single" w:color="BFBFBF" w:sz="1"/>
              <w:left w:val="single" w:color="BFBFBF" w:sz="1"/>
              <w:bottom w:val="single" w:color="BFBFBF" w:sz="1"/>
              <w:right w:val="single" w:color="BFBFBF" w:sz="1"/>
            </w:tcBorders>
            <w:tcMar>
              <w:top w:type="dxa" w:w="100"/>
              <w:left w:type="dxa" w:w="120"/>
              <w:bottom w:type="dxa" w:w="100"/>
              <w:right w:type="dxa" w:w="120"/>
            </w:tcMar>
          </w:tcPr>
          <w:p>
            <w:pPr>
              <w:spacing w:after="40"/>
            </w:pPr>
            <w:r>
              <w:rPr>
                <w:rFonts w:ascii="Arial" w:cs="Arial" w:eastAsia="Arial" w:hAnsi="Arial"/>
                <w:color w:val="1F1F1F"/>
                <w:sz w:val="20"/>
                <w:szCs w:val="20"/>
              </w:rPr>
              <w:t xml:space="preserve">0</w:t>
            </w:r>
          </w:p>
        </w:tc>
        <w:tc>
          <w:tcPr>
            <w:tcW w:type="dxa" w:w="1500"/>
            <w:tcBorders>
              <w:top w:val="single" w:color="BFBFBF" w:sz="1"/>
              <w:left w:val="single" w:color="BFBFBF" w:sz="1"/>
              <w:bottom w:val="single" w:color="BFBFBF" w:sz="1"/>
              <w:right w:val="single" w:color="BFBFBF" w:sz="1"/>
            </w:tcBorders>
            <w:tcMar>
              <w:top w:type="dxa" w:w="100"/>
              <w:left w:type="dxa" w:w="120"/>
              <w:bottom w:type="dxa" w:w="100"/>
              <w:right w:type="dxa" w:w="120"/>
            </w:tcMar>
          </w:tcPr>
          <w:p>
            <w:pPr>
              <w:spacing w:after="40"/>
            </w:pPr>
            <w:r>
              <w:rPr>
                <w:rFonts w:ascii="Arial" w:cs="Arial" w:eastAsia="Arial" w:hAnsi="Arial"/>
                <w:color w:val="1F1F1F"/>
                <w:sz w:val="20"/>
                <w:szCs w:val="20"/>
              </w:rPr>
              <w:t xml:space="preserve">0.0%</w:t>
            </w:r>
          </w:p>
        </w:tc>
      </w:tr>
      <w:tr>
        <w:tc>
          <w:tcPr>
            <w:tcW w:type="dxa" w:w="4500"/>
            <w:tcBorders>
              <w:top w:val="single" w:color="BFBFBF" w:sz="1"/>
              <w:left w:val="single" w:color="BFBFBF" w:sz="1"/>
              <w:bottom w:val="single" w:color="BFBFBF" w:sz="1"/>
              <w:right w:val="single" w:color="BFBFBF" w:sz="1"/>
            </w:tcBorders>
            <w:tcMar>
              <w:top w:type="dxa" w:w="100"/>
              <w:left w:type="dxa" w:w="120"/>
              <w:bottom w:type="dxa" w:w="100"/>
              <w:right w:type="dxa" w:w="120"/>
            </w:tcMar>
          </w:tcPr>
          <w:p>
            <w:pPr>
              <w:spacing w:after="40"/>
            </w:pPr>
            <w:r>
              <w:rPr>
                <w:rFonts w:ascii="Arial" w:cs="Arial" w:eastAsia="Arial" w:hAnsi="Arial"/>
                <w:color w:val="1F1F1F"/>
                <w:sz w:val="20"/>
                <w:szCs w:val="20"/>
              </w:rPr>
              <w:t xml:space="preserve">WIPO</w:t>
            </w:r>
          </w:p>
        </w:tc>
        <w:tc>
          <w:tcPr>
            <w:tcW w:type="dxa" w:w="1500"/>
            <w:tcBorders>
              <w:top w:val="single" w:color="BFBFBF" w:sz="1"/>
              <w:left w:val="single" w:color="BFBFBF" w:sz="1"/>
              <w:bottom w:val="single" w:color="BFBFBF" w:sz="1"/>
              <w:right w:val="single" w:color="BFBFBF" w:sz="1"/>
            </w:tcBorders>
            <w:tcMar>
              <w:top w:type="dxa" w:w="100"/>
              <w:left w:type="dxa" w:w="120"/>
              <w:bottom w:type="dxa" w:w="100"/>
              <w:right w:type="dxa" w:w="120"/>
            </w:tcMar>
          </w:tcPr>
          <w:p>
            <w:pPr>
              <w:spacing w:after="40"/>
            </w:pPr>
            <w:r>
              <w:rPr>
                <w:rFonts w:ascii="Arial" w:cs="Arial" w:eastAsia="Arial" w:hAnsi="Arial"/>
                <w:color w:val="1F1F1F"/>
                <w:sz w:val="20"/>
                <w:szCs w:val="20"/>
              </w:rPr>
              <w:t xml:space="preserve">9</w:t>
            </w:r>
          </w:p>
        </w:tc>
        <w:tc>
          <w:tcPr>
            <w:tcW w:type="dxa" w:w="1500"/>
            <w:tcBorders>
              <w:top w:val="single" w:color="BFBFBF" w:sz="1"/>
              <w:left w:val="single" w:color="BFBFBF" w:sz="1"/>
              <w:bottom w:val="single" w:color="BFBFBF" w:sz="1"/>
              <w:right w:val="single" w:color="BFBFBF" w:sz="1"/>
            </w:tcBorders>
            <w:tcMar>
              <w:top w:type="dxa" w:w="100"/>
              <w:left w:type="dxa" w:w="120"/>
              <w:bottom w:type="dxa" w:w="100"/>
              <w:right w:type="dxa" w:w="120"/>
            </w:tcMar>
          </w:tcPr>
          <w:p>
            <w:pPr>
              <w:spacing w:after="40"/>
            </w:pPr>
            <w:r>
              <w:rPr>
                <w:rFonts w:ascii="Arial" w:cs="Arial" w:eastAsia="Arial" w:hAnsi="Arial"/>
                <w:color w:val="1F1F1F"/>
                <w:sz w:val="20"/>
                <w:szCs w:val="20"/>
              </w:rPr>
              <w:t xml:space="preserve">0</w:t>
            </w:r>
          </w:p>
        </w:tc>
        <w:tc>
          <w:tcPr>
            <w:tcW w:type="dxa" w:w="1500"/>
            <w:tcBorders>
              <w:top w:val="single" w:color="BFBFBF" w:sz="1"/>
              <w:left w:val="single" w:color="BFBFBF" w:sz="1"/>
              <w:bottom w:val="single" w:color="BFBFBF" w:sz="1"/>
              <w:right w:val="single" w:color="BFBFBF" w:sz="1"/>
            </w:tcBorders>
            <w:tcMar>
              <w:top w:type="dxa" w:w="100"/>
              <w:left w:type="dxa" w:w="120"/>
              <w:bottom w:type="dxa" w:w="100"/>
              <w:right w:type="dxa" w:w="120"/>
            </w:tcMar>
          </w:tcPr>
          <w:p>
            <w:pPr>
              <w:spacing w:after="40"/>
            </w:pPr>
            <w:r>
              <w:rPr>
                <w:rFonts w:ascii="Arial" w:cs="Arial" w:eastAsia="Arial" w:hAnsi="Arial"/>
                <w:color w:val="1F1F1F"/>
                <w:sz w:val="20"/>
                <w:szCs w:val="20"/>
              </w:rPr>
              <w:t xml:space="preserve">0.0%</w:t>
            </w:r>
          </w:p>
        </w:tc>
      </w:tr>
      <w:tr>
        <w:tc>
          <w:tcPr>
            <w:tcW w:type="dxa" w:w="4500"/>
            <w:tcBorders>
              <w:top w:val="single" w:color="BFBFBF" w:sz="1"/>
              <w:left w:val="single" w:color="BFBFBF" w:sz="1"/>
              <w:bottom w:val="single" w:color="BFBFBF" w:sz="1"/>
              <w:right w:val="single" w:color="BFBFBF" w:sz="1"/>
            </w:tcBorders>
            <w:tcMar>
              <w:top w:type="dxa" w:w="100"/>
              <w:left w:type="dxa" w:w="120"/>
              <w:bottom w:type="dxa" w:w="100"/>
              <w:right w:type="dxa" w:w="120"/>
            </w:tcMar>
          </w:tcPr>
          <w:p>
            <w:pPr>
              <w:spacing w:after="40"/>
            </w:pPr>
            <w:r>
              <w:rPr>
                <w:rFonts w:ascii="Arial" w:cs="Arial" w:eastAsia="Arial" w:hAnsi="Arial"/>
                <w:color w:val="1F1F1F"/>
                <w:sz w:val="20"/>
                <w:szCs w:val="20"/>
              </w:rPr>
              <w:t xml:space="preserve">WHO</w:t>
            </w:r>
          </w:p>
        </w:tc>
        <w:tc>
          <w:tcPr>
            <w:tcW w:type="dxa" w:w="1500"/>
            <w:tcBorders>
              <w:top w:val="single" w:color="BFBFBF" w:sz="1"/>
              <w:left w:val="single" w:color="BFBFBF" w:sz="1"/>
              <w:bottom w:val="single" w:color="BFBFBF" w:sz="1"/>
              <w:right w:val="single" w:color="BFBFBF" w:sz="1"/>
            </w:tcBorders>
            <w:tcMar>
              <w:top w:type="dxa" w:w="100"/>
              <w:left w:type="dxa" w:w="120"/>
              <w:bottom w:type="dxa" w:w="100"/>
              <w:right w:type="dxa" w:w="120"/>
            </w:tcMar>
          </w:tcPr>
          <w:p>
            <w:pPr>
              <w:spacing w:after="40"/>
            </w:pPr>
            <w:r>
              <w:rPr>
                <w:rFonts w:ascii="Arial" w:cs="Arial" w:eastAsia="Arial" w:hAnsi="Arial"/>
                <w:color w:val="1F1F1F"/>
                <w:sz w:val="20"/>
                <w:szCs w:val="20"/>
              </w:rPr>
              <w:t xml:space="preserve">11</w:t>
            </w:r>
          </w:p>
        </w:tc>
        <w:tc>
          <w:tcPr>
            <w:tcW w:type="dxa" w:w="1500"/>
            <w:tcBorders>
              <w:top w:val="single" w:color="BFBFBF" w:sz="1"/>
              <w:left w:val="single" w:color="BFBFBF" w:sz="1"/>
              <w:bottom w:val="single" w:color="BFBFBF" w:sz="1"/>
              <w:right w:val="single" w:color="BFBFBF" w:sz="1"/>
            </w:tcBorders>
            <w:tcMar>
              <w:top w:type="dxa" w:w="100"/>
              <w:left w:type="dxa" w:w="120"/>
              <w:bottom w:type="dxa" w:w="100"/>
              <w:right w:type="dxa" w:w="120"/>
            </w:tcMar>
          </w:tcPr>
          <w:p>
            <w:pPr>
              <w:spacing w:after="40"/>
            </w:pPr>
            <w:r>
              <w:rPr>
                <w:rFonts w:ascii="Arial" w:cs="Arial" w:eastAsia="Arial" w:hAnsi="Arial"/>
                <w:color w:val="1F1F1F"/>
                <w:sz w:val="20"/>
                <w:szCs w:val="20"/>
              </w:rPr>
              <w:t xml:space="preserve">0</w:t>
            </w:r>
          </w:p>
        </w:tc>
        <w:tc>
          <w:tcPr>
            <w:tcW w:type="dxa" w:w="1500"/>
            <w:tcBorders>
              <w:top w:val="single" w:color="BFBFBF" w:sz="1"/>
              <w:left w:val="single" w:color="BFBFBF" w:sz="1"/>
              <w:bottom w:val="single" w:color="BFBFBF" w:sz="1"/>
              <w:right w:val="single" w:color="BFBFBF" w:sz="1"/>
            </w:tcBorders>
            <w:tcMar>
              <w:top w:type="dxa" w:w="100"/>
              <w:left w:type="dxa" w:w="120"/>
              <w:bottom w:type="dxa" w:w="100"/>
              <w:right w:type="dxa" w:w="120"/>
            </w:tcMar>
          </w:tcPr>
          <w:p>
            <w:pPr>
              <w:spacing w:after="40"/>
            </w:pPr>
            <w:r>
              <w:rPr>
                <w:rFonts w:ascii="Arial" w:cs="Arial" w:eastAsia="Arial" w:hAnsi="Arial"/>
                <w:color w:val="1F1F1F"/>
                <w:sz w:val="20"/>
                <w:szCs w:val="20"/>
              </w:rPr>
              <w:t xml:space="preserve">0.0%</w:t>
            </w:r>
          </w:p>
        </w:tc>
      </w:tr>
    </w:tbl>
    <w:p>
      <w:pPr>
        <w:spacing w:after="80"/>
      </w:pPr>
      <w:r>
        <w:t xml:space="preserve"/>
      </w:r>
    </w:p>
    <w:p>
      <w:pPr>
        <w:spacing w:after="160" w:line="300" w:lineRule="auto"/>
        <w:jc w:val="both"/>
      </w:pPr>
      <w:r>
        <w:rPr>
          <w:rFonts w:ascii="Arial" w:cs="Arial" w:eastAsia="Arial" w:hAnsi="Arial"/>
          <w:b/>
          <w:bCs/>
          <w:color w:val="1F1F1F"/>
          <w:sz w:val="22"/>
          <w:szCs w:val="22"/>
        </w:rPr>
        <w:t xml:space="preserve">UNDP at 35% is the closest UN-system peer to UNICC. </w:t>
      </w:r>
      <w:r>
        <w:rPr>
          <w:rFonts w:ascii="Arial" w:cs="Arial" w:eastAsia="Arial" w:hAnsi="Arial"/>
          <w:color w:val="1F1F1F"/>
          <w:sz w:val="22"/>
          <w:szCs w:val="22"/>
        </w:rPr>
        <w:t xml:space="preserve">Same recruitment frameworks, same procurement constraints, similar mandate. Its AI-Core postings include 'AI Innovation Intern', 'Urban Data and AI Specialist (Green Transition)', 'Tech Lead Analyst, Software Engineering and Data Science', 'Digital, AI and Innovation Internship: Global Call for 2026'. The depth of integration — down to entry and intern level — is the substantive difference between UNDP and UNICC.</w:t>
      </w:r>
    </w:p>
    <w:p>
      <w:pPr>
        <w:spacing w:after="160" w:line="300" w:lineRule="auto"/>
        <w:jc w:val="both"/>
      </w:pPr>
      <w:r>
        <w:rPr>
          <w:rFonts w:ascii="Arial" w:cs="Arial" w:eastAsia="Arial" w:hAnsi="Arial"/>
          <w:b/>
          <w:bCs/>
          <w:color w:val="1F1F1F"/>
          <w:sz w:val="22"/>
          <w:szCs w:val="22"/>
        </w:rPr>
        <w:t xml:space="preserve">World Bank Group at 40% demonstrates the achievable ceiling within a multilateral framework. </w:t>
      </w:r>
      <w:r>
        <w:rPr>
          <w:rFonts w:ascii="Arial" w:cs="Arial" w:eastAsia="Arial" w:hAnsi="Arial"/>
          <w:color w:val="1F1F1F"/>
          <w:sz w:val="22"/>
          <w:szCs w:val="22"/>
        </w:rPr>
        <w:t xml:space="preserve">Its AI-Core postings include 'Software Engineer' with explicit AI / generative AI / Copilot requirements, 'Associate Software Engineer' with AI / ML / NLP / LLM / generative AI specifications. The bar is unambiguous; these are AI-Core roles by any reasonable definition.</w:t>
      </w:r>
    </w:p>
    <w:p>
      <w:pPr>
        <w:spacing w:after="160" w:line="300" w:lineRule="auto"/>
        <w:jc w:val="both"/>
      </w:pPr>
      <w:r>
        <w:rPr>
          <w:rFonts w:ascii="Arial" w:cs="Arial" w:eastAsia="Arial" w:hAnsi="Arial"/>
          <w:b/>
          <w:bCs/>
          <w:color w:val="1F1F1F"/>
          <w:sz w:val="22"/>
          <w:szCs w:val="22"/>
        </w:rPr>
        <w:t xml:space="preserve">Among UNICC's closest organisational analogues, AI-Core references are absent. </w:t>
      </w:r>
      <w:r>
        <w:rPr>
          <w:rFonts w:ascii="Arial" w:cs="Arial" w:eastAsia="Arial" w:hAnsi="Arial"/>
          <w:color w:val="1F1F1F"/>
          <w:sz w:val="22"/>
          <w:szCs w:val="22"/>
        </w:rPr>
        <w:t xml:space="preserve">OICT (the UN Secretariat's central IT function), UNRWA Information Management HQ, IOM, UNCTAD, WHO, WIPO — none have AI-Core postings in the window. This is the cohort UNICC's stock figure most resembles. It is not a cohort in motion.</w:t>
      </w:r>
    </w:p>
    <w:p>
      <w:pPr>
        <w:pStyle w:val="Heading1"/>
        <w:spacing w:after="200" w:before="320"/>
      </w:pPr>
      <w:r>
        <w:rPr>
          <w:rFonts w:ascii="Arial" w:cs="Arial" w:eastAsia="Arial" w:hAnsi="Arial"/>
          <w:b/>
          <w:bCs/>
          <w:color w:val="1F4E79"/>
          <w:sz w:val="30"/>
          <w:szCs w:val="30"/>
        </w:rPr>
        <w:t xml:space="preserve">4. Convergence Trajectory</w:t>
      </w:r>
    </w:p>
    <w:p>
      <w:pPr>
        <w:spacing w:after="160" w:line="300" w:lineRule="auto"/>
        <w:jc w:val="both"/>
      </w:pPr>
      <w:r>
        <w:rPr>
          <w:rFonts w:ascii="Arial" w:cs="Arial" w:eastAsia="Arial" w:hAnsi="Arial"/>
          <w:color w:val="1F1F1F"/>
          <w:sz w:val="22"/>
          <w:szCs w:val="22"/>
        </w:rPr>
        <w:t xml:space="preserve">Figure 3 shows four illustrative scenarios for UNICC's PD library trajectory, anchored on peer reference points re-measured at the strict tier.</w:t>
      </w:r>
    </w:p>
    <w:p>
      <w:pPr>
        <w:spacing w:after="100" w:before="200"/>
        <w:jc w:val="center"/>
      </w:pPr>
      <w:r>
        <w:drawing>
          <wp:inline distT="0" distB="0" distL="0" distR="0">
            <wp:extent cx="5715000" cy="2419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2419350"/>
                    </a:xfrm>
                    <a:prstGeom prst="rect">
                      <a:avLst/>
                    </a:prstGeom>
                  </pic:spPr>
                </pic:pic>
              </a:graphicData>
            </a:graphic>
          </wp:inline>
        </w:drawing>
      </w:r>
    </w:p>
    <w:p>
      <w:pPr>
        <w:spacing w:after="240" w:before="0"/>
        <w:jc w:val="center"/>
      </w:pPr>
      <w:r>
        <w:rPr>
          <w:rFonts w:ascii="Arial" w:cs="Arial" w:eastAsia="Arial" w:hAnsi="Arial"/>
          <w:i/>
          <w:iCs/>
          <w:color w:val="595959"/>
          <w:sz w:val="18"/>
          <w:szCs w:val="18"/>
        </w:rPr>
        <w:t xml:space="preserve">Figure 3: UNICC PD AI-Core convergence trajectory by scenario, with peer reference lines. Peer figures are themselves moving and shown as point-in-time anchors.</w:t>
      </w:r>
    </w:p>
    <w:p>
      <w:pPr>
        <w:spacing w:after="80"/>
      </w:pPr>
      <w: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4500"/>
        <w:gridCol w:w="1300"/>
        <w:gridCol w:w="1300"/>
        <w:gridCol w:w="2900"/>
      </w:tblGrid>
      <w:tr>
        <w:trPr>
          <w:tblHeader/>
        </w:trPr>
        <w:tc>
          <w:tcPr>
            <w:tcW w:type="dxa" w:w="4500"/>
            <w:tcBorders>
              <w:top w:val="single" w:color="BFBFBF" w:sz="1"/>
              <w:left w:val="single" w:color="BFBFBF" w:sz="1"/>
              <w:bottom w:val="single" w:color="BFBFBF" w:sz="1"/>
              <w:right w:val="single" w:color="BFBFBF" w:sz="1"/>
            </w:tcBorders>
            <w:shd w:fill="D5E8F0" w:color="auto" w:val="clear"/>
            <w:tcMar>
              <w:top w:type="dxa" w:w="100"/>
              <w:left w:type="dxa" w:w="120"/>
              <w:bottom w:type="dxa" w:w="100"/>
              <w:right w:type="dxa" w:w="120"/>
            </w:tcMar>
          </w:tcPr>
          <w:p>
            <w:pPr>
              <w:spacing w:after="0"/>
            </w:pPr>
            <w:r>
              <w:rPr>
                <w:rFonts w:ascii="Arial" w:cs="Arial" w:eastAsia="Arial" w:hAnsi="Arial"/>
                <w:b/>
                <w:bCs/>
                <w:color w:val="1F1F1F"/>
                <w:sz w:val="20"/>
                <w:szCs w:val="20"/>
              </w:rPr>
              <w:t xml:space="preserve">Scenario</w:t>
            </w:r>
          </w:p>
        </w:tc>
        <w:tc>
          <w:tcPr>
            <w:tcW w:type="dxa" w:w="1300"/>
            <w:tcBorders>
              <w:top w:val="single" w:color="BFBFBF" w:sz="1"/>
              <w:left w:val="single" w:color="BFBFBF" w:sz="1"/>
              <w:bottom w:val="single" w:color="BFBFBF" w:sz="1"/>
              <w:right w:val="single" w:color="BFBFBF" w:sz="1"/>
            </w:tcBorders>
            <w:shd w:fill="D5E8F0" w:color="auto" w:val="clear"/>
            <w:tcMar>
              <w:top w:type="dxa" w:w="100"/>
              <w:left w:type="dxa" w:w="120"/>
              <w:bottom w:type="dxa" w:w="100"/>
              <w:right w:type="dxa" w:w="120"/>
            </w:tcMar>
          </w:tcPr>
          <w:p>
            <w:pPr>
              <w:spacing w:after="0"/>
            </w:pPr>
            <w:r>
              <w:rPr>
                <w:rFonts w:ascii="Arial" w:cs="Arial" w:eastAsia="Arial" w:hAnsi="Arial"/>
                <w:b/>
                <w:bCs/>
                <w:color w:val="1F1F1F"/>
                <w:sz w:val="20"/>
                <w:szCs w:val="20"/>
              </w:rPr>
              <w:t xml:space="preserve">Year 1</w:t>
            </w:r>
          </w:p>
        </w:tc>
        <w:tc>
          <w:tcPr>
            <w:tcW w:type="dxa" w:w="1300"/>
            <w:tcBorders>
              <w:top w:val="single" w:color="BFBFBF" w:sz="1"/>
              <w:left w:val="single" w:color="BFBFBF" w:sz="1"/>
              <w:bottom w:val="single" w:color="BFBFBF" w:sz="1"/>
              <w:right w:val="single" w:color="BFBFBF" w:sz="1"/>
            </w:tcBorders>
            <w:shd w:fill="D5E8F0" w:color="auto" w:val="clear"/>
            <w:tcMar>
              <w:top w:type="dxa" w:w="100"/>
              <w:left w:type="dxa" w:w="120"/>
              <w:bottom w:type="dxa" w:w="100"/>
              <w:right w:type="dxa" w:w="120"/>
            </w:tcMar>
          </w:tcPr>
          <w:p>
            <w:pPr>
              <w:spacing w:after="0"/>
            </w:pPr>
            <w:r>
              <w:rPr>
                <w:rFonts w:ascii="Arial" w:cs="Arial" w:eastAsia="Arial" w:hAnsi="Arial"/>
                <w:b/>
                <w:bCs/>
                <w:color w:val="1F1F1F"/>
                <w:sz w:val="20"/>
                <w:szCs w:val="20"/>
              </w:rPr>
              <w:t xml:space="preserve">Year 5</w:t>
            </w:r>
          </w:p>
        </w:tc>
        <w:tc>
          <w:tcPr>
            <w:tcW w:type="dxa" w:w="2900"/>
            <w:tcBorders>
              <w:top w:val="single" w:color="BFBFBF" w:sz="1"/>
              <w:left w:val="single" w:color="BFBFBF" w:sz="1"/>
              <w:bottom w:val="single" w:color="BFBFBF" w:sz="1"/>
              <w:right w:val="single" w:color="BFBFBF" w:sz="1"/>
            </w:tcBorders>
            <w:shd w:fill="D5E8F0" w:color="auto" w:val="clear"/>
            <w:tcMar>
              <w:top w:type="dxa" w:w="100"/>
              <w:left w:type="dxa" w:w="120"/>
              <w:bottom w:type="dxa" w:w="100"/>
              <w:right w:type="dxa" w:w="120"/>
            </w:tcMar>
          </w:tcPr>
          <w:p>
            <w:pPr>
              <w:spacing w:after="0"/>
            </w:pPr>
            <w:r>
              <w:rPr>
                <w:rFonts w:ascii="Arial" w:cs="Arial" w:eastAsia="Arial" w:hAnsi="Arial"/>
                <w:b/>
                <w:bCs/>
                <w:color w:val="1F1F1F"/>
                <w:sz w:val="20"/>
                <w:szCs w:val="20"/>
              </w:rPr>
              <w:t xml:space="preserve">Reaches</w:t>
            </w:r>
          </w:p>
        </w:tc>
      </w:tr>
      <w:tr>
        <w:tc>
          <w:tcPr>
            <w:tcW w:type="dxa" w:w="4500"/>
            <w:tcBorders>
              <w:top w:val="single" w:color="BFBFBF" w:sz="1"/>
              <w:left w:val="single" w:color="BFBFBF" w:sz="1"/>
              <w:bottom w:val="single" w:color="BFBFBF" w:sz="1"/>
              <w:right w:val="single" w:color="BFBFBF" w:sz="1"/>
            </w:tcBorders>
            <w:tcMar>
              <w:top w:type="dxa" w:w="100"/>
              <w:left w:type="dxa" w:w="120"/>
              <w:bottom w:type="dxa" w:w="100"/>
              <w:right w:type="dxa" w:w="120"/>
            </w:tcMar>
          </w:tcPr>
          <w:p>
            <w:pPr>
              <w:spacing w:after="40"/>
            </w:pPr>
            <w:r>
              <w:rPr>
                <w:rFonts w:ascii="Arial" w:cs="Arial" w:eastAsia="Arial" w:hAnsi="Arial"/>
                <w:color w:val="1F1F1F"/>
                <w:sz w:val="20"/>
                <w:szCs w:val="20"/>
              </w:rPr>
              <w:t xml:space="preserve">A. Status quo (no template change)</w:t>
            </w:r>
          </w:p>
        </w:tc>
        <w:tc>
          <w:tcPr>
            <w:tcW w:type="dxa" w:w="1300"/>
            <w:tcBorders>
              <w:top w:val="single" w:color="BFBFBF" w:sz="1"/>
              <w:left w:val="single" w:color="BFBFBF" w:sz="1"/>
              <w:bottom w:val="single" w:color="BFBFBF" w:sz="1"/>
              <w:right w:val="single" w:color="BFBFBF" w:sz="1"/>
            </w:tcBorders>
            <w:tcMar>
              <w:top w:type="dxa" w:w="100"/>
              <w:left w:type="dxa" w:w="120"/>
              <w:bottom w:type="dxa" w:w="100"/>
              <w:right w:type="dxa" w:w="120"/>
            </w:tcMar>
          </w:tcPr>
          <w:p>
            <w:pPr>
              <w:spacing w:after="40"/>
            </w:pPr>
            <w:r>
              <w:rPr>
                <w:rFonts w:ascii="Arial" w:cs="Arial" w:eastAsia="Arial" w:hAnsi="Arial"/>
                <w:color w:val="1F1F1F"/>
                <w:sz w:val="20"/>
                <w:szCs w:val="20"/>
              </w:rPr>
              <w:t xml:space="preserve">1.9%</w:t>
            </w:r>
          </w:p>
        </w:tc>
        <w:tc>
          <w:tcPr>
            <w:tcW w:type="dxa" w:w="1300"/>
            <w:tcBorders>
              <w:top w:val="single" w:color="BFBFBF" w:sz="1"/>
              <w:left w:val="single" w:color="BFBFBF" w:sz="1"/>
              <w:bottom w:val="single" w:color="BFBFBF" w:sz="1"/>
              <w:right w:val="single" w:color="BFBFBF" w:sz="1"/>
            </w:tcBorders>
            <w:tcMar>
              <w:top w:type="dxa" w:w="100"/>
              <w:left w:type="dxa" w:w="120"/>
              <w:bottom w:type="dxa" w:w="100"/>
              <w:right w:type="dxa" w:w="120"/>
            </w:tcMar>
          </w:tcPr>
          <w:p>
            <w:pPr>
              <w:spacing w:after="40"/>
            </w:pPr>
            <w:r>
              <w:rPr>
                <w:rFonts w:ascii="Arial" w:cs="Arial" w:eastAsia="Arial" w:hAnsi="Arial"/>
                <w:color w:val="1F1F1F"/>
                <w:sz w:val="20"/>
                <w:szCs w:val="20"/>
              </w:rPr>
              <w:t xml:space="preserve">1.9%</w:t>
            </w:r>
          </w:p>
        </w:tc>
        <w:tc>
          <w:tcPr>
            <w:tcW w:type="dxa" w:w="2900"/>
            <w:tcBorders>
              <w:top w:val="single" w:color="BFBFBF" w:sz="1"/>
              <w:left w:val="single" w:color="BFBFBF" w:sz="1"/>
              <w:bottom w:val="single" w:color="BFBFBF" w:sz="1"/>
              <w:right w:val="single" w:color="BFBFBF" w:sz="1"/>
            </w:tcBorders>
            <w:tcMar>
              <w:top w:type="dxa" w:w="100"/>
              <w:left w:type="dxa" w:w="120"/>
              <w:bottom w:type="dxa" w:w="100"/>
              <w:right w:type="dxa" w:w="120"/>
            </w:tcMar>
          </w:tcPr>
          <w:p>
            <w:pPr>
              <w:spacing w:after="40"/>
            </w:pPr>
            <w:r>
              <w:rPr>
                <w:rFonts w:ascii="Arial" w:cs="Arial" w:eastAsia="Arial" w:hAnsi="Arial"/>
                <w:color w:val="1F1F1F"/>
                <w:sz w:val="20"/>
                <w:szCs w:val="20"/>
              </w:rPr>
              <w:t xml:space="preserve">Nothing — relative gap widens</w:t>
            </w:r>
          </w:p>
        </w:tc>
      </w:tr>
      <w:tr>
        <w:tc>
          <w:tcPr>
            <w:tcW w:type="dxa" w:w="4500"/>
            <w:tcBorders>
              <w:top w:val="single" w:color="BFBFBF" w:sz="1"/>
              <w:left w:val="single" w:color="BFBFBF" w:sz="1"/>
              <w:bottom w:val="single" w:color="BFBFBF" w:sz="1"/>
              <w:right w:val="single" w:color="BFBFBF" w:sz="1"/>
            </w:tcBorders>
            <w:tcMar>
              <w:top w:type="dxa" w:w="100"/>
              <w:left w:type="dxa" w:w="120"/>
              <w:bottom w:type="dxa" w:w="100"/>
              <w:right w:type="dxa" w:w="120"/>
            </w:tcMar>
          </w:tcPr>
          <w:p>
            <w:pPr>
              <w:spacing w:after="40"/>
            </w:pPr>
            <w:r>
              <w:rPr>
                <w:rFonts w:ascii="Arial" w:cs="Arial" w:eastAsia="Arial" w:hAnsi="Arial"/>
                <w:color w:val="1F1F1F"/>
                <w:sz w:val="20"/>
                <w:szCs w:val="20"/>
              </w:rPr>
              <w:t xml:space="preserve">B. AI lens added to PD template (Q3 2026)</w:t>
            </w:r>
          </w:p>
        </w:tc>
        <w:tc>
          <w:tcPr>
            <w:tcW w:type="dxa" w:w="1300"/>
            <w:tcBorders>
              <w:top w:val="single" w:color="BFBFBF" w:sz="1"/>
              <w:left w:val="single" w:color="BFBFBF" w:sz="1"/>
              <w:bottom w:val="single" w:color="BFBFBF" w:sz="1"/>
              <w:right w:val="single" w:color="BFBFBF" w:sz="1"/>
            </w:tcBorders>
            <w:tcMar>
              <w:top w:type="dxa" w:w="100"/>
              <w:left w:type="dxa" w:w="120"/>
              <w:bottom w:type="dxa" w:w="100"/>
              <w:right w:type="dxa" w:w="120"/>
            </w:tcMar>
          </w:tcPr>
          <w:p>
            <w:pPr>
              <w:spacing w:after="40"/>
            </w:pPr>
            <w:r>
              <w:rPr>
                <w:rFonts w:ascii="Arial" w:cs="Arial" w:eastAsia="Arial" w:hAnsi="Arial"/>
                <w:color w:val="1F1F1F"/>
                <w:sz w:val="20"/>
                <w:szCs w:val="20"/>
              </w:rPr>
              <w:t xml:space="preserve">8%</w:t>
            </w:r>
          </w:p>
        </w:tc>
        <w:tc>
          <w:tcPr>
            <w:tcW w:type="dxa" w:w="1300"/>
            <w:tcBorders>
              <w:top w:val="single" w:color="BFBFBF" w:sz="1"/>
              <w:left w:val="single" w:color="BFBFBF" w:sz="1"/>
              <w:bottom w:val="single" w:color="BFBFBF" w:sz="1"/>
              <w:right w:val="single" w:color="BFBFBF" w:sz="1"/>
            </w:tcBorders>
            <w:tcMar>
              <w:top w:type="dxa" w:w="100"/>
              <w:left w:type="dxa" w:w="120"/>
              <w:bottom w:type="dxa" w:w="100"/>
              <w:right w:type="dxa" w:w="120"/>
            </w:tcMar>
          </w:tcPr>
          <w:p>
            <w:pPr>
              <w:spacing w:after="40"/>
            </w:pPr>
            <w:r>
              <w:rPr>
                <w:rFonts w:ascii="Arial" w:cs="Arial" w:eastAsia="Arial" w:hAnsi="Arial"/>
                <w:color w:val="1F1F1F"/>
                <w:sz w:val="20"/>
                <w:szCs w:val="20"/>
              </w:rPr>
              <w:t xml:space="preserve">27%</w:t>
            </w:r>
          </w:p>
        </w:tc>
        <w:tc>
          <w:tcPr>
            <w:tcW w:type="dxa" w:w="2900"/>
            <w:tcBorders>
              <w:top w:val="single" w:color="BFBFBF" w:sz="1"/>
              <w:left w:val="single" w:color="BFBFBF" w:sz="1"/>
              <w:bottom w:val="single" w:color="BFBFBF" w:sz="1"/>
              <w:right w:val="single" w:color="BFBFBF" w:sz="1"/>
            </w:tcBorders>
            <w:tcMar>
              <w:top w:type="dxa" w:w="100"/>
              <w:left w:type="dxa" w:w="120"/>
              <w:bottom w:type="dxa" w:w="100"/>
              <w:right w:type="dxa" w:w="120"/>
            </w:tcMar>
          </w:tcPr>
          <w:p>
            <w:pPr>
              <w:spacing w:after="40"/>
            </w:pPr>
            <w:r>
              <w:rPr>
                <w:rFonts w:ascii="Arial" w:cs="Arial" w:eastAsia="Arial" w:hAnsi="Arial"/>
                <w:color w:val="1F1F1F"/>
                <w:sz w:val="20"/>
                <w:szCs w:val="20"/>
              </w:rPr>
              <w:t xml:space="preserve">UNOPS-equivalent by Year 3</w:t>
            </w:r>
          </w:p>
        </w:tc>
      </w:tr>
      <w:tr>
        <w:tc>
          <w:tcPr>
            <w:tcW w:type="dxa" w:w="4500"/>
            <w:tcBorders>
              <w:top w:val="single" w:color="BFBFBF" w:sz="1"/>
              <w:left w:val="single" w:color="BFBFBF" w:sz="1"/>
              <w:bottom w:val="single" w:color="BFBFBF" w:sz="1"/>
              <w:right w:val="single" w:color="BFBFBF" w:sz="1"/>
            </w:tcBorders>
            <w:shd w:fill="E7F0F7" w:color="auto" w:val="clear"/>
            <w:tcMar>
              <w:top w:type="dxa" w:w="100"/>
              <w:left w:type="dxa" w:w="120"/>
              <w:bottom w:type="dxa" w:w="100"/>
              <w:right w:type="dxa" w:w="120"/>
            </w:tcMar>
          </w:tcPr>
          <w:p>
            <w:pPr>
              <w:spacing w:after="40"/>
            </w:pPr>
            <w:r>
              <w:rPr>
                <w:rFonts w:ascii="Arial" w:cs="Arial" w:eastAsia="Arial" w:hAnsi="Arial"/>
                <w:color w:val="1F1F1F"/>
                <w:sz w:val="20"/>
                <w:szCs w:val="20"/>
              </w:rPr>
              <w:t xml:space="preserve">C. Template + priority function refresh (Year 1)</w:t>
            </w:r>
          </w:p>
        </w:tc>
        <w:tc>
          <w:tcPr>
            <w:tcW w:type="dxa" w:w="1300"/>
            <w:tcBorders>
              <w:top w:val="single" w:color="BFBFBF" w:sz="1"/>
              <w:left w:val="single" w:color="BFBFBF" w:sz="1"/>
              <w:bottom w:val="single" w:color="BFBFBF" w:sz="1"/>
              <w:right w:val="single" w:color="BFBFBF" w:sz="1"/>
            </w:tcBorders>
            <w:shd w:fill="E7F0F7" w:color="auto" w:val="clear"/>
            <w:tcMar>
              <w:top w:type="dxa" w:w="100"/>
              <w:left w:type="dxa" w:w="120"/>
              <w:bottom w:type="dxa" w:w="100"/>
              <w:right w:type="dxa" w:w="120"/>
            </w:tcMar>
          </w:tcPr>
          <w:p>
            <w:pPr>
              <w:spacing w:after="40"/>
            </w:pPr>
            <w:r>
              <w:rPr>
                <w:rFonts w:ascii="Arial" w:cs="Arial" w:eastAsia="Arial" w:hAnsi="Arial"/>
                <w:color w:val="1F1F1F"/>
                <w:sz w:val="20"/>
                <w:szCs w:val="20"/>
              </w:rPr>
              <w:t xml:space="preserve">22%</w:t>
            </w:r>
          </w:p>
        </w:tc>
        <w:tc>
          <w:tcPr>
            <w:tcW w:type="dxa" w:w="1300"/>
            <w:tcBorders>
              <w:top w:val="single" w:color="BFBFBF" w:sz="1"/>
              <w:left w:val="single" w:color="BFBFBF" w:sz="1"/>
              <w:bottom w:val="single" w:color="BFBFBF" w:sz="1"/>
              <w:right w:val="single" w:color="BFBFBF" w:sz="1"/>
            </w:tcBorders>
            <w:shd w:fill="E7F0F7" w:color="auto" w:val="clear"/>
            <w:tcMar>
              <w:top w:type="dxa" w:w="100"/>
              <w:left w:type="dxa" w:w="120"/>
              <w:bottom w:type="dxa" w:w="100"/>
              <w:right w:type="dxa" w:w="120"/>
            </w:tcMar>
          </w:tcPr>
          <w:p>
            <w:pPr>
              <w:spacing w:after="40"/>
            </w:pPr>
            <w:r>
              <w:rPr>
                <w:rFonts w:ascii="Arial" w:cs="Arial" w:eastAsia="Arial" w:hAnsi="Arial"/>
                <w:color w:val="1F1F1F"/>
                <w:sz w:val="20"/>
                <w:szCs w:val="20"/>
              </w:rPr>
              <w:t xml:space="preserve">37%</w:t>
            </w:r>
          </w:p>
        </w:tc>
        <w:tc>
          <w:tcPr>
            <w:tcW w:type="dxa" w:w="2900"/>
            <w:tcBorders>
              <w:top w:val="single" w:color="BFBFBF" w:sz="1"/>
              <w:left w:val="single" w:color="BFBFBF" w:sz="1"/>
              <w:bottom w:val="single" w:color="BFBFBF" w:sz="1"/>
              <w:right w:val="single" w:color="BFBFBF" w:sz="1"/>
            </w:tcBorders>
            <w:shd w:fill="E7F0F7" w:color="auto" w:val="clear"/>
            <w:tcMar>
              <w:top w:type="dxa" w:w="100"/>
              <w:left w:type="dxa" w:w="120"/>
              <w:bottom w:type="dxa" w:w="100"/>
              <w:right w:type="dxa" w:w="120"/>
            </w:tcMar>
          </w:tcPr>
          <w:p>
            <w:pPr>
              <w:spacing w:after="40"/>
            </w:pPr>
            <w:r>
              <w:rPr>
                <w:rFonts w:ascii="Arial" w:cs="Arial" w:eastAsia="Arial" w:hAnsi="Arial"/>
                <w:color w:val="1F1F1F"/>
                <w:sz w:val="20"/>
                <w:szCs w:val="20"/>
              </w:rPr>
              <w:t xml:space="preserve">UNDP-equivalent by Year 4</w:t>
            </w:r>
          </w:p>
        </w:tc>
      </w:tr>
      <w:tr>
        <w:tc>
          <w:tcPr>
            <w:tcW w:type="dxa" w:w="4500"/>
            <w:tcBorders>
              <w:top w:val="single" w:color="BFBFBF" w:sz="1"/>
              <w:left w:val="single" w:color="BFBFBF" w:sz="1"/>
              <w:bottom w:val="single" w:color="BFBFBF" w:sz="1"/>
              <w:right w:val="single" w:color="BFBFBF" w:sz="1"/>
            </w:tcBorders>
            <w:tcMar>
              <w:top w:type="dxa" w:w="100"/>
              <w:left w:type="dxa" w:w="120"/>
              <w:bottom w:type="dxa" w:w="100"/>
              <w:right w:type="dxa" w:w="120"/>
            </w:tcMar>
          </w:tcPr>
          <w:p>
            <w:pPr>
              <w:spacing w:after="40"/>
            </w:pPr>
            <w:r>
              <w:rPr>
                <w:rFonts w:ascii="Arial" w:cs="Arial" w:eastAsia="Arial" w:hAnsi="Arial"/>
                <w:color w:val="1F1F1F"/>
                <w:sz w:val="20"/>
                <w:szCs w:val="20"/>
              </w:rPr>
              <w:t xml:space="preserve">D. Full PD library refresh (12-18 months)</w:t>
            </w:r>
          </w:p>
        </w:tc>
        <w:tc>
          <w:tcPr>
            <w:tcW w:type="dxa" w:w="1300"/>
            <w:tcBorders>
              <w:top w:val="single" w:color="BFBFBF" w:sz="1"/>
              <w:left w:val="single" w:color="BFBFBF" w:sz="1"/>
              <w:bottom w:val="single" w:color="BFBFBF" w:sz="1"/>
              <w:right w:val="single" w:color="BFBFBF" w:sz="1"/>
            </w:tcBorders>
            <w:tcMar>
              <w:top w:type="dxa" w:w="100"/>
              <w:left w:type="dxa" w:w="120"/>
              <w:bottom w:type="dxa" w:w="100"/>
              <w:right w:type="dxa" w:w="120"/>
            </w:tcMar>
          </w:tcPr>
          <w:p>
            <w:pPr>
              <w:spacing w:after="40"/>
            </w:pPr>
            <w:r>
              <w:rPr>
                <w:rFonts w:ascii="Arial" w:cs="Arial" w:eastAsia="Arial" w:hAnsi="Arial"/>
                <w:color w:val="1F1F1F"/>
                <w:sz w:val="20"/>
                <w:szCs w:val="20"/>
              </w:rPr>
              <w:t xml:space="preserve">38%</w:t>
            </w:r>
          </w:p>
        </w:tc>
        <w:tc>
          <w:tcPr>
            <w:tcW w:type="dxa" w:w="1300"/>
            <w:tcBorders>
              <w:top w:val="single" w:color="BFBFBF" w:sz="1"/>
              <w:left w:val="single" w:color="BFBFBF" w:sz="1"/>
              <w:bottom w:val="single" w:color="BFBFBF" w:sz="1"/>
              <w:right w:val="single" w:color="BFBFBF" w:sz="1"/>
            </w:tcBorders>
            <w:tcMar>
              <w:top w:type="dxa" w:w="100"/>
              <w:left w:type="dxa" w:w="120"/>
              <w:bottom w:type="dxa" w:w="100"/>
              <w:right w:type="dxa" w:w="120"/>
            </w:tcMar>
          </w:tcPr>
          <w:p>
            <w:pPr>
              <w:spacing w:after="40"/>
            </w:pPr>
            <w:r>
              <w:rPr>
                <w:rFonts w:ascii="Arial" w:cs="Arial" w:eastAsia="Arial" w:hAnsi="Arial"/>
                <w:color w:val="1F1F1F"/>
                <w:sz w:val="20"/>
                <w:szCs w:val="20"/>
              </w:rPr>
              <w:t xml:space="preserve">60%</w:t>
            </w:r>
          </w:p>
        </w:tc>
        <w:tc>
          <w:tcPr>
            <w:tcW w:type="dxa" w:w="2900"/>
            <w:tcBorders>
              <w:top w:val="single" w:color="BFBFBF" w:sz="1"/>
              <w:left w:val="single" w:color="BFBFBF" w:sz="1"/>
              <w:bottom w:val="single" w:color="BFBFBF" w:sz="1"/>
              <w:right w:val="single" w:color="BFBFBF" w:sz="1"/>
            </w:tcBorders>
            <w:tcMar>
              <w:top w:type="dxa" w:w="100"/>
              <w:left w:type="dxa" w:w="120"/>
              <w:bottom w:type="dxa" w:w="100"/>
              <w:right w:type="dxa" w:w="120"/>
            </w:tcMar>
          </w:tcPr>
          <w:p>
            <w:pPr>
              <w:spacing w:after="40"/>
            </w:pPr>
            <w:r>
              <w:rPr>
                <w:rFonts w:ascii="Arial" w:cs="Arial" w:eastAsia="Arial" w:hAnsi="Arial"/>
                <w:color w:val="1F1F1F"/>
                <w:sz w:val="20"/>
                <w:szCs w:val="20"/>
              </w:rPr>
              <w:t xml:space="preserve">World Bank / private-sector parity by Year 2</w:t>
            </w:r>
          </w:p>
        </w:tc>
      </w:tr>
    </w:tbl>
    <w:p>
      <w:pPr>
        <w:spacing w:after="80"/>
      </w:pPr>
      <w:r>
        <w:t xml:space="preserve"/>
      </w:r>
    </w:p>
    <w:p>
      <w:pPr>
        <w:spacing w:after="160" w:line="300" w:lineRule="auto"/>
        <w:jc w:val="both"/>
      </w:pPr>
      <w:r>
        <w:rPr>
          <w:rFonts w:ascii="Arial" w:cs="Arial" w:eastAsia="Arial" w:hAnsi="Arial"/>
          <w:color w:val="1F1F1F"/>
          <w:sz w:val="22"/>
          <w:szCs w:val="22"/>
        </w:rPr>
        <w:t xml:space="preserve">Scenario A is the only scenario under which UNICC's relative position deteriorates over the window; it should not be the working plan. Scenario B is the parent paper's existing recommendation; it does not catch UNDP within the strategic window. Scenario C is calibrated to the function-level finding in Section 2.3 — refresh the approximately 195 PDs in Cybersecurity, Digital Workplace, Enterprise Apps, and Network during Year 1 — and reaches UNDP's current position by Year 4. Scenario D is the escalation path.</w:t>
      </w:r>
    </w:p>
    <w:p>
      <w:pPr>
        <w:pStyle w:val="Heading1"/>
        <w:spacing w:after="200" w:before="320"/>
      </w:pPr>
      <w:r>
        <w:rPr>
          <w:rFonts w:ascii="Arial" w:cs="Arial" w:eastAsia="Arial" w:hAnsi="Arial"/>
          <w:b/>
          <w:bCs/>
          <w:color w:val="1F4E79"/>
          <w:sz w:val="30"/>
          <w:szCs w:val="30"/>
        </w:rPr>
        <w:t xml:space="preserve">5. The Boundary of What PD Refresh Can Do</w:t>
      </w:r>
    </w:p>
    <w:p>
      <w:pPr>
        <w:spacing w:after="160" w:line="300" w:lineRule="auto"/>
        <w:jc w:val="both"/>
      </w:pPr>
      <w:r>
        <w:rPr>
          <w:rFonts w:ascii="Arial" w:cs="Arial" w:eastAsia="Arial" w:hAnsi="Arial"/>
          <w:color w:val="1F1F1F"/>
          <w:sz w:val="22"/>
          <w:szCs w:val="22"/>
        </w:rPr>
        <w:t xml:space="preserve">PD refresh is the documentation track of a broader workforce response. It sets recruitment criteria, performance evaluation expectations, and partner-facing positioning. It does not, on its own, build the capability the refreshed PDs would then require. Refreshing Cybersecurity PDs to demand AI-Core competencies that the workforce does not yet have creates an expectations gap on top of the capability gap. The honest version of the workforce response has at least four tracks running in parallel.</w:t>
      </w:r>
    </w:p>
    <w:p>
      <w:pPr>
        <w:spacing w:after="80"/>
      </w:pPr>
      <w: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000"/>
        <w:gridCol w:w="2700"/>
        <w:gridCol w:w="4300"/>
      </w:tblGrid>
      <w:tr>
        <w:trPr>
          <w:tblHeader/>
        </w:trPr>
        <w:tc>
          <w:tcPr>
            <w:tcW w:type="dxa" w:w="3000"/>
            <w:tcBorders>
              <w:top w:val="single" w:color="BFBFBF" w:sz="1"/>
              <w:left w:val="single" w:color="BFBFBF" w:sz="1"/>
              <w:bottom w:val="single" w:color="BFBFBF" w:sz="1"/>
              <w:right w:val="single" w:color="BFBFBF" w:sz="1"/>
            </w:tcBorders>
            <w:shd w:fill="D5E8F0" w:color="auto" w:val="clear"/>
            <w:tcMar>
              <w:top w:type="dxa" w:w="100"/>
              <w:left w:type="dxa" w:w="120"/>
              <w:bottom w:type="dxa" w:w="100"/>
              <w:right w:type="dxa" w:w="120"/>
            </w:tcMar>
          </w:tcPr>
          <w:p>
            <w:pPr>
              <w:spacing w:after="0"/>
            </w:pPr>
            <w:r>
              <w:rPr>
                <w:rFonts w:ascii="Arial" w:cs="Arial" w:eastAsia="Arial" w:hAnsi="Arial"/>
                <w:b/>
                <w:bCs/>
                <w:color w:val="1F1F1F"/>
                <w:sz w:val="20"/>
                <w:szCs w:val="20"/>
              </w:rPr>
              <w:t xml:space="preserve">Track</w:t>
            </w:r>
          </w:p>
        </w:tc>
        <w:tc>
          <w:tcPr>
            <w:tcW w:type="dxa" w:w="2700"/>
            <w:tcBorders>
              <w:top w:val="single" w:color="BFBFBF" w:sz="1"/>
              <w:left w:val="single" w:color="BFBFBF" w:sz="1"/>
              <w:bottom w:val="single" w:color="BFBFBF" w:sz="1"/>
              <w:right w:val="single" w:color="BFBFBF" w:sz="1"/>
            </w:tcBorders>
            <w:shd w:fill="D5E8F0" w:color="auto" w:val="clear"/>
            <w:tcMar>
              <w:top w:type="dxa" w:w="100"/>
              <w:left w:type="dxa" w:w="120"/>
              <w:bottom w:type="dxa" w:w="100"/>
              <w:right w:type="dxa" w:w="120"/>
            </w:tcMar>
          </w:tcPr>
          <w:p>
            <w:pPr>
              <w:spacing w:after="0"/>
            </w:pPr>
            <w:r>
              <w:rPr>
                <w:rFonts w:ascii="Arial" w:cs="Arial" w:eastAsia="Arial" w:hAnsi="Arial"/>
                <w:b/>
                <w:bCs/>
                <w:color w:val="1F1F1F"/>
                <w:sz w:val="20"/>
                <w:szCs w:val="20"/>
              </w:rPr>
              <w:t xml:space="preserve">Owner</w:t>
            </w:r>
          </w:p>
        </w:tc>
        <w:tc>
          <w:tcPr>
            <w:tcW w:type="dxa" w:w="4300"/>
            <w:tcBorders>
              <w:top w:val="single" w:color="BFBFBF" w:sz="1"/>
              <w:left w:val="single" w:color="BFBFBF" w:sz="1"/>
              <w:bottom w:val="single" w:color="BFBFBF" w:sz="1"/>
              <w:right w:val="single" w:color="BFBFBF" w:sz="1"/>
            </w:tcBorders>
            <w:shd w:fill="D5E8F0" w:color="auto" w:val="clear"/>
            <w:tcMar>
              <w:top w:type="dxa" w:w="100"/>
              <w:left w:type="dxa" w:w="120"/>
              <w:bottom w:type="dxa" w:w="100"/>
              <w:right w:type="dxa" w:w="120"/>
            </w:tcMar>
          </w:tcPr>
          <w:p>
            <w:pPr>
              <w:spacing w:after="0"/>
            </w:pPr>
            <w:r>
              <w:rPr>
                <w:rFonts w:ascii="Arial" w:cs="Arial" w:eastAsia="Arial" w:hAnsi="Arial"/>
                <w:b/>
                <w:bCs/>
                <w:color w:val="1F1F1F"/>
                <w:sz w:val="20"/>
                <w:szCs w:val="20"/>
              </w:rPr>
              <w:t xml:space="preserve">Question it answers</w:t>
            </w:r>
          </w:p>
        </w:tc>
      </w:tr>
      <w:tr>
        <w:tc>
          <w:tcPr>
            <w:tcW w:type="dxa" w:w="3000"/>
            <w:tcBorders>
              <w:top w:val="single" w:color="BFBFBF" w:sz="1"/>
              <w:left w:val="single" w:color="BFBFBF" w:sz="1"/>
              <w:bottom w:val="single" w:color="BFBFBF" w:sz="1"/>
              <w:right w:val="single" w:color="BFBFBF" w:sz="1"/>
            </w:tcBorders>
            <w:tcMar>
              <w:top w:type="dxa" w:w="100"/>
              <w:left w:type="dxa" w:w="120"/>
              <w:bottom w:type="dxa" w:w="100"/>
              <w:right w:type="dxa" w:w="120"/>
            </w:tcMar>
          </w:tcPr>
          <w:p>
            <w:pPr>
              <w:spacing w:after="40"/>
            </w:pPr>
            <w:r>
              <w:rPr>
                <w:rFonts w:ascii="Arial" w:cs="Arial" w:eastAsia="Arial" w:hAnsi="Arial"/>
                <w:color w:val="1F1F1F"/>
                <w:sz w:val="20"/>
                <w:szCs w:val="20"/>
              </w:rPr>
              <w:t xml:space="preserve">1. PD library refresh</w:t>
            </w:r>
          </w:p>
        </w:tc>
        <w:tc>
          <w:tcPr>
            <w:tcW w:type="dxa" w:w="2700"/>
            <w:tcBorders>
              <w:top w:val="single" w:color="BFBFBF" w:sz="1"/>
              <w:left w:val="single" w:color="BFBFBF" w:sz="1"/>
              <w:bottom w:val="single" w:color="BFBFBF" w:sz="1"/>
              <w:right w:val="single" w:color="BFBFBF" w:sz="1"/>
            </w:tcBorders>
            <w:tcMar>
              <w:top w:type="dxa" w:w="100"/>
              <w:left w:type="dxa" w:w="120"/>
              <w:bottom w:type="dxa" w:w="100"/>
              <w:right w:type="dxa" w:w="120"/>
            </w:tcMar>
          </w:tcPr>
          <w:p>
            <w:pPr>
              <w:spacing w:after="40"/>
            </w:pPr>
            <w:r>
              <w:rPr>
                <w:rFonts w:ascii="Arial" w:cs="Arial" w:eastAsia="Arial" w:hAnsi="Arial"/>
                <w:color w:val="1F1F1F"/>
                <w:sz w:val="20"/>
                <w:szCs w:val="20"/>
              </w:rPr>
              <w:t xml:space="preserve">HR + Section Chiefs</w:t>
            </w:r>
          </w:p>
        </w:tc>
        <w:tc>
          <w:tcPr>
            <w:tcW w:type="dxa" w:w="4300"/>
            <w:tcBorders>
              <w:top w:val="single" w:color="BFBFBF" w:sz="1"/>
              <w:left w:val="single" w:color="BFBFBF" w:sz="1"/>
              <w:bottom w:val="single" w:color="BFBFBF" w:sz="1"/>
              <w:right w:val="single" w:color="BFBFBF" w:sz="1"/>
            </w:tcBorders>
            <w:tcMar>
              <w:top w:type="dxa" w:w="100"/>
              <w:left w:type="dxa" w:w="120"/>
              <w:bottom w:type="dxa" w:w="100"/>
              <w:right w:type="dxa" w:w="120"/>
            </w:tcMar>
          </w:tcPr>
          <w:p>
            <w:pPr>
              <w:spacing w:after="40"/>
            </w:pPr>
            <w:r>
              <w:rPr>
                <w:rFonts w:ascii="Arial" w:cs="Arial" w:eastAsia="Arial" w:hAnsi="Arial"/>
                <w:color w:val="1F1F1F"/>
                <w:sz w:val="20"/>
                <w:szCs w:val="20"/>
              </w:rPr>
              <w:t xml:space="preserve">Are role specifications current?</w:t>
            </w:r>
          </w:p>
        </w:tc>
      </w:tr>
      <w:tr>
        <w:tc>
          <w:tcPr>
            <w:tcW w:type="dxa" w:w="3000"/>
            <w:tcBorders>
              <w:top w:val="single" w:color="BFBFBF" w:sz="1"/>
              <w:left w:val="single" w:color="BFBFBF" w:sz="1"/>
              <w:bottom w:val="single" w:color="BFBFBF" w:sz="1"/>
              <w:right w:val="single" w:color="BFBFBF" w:sz="1"/>
            </w:tcBorders>
            <w:tcMar>
              <w:top w:type="dxa" w:w="100"/>
              <w:left w:type="dxa" w:w="120"/>
              <w:bottom w:type="dxa" w:w="100"/>
              <w:right w:type="dxa" w:w="120"/>
            </w:tcMar>
          </w:tcPr>
          <w:p>
            <w:pPr>
              <w:spacing w:after="40"/>
            </w:pPr>
            <w:r>
              <w:rPr>
                <w:rFonts w:ascii="Arial" w:cs="Arial" w:eastAsia="Arial" w:hAnsi="Arial"/>
                <w:color w:val="1F1F1F"/>
                <w:sz w:val="20"/>
                <w:szCs w:val="20"/>
              </w:rPr>
              <w:t xml:space="preserve">2. Capability assessment</w:t>
            </w:r>
          </w:p>
        </w:tc>
        <w:tc>
          <w:tcPr>
            <w:tcW w:type="dxa" w:w="2700"/>
            <w:tcBorders>
              <w:top w:val="single" w:color="BFBFBF" w:sz="1"/>
              <w:left w:val="single" w:color="BFBFBF" w:sz="1"/>
              <w:bottom w:val="single" w:color="BFBFBF" w:sz="1"/>
              <w:right w:val="single" w:color="BFBFBF" w:sz="1"/>
            </w:tcBorders>
            <w:tcMar>
              <w:top w:type="dxa" w:w="100"/>
              <w:left w:type="dxa" w:w="120"/>
              <w:bottom w:type="dxa" w:w="100"/>
              <w:right w:type="dxa" w:w="120"/>
            </w:tcMar>
          </w:tcPr>
          <w:p>
            <w:pPr>
              <w:spacing w:after="40"/>
            </w:pPr>
            <w:r>
              <w:rPr>
                <w:rFonts w:ascii="Arial" w:cs="Arial" w:eastAsia="Arial" w:hAnsi="Arial"/>
                <w:color w:val="1F1F1F"/>
                <w:sz w:val="20"/>
                <w:szCs w:val="20"/>
              </w:rPr>
              <w:t xml:space="preserve">HR + Data and AI</w:t>
            </w:r>
          </w:p>
        </w:tc>
        <w:tc>
          <w:tcPr>
            <w:tcW w:type="dxa" w:w="4300"/>
            <w:tcBorders>
              <w:top w:val="single" w:color="BFBFBF" w:sz="1"/>
              <w:left w:val="single" w:color="BFBFBF" w:sz="1"/>
              <w:bottom w:val="single" w:color="BFBFBF" w:sz="1"/>
              <w:right w:val="single" w:color="BFBFBF" w:sz="1"/>
            </w:tcBorders>
            <w:tcMar>
              <w:top w:type="dxa" w:w="100"/>
              <w:left w:type="dxa" w:w="120"/>
              <w:bottom w:type="dxa" w:w="100"/>
              <w:right w:type="dxa" w:w="120"/>
            </w:tcMar>
          </w:tcPr>
          <w:p>
            <w:pPr>
              <w:spacing w:after="40"/>
            </w:pPr>
            <w:r>
              <w:rPr>
                <w:rFonts w:ascii="Arial" w:cs="Arial" w:eastAsia="Arial" w:hAnsi="Arial"/>
                <w:color w:val="1F1F1F"/>
                <w:sz w:val="20"/>
                <w:szCs w:val="20"/>
              </w:rPr>
              <w:t xml:space="preserve">Which staff have which AI-relevant skills today?</w:t>
            </w:r>
          </w:p>
        </w:tc>
      </w:tr>
      <w:tr>
        <w:tc>
          <w:tcPr>
            <w:tcW w:type="dxa" w:w="3000"/>
            <w:tcBorders>
              <w:top w:val="single" w:color="BFBFBF" w:sz="1"/>
              <w:left w:val="single" w:color="BFBFBF" w:sz="1"/>
              <w:bottom w:val="single" w:color="BFBFBF" w:sz="1"/>
              <w:right w:val="single" w:color="BFBFBF" w:sz="1"/>
            </w:tcBorders>
            <w:tcMar>
              <w:top w:type="dxa" w:w="100"/>
              <w:left w:type="dxa" w:w="120"/>
              <w:bottom w:type="dxa" w:w="100"/>
              <w:right w:type="dxa" w:w="120"/>
            </w:tcMar>
          </w:tcPr>
          <w:p>
            <w:pPr>
              <w:spacing w:after="40"/>
            </w:pPr>
            <w:r>
              <w:rPr>
                <w:rFonts w:ascii="Arial" w:cs="Arial" w:eastAsia="Arial" w:hAnsi="Arial"/>
                <w:color w:val="1F1F1F"/>
                <w:sz w:val="20"/>
                <w:szCs w:val="20"/>
              </w:rPr>
              <w:t xml:space="preserve">3. Skills development programme</w:t>
            </w:r>
          </w:p>
        </w:tc>
        <w:tc>
          <w:tcPr>
            <w:tcW w:type="dxa" w:w="2700"/>
            <w:tcBorders>
              <w:top w:val="single" w:color="BFBFBF" w:sz="1"/>
              <w:left w:val="single" w:color="BFBFBF" w:sz="1"/>
              <w:bottom w:val="single" w:color="BFBFBF" w:sz="1"/>
              <w:right w:val="single" w:color="BFBFBF" w:sz="1"/>
            </w:tcBorders>
            <w:tcMar>
              <w:top w:type="dxa" w:w="100"/>
              <w:left w:type="dxa" w:w="120"/>
              <w:bottom w:type="dxa" w:w="100"/>
              <w:right w:type="dxa" w:w="120"/>
            </w:tcMar>
          </w:tcPr>
          <w:p>
            <w:pPr>
              <w:spacing w:after="40"/>
            </w:pPr>
            <w:r>
              <w:rPr>
                <w:rFonts w:ascii="Arial" w:cs="Arial" w:eastAsia="Arial" w:hAnsi="Arial"/>
                <w:color w:val="1F1F1F"/>
                <w:sz w:val="20"/>
                <w:szCs w:val="20"/>
              </w:rPr>
              <w:t xml:space="preserve">Learning + Data and AI</w:t>
            </w:r>
          </w:p>
        </w:tc>
        <w:tc>
          <w:tcPr>
            <w:tcW w:type="dxa" w:w="4300"/>
            <w:tcBorders>
              <w:top w:val="single" w:color="BFBFBF" w:sz="1"/>
              <w:left w:val="single" w:color="BFBFBF" w:sz="1"/>
              <w:bottom w:val="single" w:color="BFBFBF" w:sz="1"/>
              <w:right w:val="single" w:color="BFBFBF" w:sz="1"/>
            </w:tcBorders>
            <w:tcMar>
              <w:top w:type="dxa" w:w="100"/>
              <w:left w:type="dxa" w:w="120"/>
              <w:bottom w:type="dxa" w:w="100"/>
              <w:right w:type="dxa" w:w="120"/>
            </w:tcMar>
          </w:tcPr>
          <w:p>
            <w:pPr>
              <w:spacing w:after="40"/>
            </w:pPr>
            <w:r>
              <w:rPr>
                <w:rFonts w:ascii="Arial" w:cs="Arial" w:eastAsia="Arial" w:hAnsi="Arial"/>
                <w:color w:val="1F1F1F"/>
                <w:sz w:val="20"/>
                <w:szCs w:val="20"/>
              </w:rPr>
              <w:t xml:space="preserve">How do we close the gaps the assessment identifies?</w:t>
            </w:r>
          </w:p>
        </w:tc>
      </w:tr>
      <w:tr>
        <w:tc>
          <w:tcPr>
            <w:tcW w:type="dxa" w:w="3000"/>
            <w:tcBorders>
              <w:top w:val="single" w:color="BFBFBF" w:sz="1"/>
              <w:left w:val="single" w:color="BFBFBF" w:sz="1"/>
              <w:bottom w:val="single" w:color="BFBFBF" w:sz="1"/>
              <w:right w:val="single" w:color="BFBFBF" w:sz="1"/>
            </w:tcBorders>
            <w:tcMar>
              <w:top w:type="dxa" w:w="100"/>
              <w:left w:type="dxa" w:w="120"/>
              <w:bottom w:type="dxa" w:w="100"/>
              <w:right w:type="dxa" w:w="120"/>
            </w:tcMar>
          </w:tcPr>
          <w:p>
            <w:pPr>
              <w:spacing w:after="40"/>
            </w:pPr>
            <w:r>
              <w:rPr>
                <w:rFonts w:ascii="Arial" w:cs="Arial" w:eastAsia="Arial" w:hAnsi="Arial"/>
                <w:color w:val="1F1F1F"/>
                <w:sz w:val="20"/>
                <w:szCs w:val="20"/>
              </w:rPr>
              <w:t xml:space="preserve">4. Workforce structural decisions</w:t>
            </w:r>
          </w:p>
        </w:tc>
        <w:tc>
          <w:tcPr>
            <w:tcW w:type="dxa" w:w="2700"/>
            <w:tcBorders>
              <w:top w:val="single" w:color="BFBFBF" w:sz="1"/>
              <w:left w:val="single" w:color="BFBFBF" w:sz="1"/>
              <w:bottom w:val="single" w:color="BFBFBF" w:sz="1"/>
              <w:right w:val="single" w:color="BFBFBF" w:sz="1"/>
            </w:tcBorders>
            <w:tcMar>
              <w:top w:type="dxa" w:w="100"/>
              <w:left w:type="dxa" w:w="120"/>
              <w:bottom w:type="dxa" w:w="100"/>
              <w:right w:type="dxa" w:w="120"/>
            </w:tcMar>
          </w:tcPr>
          <w:p>
            <w:pPr>
              <w:spacing w:after="40"/>
            </w:pPr>
            <w:r>
              <w:rPr>
                <w:rFonts w:ascii="Arial" w:cs="Arial" w:eastAsia="Arial" w:hAnsi="Arial"/>
                <w:color w:val="1F1F1F"/>
                <w:sz w:val="20"/>
                <w:szCs w:val="20"/>
              </w:rPr>
              <w:t xml:space="preserve">ManCom + HR</w:t>
            </w:r>
          </w:p>
        </w:tc>
        <w:tc>
          <w:tcPr>
            <w:tcW w:type="dxa" w:w="4300"/>
            <w:tcBorders>
              <w:top w:val="single" w:color="BFBFBF" w:sz="1"/>
              <w:left w:val="single" w:color="BFBFBF" w:sz="1"/>
              <w:bottom w:val="single" w:color="BFBFBF" w:sz="1"/>
              <w:right w:val="single" w:color="BFBFBF" w:sz="1"/>
            </w:tcBorders>
            <w:tcMar>
              <w:top w:type="dxa" w:w="100"/>
              <w:left w:type="dxa" w:w="120"/>
              <w:bottom w:type="dxa" w:w="100"/>
              <w:right w:type="dxa" w:w="120"/>
            </w:tcMar>
          </w:tcPr>
          <w:p>
            <w:pPr>
              <w:spacing w:after="40"/>
            </w:pPr>
            <w:r>
              <w:rPr>
                <w:rFonts w:ascii="Arial" w:cs="Arial" w:eastAsia="Arial" w:hAnsi="Arial"/>
                <w:color w:val="1F1F1F"/>
                <w:sz w:val="20"/>
                <w:szCs w:val="20"/>
              </w:rPr>
              <w:t xml:space="preserve">Which roles need redesign, redeployment, or different sourcing?</w:t>
            </w:r>
          </w:p>
        </w:tc>
      </w:tr>
    </w:tbl>
    <w:p>
      <w:pPr>
        <w:spacing w:after="80"/>
      </w:pPr>
      <w:r>
        <w:t xml:space="preserve"/>
      </w:r>
    </w:p>
    <w:p>
      <w:pPr>
        <w:spacing w:after="160" w:line="300" w:lineRule="auto"/>
        <w:jc w:val="both"/>
      </w:pPr>
      <w:r>
        <w:rPr>
          <w:rFonts w:ascii="Arial" w:cs="Arial" w:eastAsia="Arial" w:hAnsi="Arial"/>
          <w:color w:val="1F1F1F"/>
          <w:sz w:val="22"/>
          <w:szCs w:val="22"/>
        </w:rPr>
        <w:t xml:space="preserve">This document is scoped to track 1. The other three tracks belong in the Piciorea workforce strategic plan and the operating-model conversation in progress with the Director of HR. The recommendation in Section 6 is the PD-track ask only; it should be read alongside the broader workforce-response context, not as a substitute for it.</w:t>
      </w:r>
    </w:p>
    <w:p>
      <w:pPr>
        <w:pStyle w:val="Heading1"/>
        <w:spacing w:after="200" w:before="320"/>
      </w:pPr>
      <w:r>
        <w:rPr>
          <w:rFonts w:ascii="Arial" w:cs="Arial" w:eastAsia="Arial" w:hAnsi="Arial"/>
          <w:b/>
          <w:bCs/>
          <w:color w:val="1F4E79"/>
          <w:sz w:val="30"/>
          <w:szCs w:val="30"/>
        </w:rPr>
        <w:t xml:space="preserve">6. Recommendation</w:t>
      </w:r>
    </w:p>
    <w:p>
      <w:pPr>
        <w:spacing w:after="160" w:line="300" w:lineRule="auto"/>
        <w:jc w:val="both"/>
      </w:pPr>
      <w:r>
        <w:rPr>
          <w:rFonts w:ascii="Arial" w:cs="Arial" w:eastAsia="Arial" w:hAnsi="Arial"/>
          <w:color w:val="1F1F1F"/>
          <w:sz w:val="22"/>
          <w:szCs w:val="22"/>
        </w:rPr>
        <w:t xml:space="preserve">The recommended PD-track response is Scenario C: refresh the priority high-volume, AI-absent functions during Year 1 — approximately 195 PDs across Cybersecurity, Digital Workplace, Enterprise Apps, and Network — in parallel with the AI lens being added to the PD template in Q3 2026.</w:t>
      </w:r>
    </w:p>
    <w:p>
      <w:pPr>
        <w:spacing w:after="80"/>
      </w:pPr>
      <w: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200"/>
        <w:gridCol w:w="7800"/>
      </w:tblGrid>
      <w:tr>
        <w:trPr>
          <w:tblHeader/>
        </w:trPr>
        <w:tc>
          <w:tcPr>
            <w:tcW w:type="dxa" w:w="2200"/>
            <w:tcBorders>
              <w:top w:val="single" w:color="BFBFBF" w:sz="1"/>
              <w:left w:val="single" w:color="BFBFBF" w:sz="1"/>
              <w:bottom w:val="single" w:color="BFBFBF" w:sz="1"/>
              <w:right w:val="single" w:color="BFBFBF" w:sz="1"/>
            </w:tcBorders>
            <w:shd w:fill="D5E8F0" w:color="auto" w:val="clear"/>
            <w:tcMar>
              <w:top w:type="dxa" w:w="100"/>
              <w:left w:type="dxa" w:w="120"/>
              <w:bottom w:type="dxa" w:w="100"/>
              <w:right w:type="dxa" w:w="120"/>
            </w:tcMar>
          </w:tcPr>
          <w:p>
            <w:pPr>
              <w:spacing w:after="0"/>
            </w:pPr>
            <w:r>
              <w:rPr>
                <w:rFonts w:ascii="Arial" w:cs="Arial" w:eastAsia="Arial" w:hAnsi="Arial"/>
                <w:b/>
                <w:bCs/>
                <w:color w:val="1F1F1F"/>
                <w:sz w:val="20"/>
                <w:szCs w:val="20"/>
              </w:rPr>
              <w:t xml:space="preserve">Element</w:t>
            </w:r>
          </w:p>
        </w:tc>
        <w:tc>
          <w:tcPr>
            <w:tcW w:type="dxa" w:w="7800"/>
            <w:tcBorders>
              <w:top w:val="single" w:color="BFBFBF" w:sz="1"/>
              <w:left w:val="single" w:color="BFBFBF" w:sz="1"/>
              <w:bottom w:val="single" w:color="BFBFBF" w:sz="1"/>
              <w:right w:val="single" w:color="BFBFBF" w:sz="1"/>
            </w:tcBorders>
            <w:shd w:fill="D5E8F0" w:color="auto" w:val="clear"/>
            <w:tcMar>
              <w:top w:type="dxa" w:w="100"/>
              <w:left w:type="dxa" w:w="120"/>
              <w:bottom w:type="dxa" w:w="100"/>
              <w:right w:type="dxa" w:w="120"/>
            </w:tcMar>
          </w:tcPr>
          <w:p>
            <w:pPr>
              <w:spacing w:after="0"/>
            </w:pPr>
            <w:r>
              <w:rPr>
                <w:rFonts w:ascii="Arial" w:cs="Arial" w:eastAsia="Arial" w:hAnsi="Arial"/>
                <w:b/>
                <w:bCs/>
                <w:color w:val="1F1F1F"/>
                <w:sz w:val="20"/>
                <w:szCs w:val="20"/>
              </w:rPr>
              <w:t xml:space="preserve">Detail</w:t>
            </w:r>
          </w:p>
        </w:tc>
      </w:tr>
      <w:tr>
        <w:tc>
          <w:tcPr>
            <w:tcW w:type="dxa" w:w="2200"/>
            <w:tcBorders>
              <w:top w:val="single" w:color="BFBFBF" w:sz="1"/>
              <w:left w:val="single" w:color="BFBFBF" w:sz="1"/>
              <w:bottom w:val="single" w:color="BFBFBF" w:sz="1"/>
              <w:right w:val="single" w:color="BFBFBF" w:sz="1"/>
            </w:tcBorders>
            <w:tcMar>
              <w:top w:type="dxa" w:w="100"/>
              <w:left w:type="dxa" w:w="120"/>
              <w:bottom w:type="dxa" w:w="100"/>
              <w:right w:type="dxa" w:w="120"/>
            </w:tcMar>
          </w:tcPr>
          <w:p>
            <w:pPr>
              <w:spacing w:after="40"/>
            </w:pPr>
            <w:r>
              <w:rPr>
                <w:rFonts w:ascii="Arial" w:cs="Arial" w:eastAsia="Arial" w:hAnsi="Arial"/>
                <w:color w:val="1F1F1F"/>
                <w:sz w:val="20"/>
                <w:szCs w:val="20"/>
              </w:rPr>
              <w:t xml:space="preserve">Owner</w:t>
            </w:r>
          </w:p>
        </w:tc>
        <w:tc>
          <w:tcPr>
            <w:tcW w:type="dxa" w:w="7800"/>
            <w:tcBorders>
              <w:top w:val="single" w:color="BFBFBF" w:sz="1"/>
              <w:left w:val="single" w:color="BFBFBF" w:sz="1"/>
              <w:bottom w:val="single" w:color="BFBFBF" w:sz="1"/>
              <w:right w:val="single" w:color="BFBFBF" w:sz="1"/>
            </w:tcBorders>
            <w:tcMar>
              <w:top w:type="dxa" w:w="100"/>
              <w:left w:type="dxa" w:w="120"/>
              <w:bottom w:type="dxa" w:w="100"/>
              <w:right w:type="dxa" w:w="120"/>
            </w:tcMar>
          </w:tcPr>
          <w:p>
            <w:pPr>
              <w:spacing w:after="40"/>
            </w:pPr>
            <w:r>
              <w:rPr>
                <w:rFonts w:ascii="Arial" w:cs="Arial" w:eastAsia="Arial" w:hAnsi="Arial"/>
                <w:color w:val="1F1F1F"/>
                <w:sz w:val="20"/>
                <w:szCs w:val="20"/>
              </w:rPr>
              <w:t xml:space="preserve">Director of HR (PD classification programme), with input from Section Chiefs on priority function selection and from the Director of Data and AI on AI-Core specification language. The Chief of AI Hub should be consulted on the AI-Core bar to ensure alignment with the unit's published taxonomy.</w:t>
            </w:r>
          </w:p>
        </w:tc>
      </w:tr>
      <w:tr>
        <w:tc>
          <w:tcPr>
            <w:tcW w:type="dxa" w:w="2200"/>
            <w:tcBorders>
              <w:top w:val="single" w:color="BFBFBF" w:sz="1"/>
              <w:left w:val="single" w:color="BFBFBF" w:sz="1"/>
              <w:bottom w:val="single" w:color="BFBFBF" w:sz="1"/>
              <w:right w:val="single" w:color="BFBFBF" w:sz="1"/>
            </w:tcBorders>
            <w:tcMar>
              <w:top w:type="dxa" w:w="100"/>
              <w:left w:type="dxa" w:w="120"/>
              <w:bottom w:type="dxa" w:w="100"/>
              <w:right w:type="dxa" w:w="120"/>
            </w:tcMar>
          </w:tcPr>
          <w:p>
            <w:pPr>
              <w:spacing w:after="40"/>
            </w:pPr>
            <w:r>
              <w:rPr>
                <w:rFonts w:ascii="Arial" w:cs="Arial" w:eastAsia="Arial" w:hAnsi="Arial"/>
                <w:color w:val="1F1F1F"/>
                <w:sz w:val="20"/>
                <w:szCs w:val="20"/>
              </w:rPr>
              <w:t xml:space="preserve">Deliverable</w:t>
            </w:r>
          </w:p>
        </w:tc>
        <w:tc>
          <w:tcPr>
            <w:tcW w:type="dxa" w:w="7800"/>
            <w:tcBorders>
              <w:top w:val="single" w:color="BFBFBF" w:sz="1"/>
              <w:left w:val="single" w:color="BFBFBF" w:sz="1"/>
              <w:bottom w:val="single" w:color="BFBFBF" w:sz="1"/>
              <w:right w:val="single" w:color="BFBFBF" w:sz="1"/>
            </w:tcBorders>
            <w:tcMar>
              <w:top w:type="dxa" w:w="100"/>
              <w:left w:type="dxa" w:w="120"/>
              <w:bottom w:type="dxa" w:w="100"/>
              <w:right w:type="dxa" w:w="120"/>
            </w:tcMar>
          </w:tcPr>
          <w:p>
            <w:pPr>
              <w:spacing w:after="40"/>
            </w:pPr>
            <w:r>
              <w:rPr>
                <w:rFonts w:ascii="Arial" w:cs="Arial" w:eastAsia="Arial" w:hAnsi="Arial"/>
                <w:color w:val="1F1F1F"/>
                <w:sz w:val="20"/>
                <w:szCs w:val="20"/>
              </w:rPr>
              <w:t xml:space="preserve">(a) PD template change incorporating an AI lens, by Q3 2026; (b) refresh of approximately 195 PDs in priority functions (Cybersecurity, Digital Workplace, Enterprise Apps, Network), by Q4 2027; (c) consultant TOR refresh in parallel, completing by Q2 2027 given annual contract cycles.</w:t>
            </w:r>
          </w:p>
        </w:tc>
      </w:tr>
      <w:tr>
        <w:tc>
          <w:tcPr>
            <w:tcW w:type="dxa" w:w="2200"/>
            <w:tcBorders>
              <w:top w:val="single" w:color="BFBFBF" w:sz="1"/>
              <w:left w:val="single" w:color="BFBFBF" w:sz="1"/>
              <w:bottom w:val="single" w:color="BFBFBF" w:sz="1"/>
              <w:right w:val="single" w:color="BFBFBF" w:sz="1"/>
            </w:tcBorders>
            <w:tcMar>
              <w:top w:type="dxa" w:w="100"/>
              <w:left w:type="dxa" w:w="120"/>
              <w:bottom w:type="dxa" w:w="100"/>
              <w:right w:type="dxa" w:w="120"/>
            </w:tcMar>
          </w:tcPr>
          <w:p>
            <w:pPr>
              <w:spacing w:after="40"/>
            </w:pPr>
            <w:r>
              <w:rPr>
                <w:rFonts w:ascii="Arial" w:cs="Arial" w:eastAsia="Arial" w:hAnsi="Arial"/>
                <w:color w:val="1F1F1F"/>
                <w:sz w:val="20"/>
                <w:szCs w:val="20"/>
              </w:rPr>
              <w:t xml:space="preserve">Decision criterion</w:t>
            </w:r>
          </w:p>
        </w:tc>
        <w:tc>
          <w:tcPr>
            <w:tcW w:type="dxa" w:w="7800"/>
            <w:tcBorders>
              <w:top w:val="single" w:color="BFBFBF" w:sz="1"/>
              <w:left w:val="single" w:color="BFBFBF" w:sz="1"/>
              <w:bottom w:val="single" w:color="BFBFBF" w:sz="1"/>
              <w:right w:val="single" w:color="BFBFBF" w:sz="1"/>
            </w:tcBorders>
            <w:tcMar>
              <w:top w:type="dxa" w:w="100"/>
              <w:left w:type="dxa" w:w="120"/>
              <w:bottom w:type="dxa" w:w="100"/>
              <w:right w:type="dxa" w:w="120"/>
            </w:tcMar>
          </w:tcPr>
          <w:p>
            <w:pPr>
              <w:spacing w:after="40"/>
            </w:pPr>
            <w:r>
              <w:rPr>
                <w:rFonts w:ascii="Arial" w:cs="Arial" w:eastAsia="Arial" w:hAnsi="Arial"/>
                <w:color w:val="1F1F1F"/>
                <w:sz w:val="20"/>
                <w:szCs w:val="20"/>
              </w:rPr>
              <w:t xml:space="preserve">Quarterly review of UNICC JVN flow at the AI-Core bar, against UNDP, UNOPS, and World Bank Group strict-tier figures from the same UN aggregator data. Track is on plan if UNICC's quarterly JVN AI-Core rate is rising and the UNDP gap is narrowing.</w:t>
            </w:r>
          </w:p>
        </w:tc>
      </w:tr>
      <w:tr>
        <w:tc>
          <w:tcPr>
            <w:tcW w:type="dxa" w:w="2200"/>
            <w:tcBorders>
              <w:top w:val="single" w:color="BFBFBF" w:sz="1"/>
              <w:left w:val="single" w:color="BFBFBF" w:sz="1"/>
              <w:bottom w:val="single" w:color="BFBFBF" w:sz="1"/>
              <w:right w:val="single" w:color="BFBFBF" w:sz="1"/>
            </w:tcBorders>
            <w:tcMar>
              <w:top w:type="dxa" w:w="100"/>
              <w:left w:type="dxa" w:w="120"/>
              <w:bottom w:type="dxa" w:w="100"/>
              <w:right w:type="dxa" w:w="120"/>
            </w:tcMar>
          </w:tcPr>
          <w:p>
            <w:pPr>
              <w:spacing w:after="40"/>
            </w:pPr>
            <w:r>
              <w:rPr>
                <w:rFonts w:ascii="Arial" w:cs="Arial" w:eastAsia="Arial" w:hAnsi="Arial"/>
                <w:color w:val="1F1F1F"/>
                <w:sz w:val="20"/>
                <w:szCs w:val="20"/>
              </w:rPr>
              <w:t xml:space="preserve">Escalation</w:t>
            </w:r>
          </w:p>
        </w:tc>
        <w:tc>
          <w:tcPr>
            <w:tcW w:type="dxa" w:w="7800"/>
            <w:tcBorders>
              <w:top w:val="single" w:color="BFBFBF" w:sz="1"/>
              <w:left w:val="single" w:color="BFBFBF" w:sz="1"/>
              <w:bottom w:val="single" w:color="BFBFBF" w:sz="1"/>
              <w:right w:val="single" w:color="BFBFBF" w:sz="1"/>
            </w:tcBorders>
            <w:tcMar>
              <w:top w:type="dxa" w:w="100"/>
              <w:left w:type="dxa" w:w="120"/>
              <w:bottom w:type="dxa" w:w="100"/>
              <w:right w:type="dxa" w:w="120"/>
            </w:tcMar>
          </w:tcPr>
          <w:p>
            <w:pPr>
              <w:spacing w:after="40"/>
            </w:pPr>
            <w:r>
              <w:rPr>
                <w:rFonts w:ascii="Arial" w:cs="Arial" w:eastAsia="Arial" w:hAnsi="Arial"/>
                <w:color w:val="1F1F1F"/>
                <w:sz w:val="20"/>
                <w:szCs w:val="20"/>
              </w:rPr>
              <w:t xml:space="preserve">Move to Scenario D (full PD library refresh, 12-18 months) if (i) the UNDP gap fails to narrow within the first twelve months of execution, or (ii) UNDP's own figure moves materially upward (more than 10 percentage points within two quarters).</w:t>
            </w:r>
          </w:p>
        </w:tc>
      </w:tr>
      <w:tr>
        <w:tc>
          <w:tcPr>
            <w:tcW w:type="dxa" w:w="2200"/>
            <w:tcBorders>
              <w:top w:val="single" w:color="BFBFBF" w:sz="1"/>
              <w:left w:val="single" w:color="BFBFBF" w:sz="1"/>
              <w:bottom w:val="single" w:color="BFBFBF" w:sz="1"/>
              <w:right w:val="single" w:color="BFBFBF" w:sz="1"/>
            </w:tcBorders>
            <w:tcMar>
              <w:top w:type="dxa" w:w="100"/>
              <w:left w:type="dxa" w:w="120"/>
              <w:bottom w:type="dxa" w:w="100"/>
              <w:right w:type="dxa" w:w="120"/>
            </w:tcMar>
          </w:tcPr>
          <w:p>
            <w:pPr>
              <w:spacing w:after="40"/>
            </w:pPr>
            <w:r>
              <w:rPr>
                <w:rFonts w:ascii="Arial" w:cs="Arial" w:eastAsia="Arial" w:hAnsi="Arial"/>
                <w:color w:val="1F1F1F"/>
                <w:sz w:val="20"/>
                <w:szCs w:val="20"/>
              </w:rPr>
              <w:t xml:space="preserve">Out of scope</w:t>
            </w:r>
          </w:p>
        </w:tc>
        <w:tc>
          <w:tcPr>
            <w:tcW w:type="dxa" w:w="7800"/>
            <w:tcBorders>
              <w:top w:val="single" w:color="BFBFBF" w:sz="1"/>
              <w:left w:val="single" w:color="BFBFBF" w:sz="1"/>
              <w:bottom w:val="single" w:color="BFBFBF" w:sz="1"/>
              <w:right w:val="single" w:color="BFBFBF" w:sz="1"/>
            </w:tcBorders>
            <w:tcMar>
              <w:top w:type="dxa" w:w="100"/>
              <w:left w:type="dxa" w:w="120"/>
              <w:bottom w:type="dxa" w:w="100"/>
              <w:right w:type="dxa" w:w="120"/>
            </w:tcMar>
          </w:tcPr>
          <w:p>
            <w:pPr>
              <w:spacing w:after="40"/>
            </w:pPr>
            <w:r>
              <w:rPr>
                <w:rFonts w:ascii="Arial" w:cs="Arial" w:eastAsia="Arial" w:hAnsi="Arial"/>
                <w:color w:val="1F1F1F"/>
                <w:sz w:val="20"/>
                <w:szCs w:val="20"/>
              </w:rPr>
              <w:t xml:space="preserve">Capability assessment, skills development programme, and workforce structural decisions are complementary tracks belonging in the Piciorea workforce strategic plan and the operating-model conversation. This recommendation does not preempt those tracks; the four tracks should be sequenced together by ManCom.</w:t>
            </w:r>
          </w:p>
        </w:tc>
      </w:tr>
    </w:tbl>
    <w:p>
      <w:pPr>
        <w:spacing w:after="80"/>
      </w:pPr>
      <w:r>
        <w:t xml:space="preserve"/>
      </w:r>
    </w:p>
    <w:p>
      <w:pPr>
        <w:pStyle w:val="Heading1"/>
        <w:spacing w:after="200" w:before="320"/>
      </w:pPr>
      <w:r>
        <w:rPr>
          <w:rFonts w:ascii="Arial" w:cs="Arial" w:eastAsia="Arial" w:hAnsi="Arial"/>
          <w:b/>
          <w:bCs/>
          <w:color w:val="1F4E79"/>
          <w:sz w:val="30"/>
          <w:szCs w:val="30"/>
        </w:rPr>
        <w:t xml:space="preserve">7. Limitations and Next Steps</w:t>
      </w:r>
    </w:p>
    <w:p>
      <w:pPr>
        <w:pStyle w:val="Heading2"/>
        <w:spacing w:after="140" w:before="240"/>
      </w:pPr>
      <w:r>
        <w:rPr>
          <w:rFonts w:ascii="Arial" w:cs="Arial" w:eastAsia="Arial" w:hAnsi="Arial"/>
          <w:b/>
          <w:bCs/>
          <w:color w:val="1F4E79"/>
          <w:sz w:val="26"/>
          <w:szCs w:val="26"/>
        </w:rPr>
        <w:t xml:space="preserve">7.1 Limitations</w:t>
      </w:r>
    </w:p>
    <w:p>
      <w:pPr>
        <w:spacing w:after="160" w:line="300" w:lineRule="auto"/>
        <w:jc w:val="both"/>
      </w:pPr>
      <w:r>
        <w:rPr>
          <w:rFonts w:ascii="Arial" w:cs="Arial" w:eastAsia="Arial" w:hAnsi="Arial"/>
          <w:color w:val="1F1F1F"/>
          <w:sz w:val="22"/>
          <w:szCs w:val="22"/>
        </w:rPr>
        <w:t xml:space="preserve">Four limitations apply and should be noted in any external presentation.</w:t>
      </w:r>
    </w:p>
    <w:p>
      <w:pPr>
        <w:spacing w:after="160" w:line="300" w:lineRule="auto"/>
        <w:jc w:val="both"/>
      </w:pPr>
      <w:r>
        <w:rPr>
          <w:rFonts w:ascii="Arial" w:cs="Arial" w:eastAsia="Arial" w:hAnsi="Arial"/>
          <w:color w:val="1F1F1F"/>
          <w:sz w:val="22"/>
          <w:szCs w:val="22"/>
        </w:rPr>
        <w:t xml:space="preserve">First, the stock-versus-flow asymmetry. UNICC's 1.9% is a stock figure (full PD library); peer figures are flow figures (postings issued during the 9-month window). The asymmetry pulls in UNICC's favour — flow rates over-represent recent issuance while UNICC's stock includes older PDs. A flow-versus-flow comparison using UNICC's recent JVN data is the recommended next step.</w:t>
      </w:r>
    </w:p>
    <w:p>
      <w:pPr>
        <w:spacing w:after="160" w:line="300" w:lineRule="auto"/>
        <w:jc w:val="both"/>
      </w:pPr>
      <w:r>
        <w:rPr>
          <w:rFonts w:ascii="Arial" w:cs="Arial" w:eastAsia="Arial" w:hAnsi="Arial"/>
          <w:color w:val="1F1F1F"/>
          <w:sz w:val="22"/>
          <w:szCs w:val="22"/>
        </w:rPr>
        <w:t xml:space="preserve">Second, agency-level samples are small. UNDP at n=17 and World Bank Group at n=15 produce robust directional findings but precise percentages should be read with sample-size caveats. Directional findings are stable across alternative sample windows; precise percentages are not.</w:t>
      </w:r>
    </w:p>
    <w:p>
      <w:pPr>
        <w:spacing w:after="160" w:line="300" w:lineRule="auto"/>
        <w:jc w:val="both"/>
      </w:pPr>
      <w:r>
        <w:rPr>
          <w:rFonts w:ascii="Arial" w:cs="Arial" w:eastAsia="Arial" w:hAnsi="Arial"/>
          <w:color w:val="1F1F1F"/>
          <w:sz w:val="22"/>
          <w:szCs w:val="22"/>
        </w:rPr>
        <w:t xml:space="preserve">Third, PD refresh is a documentation metric, not a capability metric. UNDP at 35% AI-Core does not mean 35% of UNDP staff are AI-capable; it means UNDP has formally specified 35% of recent tech postings as AI-native roles. The gap between documentation and capability exists at every organisation.</w:t>
      </w:r>
    </w:p>
    <w:p>
      <w:pPr>
        <w:spacing w:after="160" w:line="300" w:lineRule="auto"/>
        <w:jc w:val="both"/>
      </w:pPr>
      <w:r>
        <w:rPr>
          <w:rFonts w:ascii="Arial" w:cs="Arial" w:eastAsia="Arial" w:hAnsi="Arial"/>
          <w:color w:val="1F1F1F"/>
          <w:sz w:val="22"/>
          <w:szCs w:val="22"/>
        </w:rPr>
        <w:t xml:space="preserve">Fourth, peer figures are themselves moving. UNDP at 35% and World Bank at 40% are point-in-time anchors as of April 2026; both are likely higher one year out given the trajectories in Section 1. The convergence model treats them as static reference lines for clarity; the strategic implication is that UNICC's required pace is at least as fast as the trajectories shown.</w:t>
      </w:r>
    </w:p>
    <w:p>
      <w:pPr>
        <w:pStyle w:val="Heading2"/>
        <w:spacing w:after="140" w:before="240"/>
      </w:pPr>
      <w:r>
        <w:rPr>
          <w:rFonts w:ascii="Arial" w:cs="Arial" w:eastAsia="Arial" w:hAnsi="Arial"/>
          <w:b/>
          <w:bCs/>
          <w:color w:val="1F4E79"/>
          <w:sz w:val="26"/>
          <w:szCs w:val="26"/>
        </w:rPr>
        <w:t xml:space="preserve">7.2 Recommended next steps</w:t>
      </w:r>
    </w:p>
    <w:p>
      <w:pPr>
        <w:spacing w:after="160" w:line="300" w:lineRule="auto"/>
        <w:jc w:val="both"/>
      </w:pPr>
      <w:r>
        <w:rPr>
          <w:rFonts w:ascii="Arial" w:cs="Arial" w:eastAsia="Arial" w:hAnsi="Arial"/>
          <w:color w:val="1F1F1F"/>
          <w:sz w:val="22"/>
          <w:szCs w:val="22"/>
        </w:rPr>
        <w:t xml:space="preserve">Three follow-on activities would strengthen the analysis and prepare the ground for the chosen trajectory.</w:t>
      </w:r>
    </w:p>
    <w:p>
      <w:pPr>
        <w:spacing w:after="160" w:line="300" w:lineRule="auto"/>
        <w:jc w:val="both"/>
      </w:pPr>
      <w:r>
        <w:rPr>
          <w:rFonts w:ascii="Arial" w:cs="Arial" w:eastAsia="Arial" w:hAnsi="Arial"/>
          <w:color w:val="1F1F1F"/>
          <w:sz w:val="22"/>
          <w:szCs w:val="22"/>
        </w:rPr>
        <w:t xml:space="preserve">Complete the UNICC JVN flow analysis at the AI-Core bar over the same 9-month window using the regex set in the Annex. Produces the flow-versus-flow comparison to UN-system peers that resolves the stock-versus-flow asymmetry. Expected resourcing: one HR analyst for one week.</w:t>
      </w:r>
    </w:p>
    <w:p>
      <w:pPr>
        <w:spacing w:after="160" w:line="300" w:lineRule="auto"/>
        <w:jc w:val="both"/>
      </w:pPr>
      <w:r>
        <w:rPr>
          <w:rFonts w:ascii="Arial" w:cs="Arial" w:eastAsia="Arial" w:hAnsi="Arial"/>
          <w:color w:val="1F1F1F"/>
          <w:sz w:val="22"/>
          <w:szCs w:val="22"/>
        </w:rPr>
        <w:t xml:space="preserve">Implement the quarterly measurement programme described in main paper Section 8, anchored on the AI-Core bar. Output: a quarterly dashboard tracking UNICC's measured position against the peer reference points presented here. Total incremental effort: low tens of person-days across HR, Learning, and Data and AI.</w:t>
      </w:r>
    </w:p>
    <w:p>
      <w:pPr>
        <w:spacing w:after="160" w:line="300" w:lineRule="auto"/>
        <w:jc w:val="both"/>
      </w:pPr>
      <w:r>
        <w:rPr>
          <w:rFonts w:ascii="Arial" w:cs="Arial" w:eastAsia="Arial" w:hAnsi="Arial"/>
          <w:color w:val="1F1F1F"/>
          <w:sz w:val="22"/>
          <w:szCs w:val="22"/>
        </w:rPr>
        <w:t xml:space="preserve">Refresh the peer comparison every six months. The aggregated UN jobs board API supports the methodology; a six-monthly refresh keeps the convergence model anchored against current rather than April 2026 peer positions and lets ManCom track whether the bifurcation observed in v1 (UNDP and the rest of the UN system pulling away from the Secretariat) is sustained.</w:t>
      </w:r>
    </w:p>
    <w:p>
      <w:pPr>
        <w:pStyle w:val="Heading1"/>
        <w:spacing w:after="200" w:before="320"/>
      </w:pPr>
      <w:r>
        <w:rPr>
          <w:rFonts w:ascii="Arial" w:cs="Arial" w:eastAsia="Arial" w:hAnsi="Arial"/>
          <w:b/>
          <w:bCs/>
          <w:color w:val="1F4E79"/>
          <w:sz w:val="30"/>
          <w:szCs w:val="30"/>
        </w:rPr>
        <w:t xml:space="preserve">Annex: Detection methodology</w:t>
      </w:r>
    </w:p>
    <w:p>
      <w:pPr>
        <w:spacing w:after="160" w:line="300" w:lineRule="auto"/>
        <w:jc w:val="both"/>
      </w:pPr>
      <w:r>
        <w:rPr>
          <w:rFonts w:ascii="Arial" w:cs="Arial" w:eastAsia="Arial" w:hAnsi="Arial"/>
          <w:color w:val="1F1F1F"/>
          <w:sz w:val="22"/>
          <w:szCs w:val="22"/>
        </w:rPr>
        <w:t xml:space="preserve">The following pattern set, applied to combined title-and-description text with re.IGNORECASE, defines the AI-Core bar throughout this document. The same set was applied to the UNICC PD library (with contextual QC layered on top to discard peripheral mentions) and to UN-system peer postings.</w:t>
      </w:r>
    </w:p>
    <w:p>
      <w:pPr>
        <w:spacing w:after="80"/>
      </w:pPr>
      <w:r>
        <w:t xml:space="preserve"/>
      </w:r>
    </w:p>
    <w:p>
      <w:pPr>
        <w:spacing w:after="60"/>
        <w:jc w:val="left"/>
      </w:pPr>
      <w:r>
        <w:rPr>
          <w:rFonts w:ascii="Consolas" w:cs="Consolas" w:eastAsia="Consolas" w:hAnsi="Consolas"/>
          <w:color w:val="1F1F1F"/>
          <w:sz w:val="18"/>
          <w:szCs w:val="18"/>
        </w:rPr>
        <w:t xml:space="preserve"># Strict tier — AI-Core terminology</w:t>
      </w:r>
    </w:p>
    <w:p>
      <w:pPr>
        <w:spacing w:after="60"/>
        <w:jc w:val="left"/>
      </w:pPr>
      <w:r>
        <w:rPr>
          <w:rFonts w:ascii="Consolas" w:cs="Consolas" w:eastAsia="Consolas" w:hAnsi="Consolas"/>
          <w:color w:val="1F1F1F"/>
          <w:sz w:val="18"/>
          <w:szCs w:val="18"/>
        </w:rPr>
        <w:t xml:space="preserve">  r"\bartificial\s+intelligence\b"</w:t>
      </w:r>
    </w:p>
    <w:p>
      <w:pPr>
        <w:spacing w:after="60"/>
        <w:jc w:val="left"/>
      </w:pPr>
      <w:r>
        <w:rPr>
          <w:rFonts w:ascii="Consolas" w:cs="Consolas" w:eastAsia="Consolas" w:hAnsi="Consolas"/>
          <w:color w:val="1F1F1F"/>
          <w:sz w:val="18"/>
          <w:szCs w:val="18"/>
        </w:rPr>
        <w:t xml:space="preserve">  r"\bmachine\s+learning\b"</w:t>
      </w:r>
    </w:p>
    <w:p>
      <w:pPr>
        <w:spacing w:after="60"/>
        <w:jc w:val="left"/>
      </w:pPr>
      <w:r>
        <w:rPr>
          <w:rFonts w:ascii="Consolas" w:cs="Consolas" w:eastAsia="Consolas" w:hAnsi="Consolas"/>
          <w:color w:val="1F1F1F"/>
          <w:sz w:val="18"/>
          <w:szCs w:val="18"/>
        </w:rPr>
        <w:t xml:space="preserve">  r"\bdeep\s+learning\b"</w:t>
      </w:r>
    </w:p>
    <w:p>
      <w:pPr>
        <w:spacing w:after="60"/>
        <w:jc w:val="left"/>
      </w:pPr>
      <w:r>
        <w:rPr>
          <w:rFonts w:ascii="Consolas" w:cs="Consolas" w:eastAsia="Consolas" w:hAnsi="Consolas"/>
          <w:color w:val="1F1F1F"/>
          <w:sz w:val="18"/>
          <w:szCs w:val="18"/>
        </w:rPr>
        <w:t xml:space="preserve">  r"\bneural\s+network"</w:t>
      </w:r>
    </w:p>
    <w:p>
      <w:pPr>
        <w:spacing w:after="60"/>
        <w:jc w:val="left"/>
      </w:pPr>
      <w:r>
        <w:rPr>
          <w:rFonts w:ascii="Consolas" w:cs="Consolas" w:eastAsia="Consolas" w:hAnsi="Consolas"/>
          <w:color w:val="1F1F1F"/>
          <w:sz w:val="18"/>
          <w:szCs w:val="18"/>
        </w:rPr>
        <w:t xml:space="preserve">  r"\bnatural\s+language\s+processing\b"</w:t>
      </w:r>
    </w:p>
    <w:p>
      <w:pPr>
        <w:spacing w:after="60"/>
        <w:jc w:val="left"/>
      </w:pPr>
      <w:r>
        <w:rPr>
          <w:rFonts w:ascii="Consolas" w:cs="Consolas" w:eastAsia="Consolas" w:hAnsi="Consolas"/>
          <w:color w:val="1F1F1F"/>
          <w:sz w:val="18"/>
          <w:szCs w:val="18"/>
        </w:rPr>
        <w:t xml:space="preserve">  r"\blarge\s+language\s+model"</w:t>
      </w:r>
    </w:p>
    <w:p>
      <w:pPr>
        <w:spacing w:after="60"/>
        <w:jc w:val="left"/>
      </w:pPr>
      <w:r>
        <w:rPr>
          <w:rFonts w:ascii="Consolas" w:cs="Consolas" w:eastAsia="Consolas" w:hAnsi="Consolas"/>
          <w:color w:val="1F1F1F"/>
          <w:sz w:val="18"/>
          <w:szCs w:val="18"/>
        </w:rPr>
        <w:t xml:space="preserve">  r"\bgenerative\s+AI\b|\bGenAI\b|\bgen[\s\-]AI\b"</w:t>
      </w:r>
    </w:p>
    <w:p>
      <w:pPr>
        <w:spacing w:after="60"/>
        <w:jc w:val="left"/>
      </w:pPr>
      <w:r>
        <w:rPr>
          <w:rFonts w:ascii="Consolas" w:cs="Consolas" w:eastAsia="Consolas" w:hAnsi="Consolas"/>
          <w:color w:val="1F1F1F"/>
          <w:sz w:val="18"/>
          <w:szCs w:val="18"/>
        </w:rPr>
        <w:t xml:space="preserve">  r"\bfoundation\s+model"</w:t>
      </w:r>
    </w:p>
    <w:p>
      <w:pPr>
        <w:spacing w:after="60"/>
        <w:jc w:val="left"/>
      </w:pPr>
      <w:r>
        <w:rPr>
          <w:rFonts w:ascii="Consolas" w:cs="Consolas" w:eastAsia="Consolas" w:hAnsi="Consolas"/>
          <w:color w:val="1F1F1F"/>
          <w:sz w:val="18"/>
          <w:szCs w:val="18"/>
        </w:rPr>
        <w:t xml:space="preserve">  r"\bcomputer\s+vision\b"</w:t>
      </w:r>
    </w:p>
    <w:p>
      <w:pPr>
        <w:spacing w:after="60"/>
        <w:jc w:val="left"/>
      </w:pPr>
      <w:r>
        <w:rPr>
          <w:rFonts w:ascii="Consolas" w:cs="Consolas" w:eastAsia="Consolas" w:hAnsi="Consolas"/>
          <w:color w:val="1F1F1F"/>
          <w:sz w:val="18"/>
          <w:szCs w:val="18"/>
        </w:rPr>
        <w:t xml:space="preserve">  r"\bprompt\s+engineer"</w:t>
      </w:r>
    </w:p>
    <w:p>
      <w:pPr>
        <w:spacing w:after="60"/>
        <w:jc w:val="left"/>
      </w:pPr>
      <w:r>
        <w:rPr>
          <w:rFonts w:ascii="Consolas" w:cs="Consolas" w:eastAsia="Consolas" w:hAnsi="Consolas"/>
          <w:color w:val="1F1F1F"/>
          <w:sz w:val="18"/>
          <w:szCs w:val="18"/>
        </w:rPr>
        <w:t xml:space="preserve">  r"\b(ChatGPT|Claude|GPT-?\d|Gemini|GitHub\s+Copilot|Microsoft\s+365\s+Copilot|M365\s+Copilot|Cursor|Anthropic|OpenAI)\b"</w:t>
      </w:r>
    </w:p>
    <w:p>
      <w:pPr>
        <w:spacing w:after="60"/>
        <w:jc w:val="left"/>
      </w:pPr>
      <w:r>
        <w:rPr>
          <w:rFonts w:ascii="Consolas" w:cs="Consolas" w:eastAsia="Consolas" w:hAnsi="Consolas"/>
          <w:color w:val="1F1F1F"/>
          <w:sz w:val="18"/>
          <w:szCs w:val="18"/>
        </w:rPr>
        <w:t xml:space="preserve"/>
      </w:r>
    </w:p>
    <w:p>
      <w:pPr>
        <w:spacing w:after="60"/>
        <w:jc w:val="left"/>
      </w:pPr>
      <w:r>
        <w:rPr>
          <w:rFonts w:ascii="Consolas" w:cs="Consolas" w:eastAsia="Consolas" w:hAnsi="Consolas"/>
          <w:color w:val="1F1F1F"/>
          <w:sz w:val="18"/>
          <w:szCs w:val="18"/>
        </w:rPr>
        <w:t xml:space="preserve"># False positives — masked BEFORE detection</w:t>
      </w:r>
    </w:p>
    <w:p>
      <w:pPr>
        <w:spacing w:after="60"/>
        <w:jc w:val="left"/>
      </w:pPr>
      <w:r>
        <w:rPr>
          <w:rFonts w:ascii="Consolas" w:cs="Consolas" w:eastAsia="Consolas" w:hAnsi="Consolas"/>
          <w:color w:val="1F1F1F"/>
          <w:sz w:val="18"/>
          <w:szCs w:val="18"/>
        </w:rPr>
        <w:t xml:space="preserve">  r"\bAIDS\b|avian\s+influenza|\bAI\s+breeding\b|\bartificial\s+insemination\b"</w:t>
      </w:r>
    </w:p>
    <w:p>
      <w:pPr>
        <w:spacing w:after="160" w:line="300" w:lineRule="auto"/>
        <w:jc w:val="both"/>
      </w:pPr>
      <w:r>
        <w:rPr>
          <w:rFonts w:ascii="Arial" w:cs="Arial" w:eastAsia="Arial" w:hAnsi="Arial"/>
          <w:color w:val="1F1F1F"/>
          <w:sz w:val="22"/>
          <w:szCs w:val="22"/>
        </w:rPr>
        <w:t xml:space="preserve">Workflow: (1) substitute false-positive matches with a sentinel token; (2) run strict patterns against title-plus-description text; (3) flag a posting as AI-Core if any strict pattern matches. For the UNICC PD analysis, an additional contextual QC step reviewed each match in surrounding context and discarded peripheral mentions.</w:t>
      </w:r>
    </w:p>
    <w:p>
      <w:pPr>
        <w:pStyle w:val="Heading1"/>
        <w:spacing w:after="200" w:before="320"/>
      </w:pPr>
      <w:r>
        <w:rPr>
          <w:rFonts w:ascii="Arial" w:cs="Arial" w:eastAsia="Arial" w:hAnsi="Arial"/>
          <w:b/>
          <w:bCs/>
          <w:color w:val="1F4E79"/>
          <w:sz w:val="30"/>
          <w:szCs w:val="30"/>
        </w:rPr>
        <w:t xml:space="preserve">Sources</w:t>
      </w:r>
    </w:p>
    <w:p>
      <w:pPr>
        <w:spacing w:after="140" w:line="280"/>
        <w:jc w:val="both"/>
      </w:pPr>
      <w:r>
        <w:rPr>
          <w:rFonts w:ascii="Arial" w:cs="Arial" w:eastAsia="Arial" w:hAnsi="Arial"/>
          <w:color w:val="1F1F1F"/>
          <w:sz w:val="20"/>
          <w:szCs w:val="20"/>
        </w:rPr>
        <w:t xml:space="preserve">¹ UNICC Workforce Readiness in an AI-Enabled Operating Environment (March 2026 paper); UNICC AI-Core Strict-Tier Analysis (April 2026 workbook).</w:t>
      </w:r>
    </w:p>
    <w:p>
      <w:pPr>
        <w:spacing w:after="140" w:line="280"/>
        <w:jc w:val="both"/>
      </w:pPr>
      <w:r>
        <w:rPr>
          <w:rFonts w:ascii="Arial" w:cs="Arial" w:eastAsia="Arial" w:hAnsi="Arial"/>
          <w:color w:val="1F1F1F"/>
          <w:sz w:val="20"/>
          <w:szCs w:val="20"/>
        </w:rPr>
        <w:t xml:space="preserve">² Aggregated UN jobs board API. Full archive (include_all=true) retrieved 28 April 2026, 15,799 records, filtered to posted_date ≥ 2025-08-01, UN-system filter applied, tech filter applied (856 records).</w:t>
      </w:r>
    </w:p>
    <w:p>
      <w:pPr>
        <w:spacing w:after="140" w:line="280"/>
        <w:jc w:val="both"/>
      </w:pPr>
      <w:r>
        <w:rPr>
          <w:rFonts w:ascii="Arial" w:cs="Arial" w:eastAsia="Arial" w:hAnsi="Arial"/>
          <w:color w:val="1F1F1F"/>
          <w:sz w:val="20"/>
          <w:szCs w:val="20"/>
        </w:rPr>
        <w:t xml:space="preserve">³ Stanford AI Index Report 2026 (Lightcast posting data); PwC Global AI Jobs Barometer 2025; LinkedIn Workforce data 2025-26; WEF Future of Jobs Report 2025; Cisco AI Workforce Consortium ICT in Motion 2025.</w:t>
      </w:r>
    </w:p>
    <w:p>
      <w:pPr>
        <w:spacing w:after="140" w:line="280"/>
        <w:jc w:val="both"/>
      </w:pPr>
      <w:r>
        <w:rPr>
          <w:rFonts w:ascii="Arial" w:cs="Arial" w:eastAsia="Arial" w:hAnsi="Arial"/>
          <w:color w:val="1F1F1F"/>
          <w:sz w:val="20"/>
          <w:szCs w:val="20"/>
        </w:rPr>
        <w:t xml:space="preserve">⁴ UNDP Digital Strategy 2022-2025; World Bank Group ITS departmental materials referenced in active job postings (April 2026 snapshot).</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95959"/>
        <w:sz w:val="18"/>
        <w:szCs w:val="18"/>
      </w:rPr>
      <w:t xml:space="preserve">Page </w:t>
    </w:r>
    <w:r>
      <w:rPr>
        <w:rFonts w:ascii="Arial" w:cs="Arial" w:eastAsia="Arial" w:hAnsi="Arial"/>
        <w:color w:val="595959"/>
        <w:sz w:val="18"/>
        <w:szCs w:val="18"/>
      </w:rPr>
      <w:fldChar w:fldCharType="begin"/>
      <w:instrText xml:space="preserve">PAGE</w:instrText>
      <w:fldChar w:fldCharType="separate"/>
      <w:fldChar w:fldCharType="end"/>
    </w:r>
    <w:r>
      <w:rPr>
        <w:rFonts w:ascii="Arial" w:cs="Arial" w:eastAsia="Arial" w:hAnsi="Arial"/>
        <w:color w:val="595959"/>
        <w:sz w:val="18"/>
        <w:szCs w:val="18"/>
      </w:rPr>
      <w:t xml:space="preserve"> of </w:t>
    </w:r>
    <w:r>
      <w:rPr>
        <w:rFonts w:ascii="Arial" w:cs="Arial" w:eastAsia="Arial" w:hAnsi="Arial"/>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rial" w:cs="Arial" w:eastAsia="Arial" w:hAnsi="Arial"/>
        <w:i/>
        <w:iCs/>
        <w:color w:val="595959"/>
        <w:sz w:val="18"/>
        <w:szCs w:val="18"/>
      </w:rPr>
      <w:t xml:space="preserve">UNICC  |  Workforce Readiness  |  Strategic Benchmarking v3  |  DRAFT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1F1F"/>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Arial" w:cs="Arial" w:eastAsia="Arial" w:hAnsi="Arial"/>
      <w:b/>
      <w:bCs/>
      <w:color w:val="1F4E79"/>
      <w:sz w:val="30"/>
      <w:szCs w:val="30"/>
    </w:rPr>
  </w:style>
  <w:style w:type="paragraph" w:styleId="Heading2">
    <w:name w:val="Heading 2"/>
    <w:basedOn w:val="Normal"/>
    <w:next w:val="Normal"/>
    <w:qFormat/>
    <w:pPr>
      <w:spacing w:after="140" w:before="240"/>
      <w:outlineLvl w:val="1"/>
    </w:pPr>
    <w:rPr>
      <w:rFonts w:ascii="Arial" w:cs="Arial" w:eastAsia="Arial" w:hAnsi="Arial"/>
      <w:b/>
      <w:bCs/>
      <w:color w:val="1F4E79"/>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ab8cef52cf28409c076beb363e2394161f60290c.png"/><Relationship Id="rId10" Type="http://schemas.openxmlformats.org/officeDocument/2006/relationships/image" Target="media/f4c7e00671ab0f36060c6aaf174a1da4118c43f9.png"/><Relationship Id="rId11" Type="http://schemas.openxmlformats.org/officeDocument/2006/relationships/image" Target="media/1b56f08b50a4aa2262a67e96066fd265e09a3b7e.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UNICC Workforce Readiness — Strategic Benchmarking v3</dc:title>
  <dc:creator>UNICC HR</dc:creator>
  <dc:description>AI-Core anchored peer + private-sector benchmarking</dc:description>
  <cp:lastModifiedBy>Un-named</cp:lastModifiedBy>
  <cp:revision>1</cp:revision>
  <dcterms:created xsi:type="dcterms:W3CDTF">2026-04-28T08:52:53.272Z</dcterms:created>
  <dcterms:modified xsi:type="dcterms:W3CDTF">2026-04-28T08:52:53.272Z</dcterms:modified>
</cp:coreProperties>
</file>

<file path=docProps/custom.xml><?xml version="1.0" encoding="utf-8"?>
<Properties xmlns="http://schemas.openxmlformats.org/officeDocument/2006/custom-properties" xmlns:vt="http://schemas.openxmlformats.org/officeDocument/2006/docPropsVTypes"/>
</file>