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/>
          <w:b/>
          <w:color w:val="31D5D0"/>
          <w:sz w:val="18"/>
        </w:rPr>
        <w:t>DATA GOVERNANCE MEMORANDUM</w:t>
      </w:r>
    </w:p>
    <w:p>
      <w:pPr>
        <w:spacing w:after="200"/>
      </w:pPr>
      <w:r>
        <w:rPr>
          <w:rFonts w:ascii="Aptos Display" w:hAnsi="Aptos Display"/>
          <w:b/>
          <w:color w:val="213F57"/>
          <w:sz w:val="52"/>
        </w:rPr>
        <w:t>Traffic Accident Intelligence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8352"/>
      </w:tblGrid>
      <w:tr>
        <w:tc>
          <w:tcPr>
            <w:tcW w:type="dxa" w:w="1080"/>
            <w:tcMar>
              <w:top w:w="55" w:type="dxa"/>
              <w:start w:w="150" w:type="dxa"/>
              <w:bottom w:w="55" w:type="dxa"/>
              <w:end w:w="150" w:type="dxa"/>
            </w:tcMar>
          </w:tcPr>
          <w:p>
            <w:r>
              <w:rPr>
                <w:rFonts w:ascii="Aptos" w:hAnsi="Aptos"/>
                <w:b/>
                <w:color w:val="6D8290"/>
                <w:sz w:val="16"/>
              </w:rPr>
              <w:t>TO</w:t>
            </w:r>
          </w:p>
        </w:tc>
        <w:tc>
          <w:tcPr>
            <w:tcW w:type="dxa" w:w="8352"/>
            <w:tcMar>
              <w:top w:w="55" w:type="dxa"/>
              <w:start w:w="150" w:type="dxa"/>
              <w:bottom w:w="55" w:type="dxa"/>
              <w:end w:w="150" w:type="dxa"/>
            </w:tcMar>
          </w:tcPr>
          <w:p>
            <w:r>
              <w:rPr>
                <w:rFonts w:ascii="Aptos" w:hAnsi="Aptos"/>
                <w:color w:val="172C3D"/>
                <w:sz w:val="19"/>
              </w:rPr>
              <w:t>Leadership Team, Elysium Wealth Management</w:t>
            </w:r>
          </w:p>
        </w:tc>
      </w:tr>
      <w:tr>
        <w:tc>
          <w:tcPr>
            <w:tcW w:type="dxa" w:w="1080"/>
            <w:tcMar>
              <w:top w:w="55" w:type="dxa"/>
              <w:start w:w="150" w:type="dxa"/>
              <w:bottom w:w="55" w:type="dxa"/>
              <w:end w:w="150" w:type="dxa"/>
            </w:tcMar>
          </w:tcPr>
          <w:p>
            <w:r>
              <w:rPr>
                <w:rFonts w:ascii="Aptos" w:hAnsi="Aptos"/>
                <w:b/>
                <w:color w:val="6D8290"/>
                <w:sz w:val="16"/>
              </w:rPr>
              <w:t>FROM</w:t>
            </w:r>
          </w:p>
        </w:tc>
        <w:tc>
          <w:tcPr>
            <w:tcW w:type="dxa" w:w="8352"/>
            <w:tcMar>
              <w:top w:w="55" w:type="dxa"/>
              <w:start w:w="150" w:type="dxa"/>
              <w:bottom w:w="55" w:type="dxa"/>
              <w:end w:w="150" w:type="dxa"/>
            </w:tcMar>
          </w:tcPr>
          <w:p>
            <w:r>
              <w:rPr>
                <w:rFonts w:ascii="Aptos" w:hAnsi="Aptos"/>
                <w:color w:val="172C3D"/>
                <w:sz w:val="19"/>
              </w:rPr>
              <w:t>McCade Pearson  |  mccade.pearson@gmail.com</w:t>
            </w:r>
          </w:p>
        </w:tc>
      </w:tr>
      <w:tr>
        <w:tc>
          <w:tcPr>
            <w:tcW w:type="dxa" w:w="1080"/>
            <w:tcMar>
              <w:top w:w="55" w:type="dxa"/>
              <w:start w:w="150" w:type="dxa"/>
              <w:bottom w:w="55" w:type="dxa"/>
              <w:end w:w="150" w:type="dxa"/>
            </w:tcMar>
          </w:tcPr>
          <w:p>
            <w:r>
              <w:rPr>
                <w:rFonts w:ascii="Aptos" w:hAnsi="Aptos"/>
                <w:b/>
                <w:color w:val="6D8290"/>
                <w:sz w:val="16"/>
              </w:rPr>
              <w:t>DATE</w:t>
            </w:r>
          </w:p>
        </w:tc>
        <w:tc>
          <w:tcPr>
            <w:tcW w:type="dxa" w:w="8352"/>
            <w:tcMar>
              <w:top w:w="55" w:type="dxa"/>
              <w:start w:w="150" w:type="dxa"/>
              <w:bottom w:w="55" w:type="dxa"/>
              <w:end w:w="150" w:type="dxa"/>
            </w:tcMar>
          </w:tcPr>
          <w:p>
            <w:r>
              <w:rPr>
                <w:rFonts w:ascii="Aptos" w:hAnsi="Aptos"/>
                <w:color w:val="172C3D"/>
                <w:sz w:val="19"/>
              </w:rPr>
              <w:t>June 13, 2026</w:t>
            </w:r>
          </w:p>
        </w:tc>
      </w:tr>
      <w:tr>
        <w:tc>
          <w:tcPr>
            <w:tcW w:type="dxa" w:w="1080"/>
            <w:tcMar>
              <w:top w:w="55" w:type="dxa"/>
              <w:start w:w="150" w:type="dxa"/>
              <w:bottom w:w="55" w:type="dxa"/>
              <w:end w:w="150" w:type="dxa"/>
            </w:tcMar>
          </w:tcPr>
          <w:p>
            <w:r>
              <w:rPr>
                <w:rFonts w:ascii="Aptos" w:hAnsi="Aptos"/>
                <w:b/>
                <w:color w:val="6D8290"/>
                <w:sz w:val="16"/>
              </w:rPr>
              <w:t>SUBJECT</w:t>
            </w:r>
          </w:p>
        </w:tc>
        <w:tc>
          <w:tcPr>
            <w:tcW w:type="dxa" w:w="8352"/>
            <w:tcMar>
              <w:top w:w="55" w:type="dxa"/>
              <w:start w:w="150" w:type="dxa"/>
              <w:bottom w:w="55" w:type="dxa"/>
              <w:end w:w="150" w:type="dxa"/>
            </w:tcMar>
          </w:tcPr>
          <w:p>
            <w:r>
              <w:rPr>
                <w:rFonts w:ascii="Aptos" w:hAnsi="Aptos"/>
                <w:color w:val="172C3D"/>
                <w:sz w:val="19"/>
              </w:rPr>
              <w:t>Data sources, methodology, limitations, and appropriate use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DF8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13F57"/>
                <w:sz w:val="20"/>
              </w:rPr>
              <w:t>Purpose: document the authoritative government sources and analytical methods used by Elysium's Traffic Accident Intelligence application.</w:t>
            </w:r>
          </w:p>
        </w:tc>
      </w:tr>
    </w:tbl>
    <w:p>
      <w:pPr>
        <w:pStyle w:val="Heading1"/>
      </w:pPr>
      <w:r>
        <w:t>Purpose</w:t>
      </w:r>
    </w:p>
    <w:p>
      <w:r>
        <w:t>This memorandum documents the sources, preparation methods, definitions, and known</w:t>
      </w:r>
    </w:p>
    <w:p>
      <w:r>
        <w:t>limitations of the data used in Elysium Wealth Management's Traffic Accident</w:t>
      </w:r>
    </w:p>
    <w:p>
      <w:r>
        <w:t>Intelligence application.</w:t>
      </w:r>
    </w:p>
    <w:p>
      <w:r>
        <w:t>The application was designed to help Elysium evaluate geographic markets by combining</w:t>
      </w:r>
    </w:p>
    <w:p>
      <w:r>
        <w:t>traffic-crash exposure with the size of selected commercial workforces and business</w:t>
      </w:r>
    </w:p>
    <w:p>
      <w:r>
        <w:t>communities. The analysis emphasizes aggregate market conditions and does not identify</w:t>
      </w:r>
    </w:p>
    <w:p>
      <w:r>
        <w:t>or target individual crash victims.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application's most detailed crash information comes from the</w:t>
      </w:r>
    </w:p>
    <w:p>
      <w:hyperlink r:id="rId11">
        <w:r>
          <w:rPr>
            <w:color w:val="168F8C"/>
            <w:u w:val="single"/>
          </w:rPr>
          <w:t>Utah Department of Transportation's public Utah Crash Locations service</w:t>
        </w:r>
      </w:hyperlink>
      <w:r>
        <w:t>.</w:t>
      </w:r>
    </w:p>
    <w:p>
      <w:r>
        <w:t>This source provides anonymized, street-level records for reported Utah crashes.</w:t>
      </w:r>
    </w:p>
    <w:p>
      <w:pPr>
        <w:pStyle w:val="ListBullet"/>
      </w:pPr>
      <w:r>
        <w:t>Nationwide fatal-crash comparisons come from the</w:t>
      </w:r>
    </w:p>
    <w:p>
      <w:hyperlink r:id="rId12">
        <w:r>
          <w:rPr>
            <w:color w:val="168F8C"/>
            <w:u w:val="single"/>
          </w:rPr>
          <w:t>National Highway Traffic Safety Administration's Fatality Analysis Reporting System</w:t>
        </w:r>
      </w:hyperlink>
      <w:r>
        <w:t>.</w:t>
      </w:r>
    </w:p>
    <w:p>
      <w:r>
        <w:t>NHTSA describes FARS as a nationwide census of fatal injuries suffered in motor</w:t>
      </w:r>
    </w:p>
    <w:p>
      <w:r>
        <w:t>vehicle traffic crashes.</w:t>
      </w:r>
    </w:p>
    <w:p>
      <w:pPr>
        <w:pStyle w:val="ListBullet"/>
      </w:pPr>
      <w:r>
        <w:t>County-level commercial-market estimates come from the</w:t>
      </w:r>
    </w:p>
    <w:p>
      <w:hyperlink r:id="rId13">
        <w:r>
          <w:rPr>
            <w:color w:val="168F8C"/>
            <w:u w:val="single"/>
          </w:rPr>
          <w:t>U.S. Census Bureau's County Business Patterns program</w:t>
        </w:r>
      </w:hyperlink>
      <w:r>
        <w:t>,</w:t>
      </w:r>
    </w:p>
    <w:p>
      <w:r>
        <w:t>an annual series providing subnational establishment, employment, and payroll data</w:t>
      </w:r>
    </w:p>
    <w:p>
      <w:r>
        <w:t>by industry.</w:t>
      </w:r>
    </w:p>
    <w:p>
      <w:pPr>
        <w:pStyle w:val="ListBullet"/>
      </w:pPr>
      <w:r>
        <w:t>Population-adjusted crash rates use official county estimates from the</w:t>
      </w:r>
    </w:p>
    <w:p>
      <w:hyperlink r:id="rId14">
        <w:r>
          <w:rPr>
            <w:color w:val="168F8C"/>
            <w:u w:val="single"/>
          </w:rPr>
          <w:t>U.S. Census Bureau's Population and Housing Unit Estimates program</w:t>
        </w:r>
      </w:hyperlink>
      <w:r>
        <w:t>.</w:t>
      </w:r>
    </w:p>
    <w:p>
      <w:pPr>
        <w:pStyle w:val="ListBullet"/>
      </w:pPr>
      <w:r>
        <w:t>Data from these sources is downloaded, standardized, joined, and summarized through</w:t>
      </w:r>
    </w:p>
    <w:p>
      <w:r>
        <w:t>a reproducible Python ingestion pipeline. The Streamlit application uses compact,</w:t>
      </w:r>
    </w:p>
    <w:p>
      <w:r>
        <w:t>compressed extracts containing only the fields required by the dashboard.</w:t>
      </w:r>
    </w:p>
    <w:p>
      <w:pPr>
        <w:pStyle w:val="Heading1"/>
      </w:pPr>
      <w:r>
        <w:t>Primary Data Sources</w:t>
      </w:r>
    </w:p>
    <w:p>
      <w:pPr>
        <w:pStyle w:val="Heading2"/>
      </w:pPr>
      <w:r>
        <w:t>1. Utah Department of Transportation — Utah Crash Locations</w:t>
      </w:r>
    </w:p>
    <w:p>
      <w:pPr>
        <w:pStyle w:val="ListBullet"/>
      </w:pPr>
      <w:r>
        <w:rPr>
          <w:b/>
        </w:rPr>
        <w:t>Official source:</w:t>
      </w:r>
      <w:r>
        <w:t xml:space="preserve"> </w:t>
      </w:r>
      <w:hyperlink r:id="rId11">
        <w:r>
          <w:rPr>
            <w:color w:val="168F8C"/>
            <w:u w:val="single"/>
          </w:rPr>
          <w:t>UDOT Utah Crash Locations Feature Service</w:t>
        </w:r>
      </w:hyperlink>
    </w:p>
    <w:p>
      <w:pPr>
        <w:pStyle w:val="ListBullet"/>
      </w:pPr>
      <w:r>
        <w:rPr>
          <w:b/>
        </w:rPr>
        <w:t>Application coverage:</w:t>
      </w:r>
      <w:r>
        <w:t xml:space="preserve"> Completed calendar years </w:t>
      </w:r>
      <w:r>
        <w:rPr>
          <w:b/>
        </w:rPr>
        <w:t>2019–2024</w:t>
      </w:r>
      <w:r>
        <w:t>.</w:t>
      </w:r>
    </w:p>
    <w:p>
      <w:pPr>
        <w:pStyle w:val="ListBullet"/>
      </w:pPr>
      <w:r>
        <w:rPr>
          <w:b/>
        </w:rPr>
        <w:t>Records loaded:</w:t>
      </w:r>
      <w:r>
        <w:t xml:space="preserve"> Approximately </w:t>
      </w:r>
      <w:r>
        <w:rPr>
          <w:b/>
        </w:rPr>
        <w:t>354,000 anonymized reported crashes</w:t>
      </w:r>
      <w:r>
        <w:t>.</w:t>
      </w:r>
    </w:p>
    <w:p>
      <w:pPr>
        <w:pStyle w:val="ListBullet"/>
      </w:pPr>
      <w:r>
        <w:rPr>
          <w:b/>
        </w:rPr>
        <w:t>Geographic detail:</w:t>
      </w:r>
      <w:r>
        <w:t xml:space="preserve"> Individual crash coordinates, county, roadway, route, mileage,</w:t>
      </w:r>
    </w:p>
    <w:p>
      <w:r>
        <w:t>and location description when reported.</w:t>
      </w:r>
    </w:p>
    <w:p>
      <w:pPr>
        <w:pStyle w:val="ListBullet"/>
      </w:pPr>
      <w:r>
        <w:rPr>
          <w:b/>
        </w:rPr>
        <w:t>Crash characteristics available:</w:t>
      </w:r>
    </w:p>
    <w:p>
      <w:pPr>
        <w:pStyle w:val="ListBullet"/>
      </w:pPr>
      <w:r>
        <w:t>Crash severity</w:t>
      </w:r>
    </w:p>
    <w:p>
      <w:pPr>
        <w:pStyle w:val="ListBullet"/>
      </w:pPr>
      <w:r>
        <w:t>Fatality and injury counts</w:t>
      </w:r>
    </w:p>
    <w:p>
      <w:pPr>
        <w:pStyle w:val="ListBullet"/>
      </w:pPr>
      <w:r>
        <w:t>Weather and lighting conditions</w:t>
      </w:r>
    </w:p>
    <w:p>
      <w:pPr>
        <w:pStyle w:val="ListBullet"/>
      </w:pPr>
      <w:r>
        <w:t>Collision type</w:t>
      </w:r>
    </w:p>
    <w:p>
      <w:pPr>
        <w:pStyle w:val="ListBullet"/>
      </w:pPr>
      <w:r>
        <w:t>Number of vehicles involved</w:t>
      </w:r>
    </w:p>
    <w:p>
      <w:pPr>
        <w:pStyle w:val="ListBullet"/>
      </w:pPr>
      <w:r>
        <w:t>Work-zone involvement</w:t>
      </w:r>
    </w:p>
    <w:p>
      <w:pPr>
        <w:pStyle w:val="ListBullet"/>
      </w:pPr>
      <w:r>
        <w:t>Motor-carrier and commercial-motor-vehicle indicators</w:t>
      </w:r>
    </w:p>
    <w:p>
      <w:pPr>
        <w:pStyle w:val="ListBullet"/>
      </w:pPr>
      <w:r>
        <w:t>DUI, distraction, speed, and drowsy-driving indicators</w:t>
      </w:r>
    </w:p>
    <w:p>
      <w:pPr>
        <w:pStyle w:val="ListBullet"/>
      </w:pPr>
      <w:r>
        <w:t>Pedestrian, bicyclist, motorcycle, and transit involvement</w:t>
      </w:r>
    </w:p>
    <w:p>
      <w:pPr>
        <w:pStyle w:val="ListBullet"/>
      </w:pPr>
      <w:r>
        <w:rPr>
          <w:b/>
        </w:rPr>
        <w:t>Privacy:</w:t>
      </w:r>
      <w:r>
        <w:t xml:space="preserve"> The public service removes personal identification information. The</w:t>
      </w:r>
    </w:p>
    <w:p>
      <w:r>
        <w:t>application does not contain names, contact details, medical records, or other</w:t>
      </w:r>
    </w:p>
    <w:p>
      <w:r>
        <w:t>personally identifying victim information.</w:t>
      </w:r>
    </w:p>
    <w:p>
      <w:pPr>
        <w:pStyle w:val="ListBullet"/>
      </w:pPr>
      <w:r>
        <w:rPr>
          <w:b/>
        </w:rPr>
        <w:t>Refresh and recency:</w:t>
      </w:r>
      <w:r>
        <w:t xml:space="preserve"> UDOT describes the public service as being refreshed</w:t>
      </w:r>
    </w:p>
    <w:p>
      <w:r>
        <w:t>regularly, with possible delays for crashes requiring additional investigation.</w:t>
      </w:r>
    </w:p>
    <w:p>
      <w:r>
        <w:t>Recent-year records may be preliminary or corrected later. For stability, the</w:t>
      </w:r>
    </w:p>
    <w:p>
      <w:r>
        <w:t>application currently uses completed years through 2024.</w:t>
      </w:r>
    </w:p>
    <w:p>
      <w:pPr>
        <w:pStyle w:val="ListBullet"/>
      </w:pPr>
      <w:r>
        <w:rPr>
          <w:b/>
        </w:rPr>
        <w:t>Important interpretation:</w:t>
      </w:r>
      <w:r>
        <w:t xml:space="preserve"> A reported motor-carrier or commercial-vehicle</w:t>
      </w:r>
    </w:p>
    <w:p>
      <w:r>
        <w:t>indicator is useful evidence of occupational or commercial exposure. It does not</w:t>
      </w:r>
    </w:p>
    <w:p>
      <w:r>
        <w:t>establish that every person involved in a crash was working at the time.</w:t>
      </w:r>
    </w:p>
    <w:p>
      <w:pPr>
        <w:pStyle w:val="Heading2"/>
      </w:pPr>
      <w:r>
        <w:t>2. National Highway Traffic Safety Administration — FARS</w:t>
      </w:r>
    </w:p>
    <w:p>
      <w:pPr>
        <w:pStyle w:val="ListBullet"/>
      </w:pPr>
      <w:r>
        <w:rPr>
          <w:b/>
        </w:rPr>
        <w:t>Official source:</w:t>
      </w:r>
      <w:r>
        <w:t xml:space="preserve"> </w:t>
      </w:r>
      <w:hyperlink r:id="rId12">
        <w:r>
          <w:rPr>
            <w:color w:val="168F8C"/>
            <w:u w:val="single"/>
          </w:rPr>
          <w:t>NHTSA Fatality Analysis Reporting System</w:t>
        </w:r>
      </w:hyperlink>
    </w:p>
    <w:p>
      <w:pPr>
        <w:pStyle w:val="ListBullet"/>
      </w:pPr>
      <w:r>
        <w:rPr>
          <w:b/>
        </w:rPr>
        <w:t>Application coverage:</w:t>
      </w:r>
      <w:r>
        <w:t xml:space="preserve"> Nationwide fatal crashes for </w:t>
      </w:r>
      <w:r>
        <w:rPr>
          <w:b/>
        </w:rPr>
        <w:t>2019–2023</w:t>
      </w:r>
      <w:r>
        <w:t>.</w:t>
      </w:r>
    </w:p>
    <w:p>
      <w:pPr>
        <w:pStyle w:val="ListBullet"/>
      </w:pPr>
      <w:r>
        <w:rPr>
          <w:b/>
        </w:rPr>
        <w:t>Purpose in the application:</w:t>
      </w:r>
      <w:r>
        <w:t xml:space="preserve"> Provides consistent fatal-crash comparisons across</w:t>
      </w:r>
    </w:p>
    <w:p>
      <w:r>
        <w:t>states when equivalent all-crash state records are not available.</w:t>
      </w:r>
    </w:p>
    <w:p>
      <w:pPr>
        <w:pStyle w:val="ListBullet"/>
      </w:pPr>
      <w:r>
        <w:rPr>
          <w:b/>
        </w:rPr>
        <w:t>Key fields used:</w:t>
      </w:r>
    </w:p>
    <w:p>
      <w:pPr>
        <w:pStyle w:val="ListBullet"/>
      </w:pPr>
      <w:r>
        <w:t>State and county</w:t>
      </w:r>
    </w:p>
    <w:p>
      <w:pPr>
        <w:pStyle w:val="ListBullet"/>
      </w:pPr>
      <w:r>
        <w:t>Crash coordinates</w:t>
      </w:r>
    </w:p>
    <w:p>
      <w:pPr>
        <w:pStyle w:val="ListBullet"/>
      </w:pPr>
      <w:r>
        <w:t>Fatality counts</w:t>
      </w:r>
    </w:p>
    <w:p>
      <w:pPr>
        <w:pStyle w:val="ListBullet"/>
      </w:pPr>
      <w:r>
        <w:t>Weather and lighting conditions</w:t>
      </w:r>
    </w:p>
    <w:p>
      <w:pPr>
        <w:pStyle w:val="ListBullet"/>
      </w:pPr>
      <w:r>
        <w:t>Roadway and work-zone context</w:t>
      </w:r>
    </w:p>
    <w:p>
      <w:pPr>
        <w:pStyle w:val="ListBullet"/>
      </w:pPr>
      <w:r>
        <w:t>Large-truck, bus, and recorded motor-carrier indicators</w:t>
      </w:r>
    </w:p>
    <w:p>
      <w:pPr>
        <w:pStyle w:val="ListBullet"/>
      </w:pPr>
      <w:r>
        <w:rPr>
          <w:b/>
        </w:rPr>
        <w:t>Strength:</w:t>
      </w:r>
      <w:r>
        <w:t xml:space="preserve"> NHTSA identifies FARS as a nationwide census rather than a statistical</w:t>
      </w:r>
    </w:p>
    <w:p>
      <w:r>
        <w:t>sample, making it a strong source for fatal-crash analysis.</w:t>
      </w:r>
    </w:p>
    <w:p>
      <w:pPr>
        <w:pStyle w:val="ListBullet"/>
      </w:pPr>
      <w:r>
        <w:rPr>
          <w:b/>
        </w:rPr>
        <w:t>Limitation:</w:t>
      </w:r>
      <w:r>
        <w:t xml:space="preserve"> FARS only includes crashes involving a traffic fatality. It should</w:t>
      </w:r>
    </w:p>
    <w:p>
      <w:r>
        <w:t>not be interpreted as representing all accidents, injuries, or property-damage-only</w:t>
      </w:r>
    </w:p>
    <w:p>
      <w:r>
        <w:t>events.</w:t>
      </w:r>
    </w:p>
    <w:p>
      <w:pPr>
        <w:pStyle w:val="Heading2"/>
      </w:pPr>
      <w:r>
        <w:t>3. U.S. Census Bureau — County Business Patterns</w:t>
      </w:r>
    </w:p>
    <w:p>
      <w:pPr>
        <w:pStyle w:val="ListBullet"/>
      </w:pPr>
      <w:r>
        <w:rPr>
          <w:b/>
        </w:rPr>
        <w:t>Official source:</w:t>
      </w:r>
      <w:r>
        <w:t xml:space="preserve"> </w:t>
      </w:r>
      <w:hyperlink r:id="rId13">
        <w:r>
          <w:rPr>
            <w:color w:val="168F8C"/>
            <w:u w:val="single"/>
          </w:rPr>
          <w:t>Census County Business Patterns</w:t>
        </w:r>
      </w:hyperlink>
    </w:p>
    <w:p>
      <w:pPr>
        <w:pStyle w:val="ListBullet"/>
      </w:pPr>
      <w:r>
        <w:rPr>
          <w:b/>
        </w:rPr>
        <w:t>Application coverage:</w:t>
      </w:r>
      <w:r>
        <w:t xml:space="preserve"> </w:t>
      </w:r>
      <w:r>
        <w:rPr>
          <w:b/>
        </w:rPr>
        <w:t>2023</w:t>
      </w:r>
      <w:r>
        <w:t xml:space="preserve"> county-level establishment and employment data.</w:t>
      </w:r>
    </w:p>
    <w:p>
      <w:pPr>
        <w:pStyle w:val="ListBullet"/>
      </w:pPr>
      <w:r>
        <w:rPr>
          <w:b/>
        </w:rPr>
        <w:t>Purpose in the application:</w:t>
      </w:r>
      <w:r>
        <w:t xml:space="preserve"> Measures the size of potentially addressable</w:t>
      </w:r>
    </w:p>
    <w:p>
      <w:r>
        <w:t>commercial markets by county.</w:t>
      </w:r>
    </w:p>
    <w:p>
      <w:pPr>
        <w:pStyle w:val="ListBullet"/>
      </w:pPr>
      <w:r>
        <w:rPr>
          <w:b/>
        </w:rPr>
        <w:t>Selected target industries:</w:t>
      </w:r>
    </w:p>
    <w:p>
      <w:pPr>
        <w:pStyle w:val="ListBullet"/>
      </w:pPr>
      <w:r>
        <w:t>Specialty Trade Contractors</w:t>
      </w:r>
    </w:p>
    <w:p>
      <w:pPr>
        <w:pStyle w:val="ListBullet"/>
      </w:pPr>
      <w:r>
        <w:t>Truck Transportation</w:t>
      </w:r>
    </w:p>
    <w:p>
      <w:pPr>
        <w:pStyle w:val="ListBullet"/>
      </w:pPr>
      <w:r>
        <w:t>Couriers and Messengers</w:t>
      </w:r>
    </w:p>
    <w:p>
      <w:pPr>
        <w:pStyle w:val="ListBullet"/>
      </w:pPr>
      <w:r>
        <w:t>Landscaping Services</w:t>
      </w:r>
    </w:p>
    <w:p>
      <w:pPr>
        <w:pStyle w:val="ListBullet"/>
      </w:pPr>
      <w:r>
        <w:rPr>
          <w:b/>
        </w:rPr>
        <w:t>Measures used:</w:t>
      </w:r>
    </w:p>
    <w:p>
      <w:pPr>
        <w:pStyle w:val="ListBullet"/>
      </w:pPr>
      <w:r>
        <w:t>Number of establishments</w:t>
      </w:r>
    </w:p>
    <w:p>
      <w:pPr>
        <w:pStyle w:val="ListBullet"/>
      </w:pPr>
      <w:r>
        <w:t>Number of employees</w:t>
      </w:r>
    </w:p>
    <w:p>
      <w:pPr>
        <w:pStyle w:val="ListBullet"/>
      </w:pPr>
      <w:r>
        <w:t>Annual payroll where available</w:t>
      </w:r>
    </w:p>
    <w:p>
      <w:pPr>
        <w:pStyle w:val="ListBullet"/>
      </w:pPr>
      <w:r>
        <w:rPr>
          <w:b/>
        </w:rPr>
        <w:t>Rationale:</w:t>
      </w:r>
      <w:r>
        <w:t xml:space="preserve"> These industries represent workers and business owners with meaningful</w:t>
      </w:r>
    </w:p>
    <w:p>
      <w:r>
        <w:t>driving exposure, including long-distance transportation and local service work.</w:t>
      </w:r>
    </w:p>
    <w:p>
      <w:pPr>
        <w:pStyle w:val="ListBullet"/>
      </w:pPr>
      <w:r>
        <w:rPr>
          <w:b/>
        </w:rPr>
        <w:t>Limitations:</w:t>
      </w:r>
    </w:p>
    <w:p>
      <w:pPr>
        <w:pStyle w:val="ListBullet"/>
      </w:pPr>
      <w:r>
        <w:t>Specialty Trade Contractors includes more occupations than plumbing alone.</w:t>
      </w:r>
    </w:p>
    <w:p>
      <w:pPr>
        <w:pStyle w:val="ListBullet"/>
      </w:pPr>
      <w:r>
        <w:t>Census disclosure protections may suppress certain county-industry employment</w:t>
      </w:r>
    </w:p>
    <w:p>
      <w:r>
        <w:t>values.</w:t>
      </w:r>
    </w:p>
    <w:p>
      <w:pPr>
        <w:pStyle w:val="ListBullet"/>
      </w:pPr>
      <w:r>
        <w:t>Industry employment indicates market presence; it does not prove occupational</w:t>
      </w:r>
    </w:p>
    <w:p>
      <w:r>
        <w:t>involvement in a particular crash.</w:t>
      </w:r>
    </w:p>
    <w:p>
      <w:pPr>
        <w:pStyle w:val="Heading2"/>
      </w:pPr>
      <w:r>
        <w:t>4. U.S. Census Bureau — Population Estimates</w:t>
      </w:r>
    </w:p>
    <w:p>
      <w:pPr>
        <w:pStyle w:val="ListBullet"/>
      </w:pPr>
      <w:r>
        <w:rPr>
          <w:b/>
        </w:rPr>
        <w:t>Official source:</w:t>
      </w:r>
      <w:r>
        <w:t xml:space="preserve"> </w:t>
      </w:r>
      <w:hyperlink r:id="rId14">
        <w:r>
          <w:rPr>
            <w:color w:val="168F8C"/>
            <w:u w:val="single"/>
          </w:rPr>
          <w:t>Census Population and Housing Unit Estimates</w:t>
        </w:r>
      </w:hyperlink>
    </w:p>
    <w:p>
      <w:pPr>
        <w:pStyle w:val="ListBullet"/>
      </w:pPr>
      <w:r>
        <w:rPr>
          <w:b/>
        </w:rPr>
        <w:t>Application coverage:</w:t>
      </w:r>
      <w:r>
        <w:t xml:space="preserve"> County population estimates for </w:t>
      </w:r>
      <w:r>
        <w:rPr>
          <w:b/>
        </w:rPr>
        <w:t>2020–2024</w:t>
      </w:r>
      <w:r>
        <w:t>.</w:t>
      </w:r>
    </w:p>
    <w:p>
      <w:pPr>
        <w:pStyle w:val="ListBullet"/>
      </w:pPr>
      <w:r>
        <w:rPr>
          <w:b/>
        </w:rPr>
        <w:t>Purpose in the application:</w:t>
      </w:r>
      <w:r>
        <w:t xml:space="preserve"> Provides denominators for calculating rates such as</w:t>
      </w:r>
    </w:p>
    <w:p>
      <w:r>
        <w:t>reported crashes or injury crashes per 100,000 residents.</w:t>
      </w:r>
    </w:p>
    <w:p>
      <w:pPr>
        <w:pStyle w:val="ListBullet"/>
      </w:pPr>
      <w:r>
        <w:rPr>
          <w:b/>
        </w:rPr>
        <w:t>Why rates matter:</w:t>
      </w:r>
      <w:r>
        <w:t xml:space="preserve"> Raw crash totals naturally favor highly populated counties.</w:t>
      </w:r>
    </w:p>
    <w:p>
      <w:r>
        <w:t>Per-capita rates provide a second perspective on relative crash exposure.</w:t>
      </w:r>
    </w:p>
    <w:p>
      <w:pPr>
        <w:pStyle w:val="ListBullet"/>
      </w:pPr>
      <w:r>
        <w:rPr>
          <w:b/>
        </w:rPr>
        <w:t>Limitations:</w:t>
      </w:r>
    </w:p>
    <w:p>
      <w:pPr>
        <w:pStyle w:val="ListBullet"/>
      </w:pPr>
      <w:r>
        <w:t>Population-adjusted rates are unavailable for 2019 in the current analytical</w:t>
      </w:r>
    </w:p>
    <w:p>
      <w:r>
        <w:t>table because the loaded estimate series begins in 2020.</w:t>
      </w:r>
    </w:p>
    <w:p>
      <w:pPr>
        <w:pStyle w:val="ListBullet"/>
      </w:pPr>
      <w:r>
        <w:t>Rates in small counties can be volatile. The dashboard applies a population</w:t>
      </w:r>
    </w:p>
    <w:p>
      <w:r>
        <w:t>threshold when identifying the highest crash-rate county.</w:t>
      </w:r>
    </w:p>
    <w:p>
      <w:pPr>
        <w:pStyle w:val="ListBullet"/>
      </w:pPr>
      <w:r>
        <w:t>Resident population does not measure road usage, commuter inflow, tourism, or</w:t>
      </w:r>
    </w:p>
    <w:p>
      <w:r>
        <w:t>vehicle miles traveled.</w:t>
      </w:r>
    </w:p>
    <w:p>
      <w:pPr>
        <w:pStyle w:val="Heading1"/>
      </w:pPr>
      <w:r>
        <w:t>Data Preparation and Analytical Methodology</w:t>
      </w:r>
    </w:p>
    <w:p>
      <w:pPr>
        <w:pStyle w:val="ListBullet"/>
      </w:pPr>
      <w:r>
        <w:t>Official datasets are downloaded using reproducible scripts rather than manually</w:t>
      </w:r>
    </w:p>
    <w:p>
      <w:r>
        <w:t>edited spreadsheets.</w:t>
      </w:r>
    </w:p>
    <w:p>
      <w:pPr>
        <w:pStyle w:val="ListBullet"/>
      </w:pPr>
      <w:r>
        <w:t>Original source fields are standardized into consistent names and data types.</w:t>
      </w:r>
    </w:p>
    <w:p>
      <w:pPr>
        <w:pStyle w:val="ListBullet"/>
      </w:pPr>
      <w:r>
        <w:t>UDOT county names are matched to Census county identifiers so crash outcomes,</w:t>
      </w:r>
    </w:p>
    <w:p>
      <w:r>
        <w:t>population estimates, and commercial-market measures can be analyzed together.</w:t>
      </w:r>
    </w:p>
    <w:p>
      <w:pPr>
        <w:pStyle w:val="ListBullet"/>
      </w:pPr>
      <w:r>
        <w:t>The application maintains a complete Utah county-year analytical table containing</w:t>
      </w:r>
    </w:p>
    <w:p>
      <w:r>
        <w:t xml:space="preserve">all </w:t>
      </w:r>
      <w:r>
        <w:rPr>
          <w:b/>
        </w:rPr>
        <w:t>29 Utah counties</w:t>
      </w:r>
      <w:r>
        <w:t xml:space="preserve"> for every year from </w:t>
      </w:r>
      <w:r>
        <w:rPr>
          <w:b/>
        </w:rPr>
        <w:t>2019 through 2024</w:t>
      </w:r>
      <w:r>
        <w:t>.</w:t>
      </w:r>
    </w:p>
    <w:p>
      <w:pPr>
        <w:pStyle w:val="ListBullet"/>
      </w:pPr>
      <w:r>
        <w:t>Calculated measures include:</w:t>
      </w:r>
    </w:p>
    <w:p>
      <w:pPr>
        <w:pStyle w:val="ListBullet"/>
      </w:pPr>
      <w:r>
        <w:t>All reported crashes per 100,000 residents</w:t>
      </w:r>
    </w:p>
    <w:p>
      <w:pPr>
        <w:pStyle w:val="ListBullet"/>
      </w:pPr>
      <w:r>
        <w:t>Injury crashes per 100,000 residents</w:t>
      </w:r>
    </w:p>
    <w:p>
      <w:pPr>
        <w:pStyle w:val="ListBullet"/>
      </w:pPr>
      <w:r>
        <w:t>Suspected-serious-injury and fatal-crash counts</w:t>
      </w:r>
    </w:p>
    <w:p>
      <w:pPr>
        <w:pStyle w:val="ListBullet"/>
      </w:pPr>
      <w:r>
        <w:t>Motor-carrier and commercial-vehicle crash counts and shares</w:t>
      </w:r>
    </w:p>
    <w:p>
      <w:pPr>
        <w:pStyle w:val="ListBullet"/>
      </w:pPr>
      <w:r>
        <w:t>Target-industry establishment and employee totals</w:t>
      </w:r>
    </w:p>
    <w:p>
      <w:pPr>
        <w:pStyle w:val="ListBullet"/>
      </w:pPr>
      <w:r>
        <w:t>A compact deployment bundle is generated for Streamlit Cloud. The bundle preserves</w:t>
      </w:r>
    </w:p>
    <w:p>
      <w:r>
        <w:t>the application-required records and fields while reducing deployment data from</w:t>
      </w:r>
    </w:p>
    <w:p>
      <w:r>
        <w:t>approximately 203 MB to less than 20 MB.</w:t>
      </w:r>
    </w:p>
    <w:p>
      <w:pPr>
        <w:pStyle w:val="ListBullet"/>
      </w:pPr>
      <w:r>
        <w:t>Local analysis files remain available for more detailed exploratory work in R or</w:t>
      </w:r>
    </w:p>
    <w:p>
      <w:r>
        <w:t>Python.</w:t>
      </w:r>
    </w:p>
    <w:p>
      <w:pPr>
        <w:pStyle w:val="Heading1"/>
      </w:pPr>
      <w:r>
        <w:t>Key Definitions</w:t>
      </w:r>
    </w:p>
    <w:p>
      <w:pPr>
        <w:pStyle w:val="ListBullet"/>
      </w:pPr>
      <w:r>
        <w:rPr>
          <w:b/>
        </w:rPr>
        <w:t>All Reported Crashes:</w:t>
      </w:r>
      <w:r>
        <w:t xml:space="preserve"> UDOT crash records across every reported severity,</w:t>
      </w:r>
    </w:p>
    <w:p>
      <w:r>
        <w:t>including property-damage-only events.</w:t>
      </w:r>
    </w:p>
    <w:p>
      <w:pPr>
        <w:pStyle w:val="ListBullet"/>
      </w:pPr>
      <w:r>
        <w:rPr>
          <w:b/>
        </w:rPr>
        <w:t>Injury Crash:</w:t>
      </w:r>
      <w:r>
        <w:t xml:space="preserve"> A UDOT record with a severity other than “No Injury/PDO.”</w:t>
      </w:r>
    </w:p>
    <w:p>
      <w:pPr>
        <w:pStyle w:val="ListBullet"/>
      </w:pPr>
      <w:r>
        <w:rPr>
          <w:b/>
        </w:rPr>
        <w:t>Fatal Crash:</w:t>
      </w:r>
      <w:r>
        <w:t xml:space="preserve"> A crash involving at least one traffic fatality.</w:t>
      </w:r>
    </w:p>
    <w:p>
      <w:pPr>
        <w:pStyle w:val="ListBullet"/>
      </w:pPr>
      <w:r>
        <w:rPr>
          <w:b/>
        </w:rPr>
        <w:t>Motor-Carrier-Involved Crash:</w:t>
      </w:r>
      <w:r>
        <w:t xml:space="preserve"> A UDOT record indicating motor-carrier</w:t>
      </w:r>
    </w:p>
    <w:p>
      <w:r>
        <w:t>involvement.</w:t>
      </w:r>
    </w:p>
    <w:p>
      <w:pPr>
        <w:pStyle w:val="ListBullet"/>
      </w:pPr>
      <w:r>
        <w:rPr>
          <w:b/>
        </w:rPr>
        <w:t>Commercial-Vehicle-Involved Crash:</w:t>
      </w:r>
      <w:r>
        <w:t xml:space="preserve"> A UDOT record indicating involvement of a</w:t>
      </w:r>
    </w:p>
    <w:p>
      <w:r>
        <w:t>commercial motor vehicle.</w:t>
      </w:r>
    </w:p>
    <w:p>
      <w:pPr>
        <w:pStyle w:val="ListBullet"/>
      </w:pPr>
      <w:r>
        <w:rPr>
          <w:b/>
        </w:rPr>
        <w:t>Highest Crash Rate:</w:t>
      </w:r>
      <w:r>
        <w:t xml:space="preserve"> The county with the highest selected-year crash count per</w:t>
      </w:r>
    </w:p>
    <w:p>
      <w:r>
        <w:t>100,000 residents, subject to the dashboard's displayed population threshold.</w:t>
      </w:r>
    </w:p>
    <w:p>
      <w:pPr>
        <w:pStyle w:val="ListBullet"/>
      </w:pPr>
      <w:r>
        <w:rPr>
          <w:b/>
        </w:rPr>
        <w:t>Target Businesses and Employees:</w:t>
      </w:r>
      <w:r>
        <w:t xml:space="preserve"> Census County Business Patterns totals for the</w:t>
      </w:r>
    </w:p>
    <w:p>
      <w:r>
        <w:t>four selected industries. These are market-size measures, not crash-involvement</w:t>
      </w:r>
    </w:p>
    <w:p>
      <w:r>
        <w:t>measures.</w:t>
      </w:r>
    </w:p>
    <w:p>
      <w:pPr>
        <w:pStyle w:val="Heading1"/>
      </w:pPr>
      <w:r>
        <w:t>Appropriate Use and Limitations</w:t>
      </w:r>
    </w:p>
    <w:p>
      <w:pPr>
        <w:pStyle w:val="ListBullet"/>
      </w:pPr>
      <w:r>
        <w:t>Use the application to identify geographic patterns, compare aggregate markets, and</w:t>
      </w:r>
    </w:p>
    <w:p>
      <w:r>
        <w:t>develop hypotheses for marketing strategy.</w:t>
      </w:r>
    </w:p>
    <w:p>
      <w:pPr>
        <w:pStyle w:val="ListBullet"/>
      </w:pPr>
      <w:r>
        <w:t>Do not interpret correlation between commercial employment and crash activity as</w:t>
      </w:r>
    </w:p>
    <w:p>
      <w:r>
        <w:t>proof that employees were working during specific crashes.</w:t>
      </w:r>
    </w:p>
    <w:p>
      <w:pPr>
        <w:pStyle w:val="ListBullet"/>
      </w:pPr>
      <w:r>
        <w:t>Do not use the application to identify or target individual crash victims.</w:t>
      </w:r>
    </w:p>
    <w:p>
      <w:pPr>
        <w:pStyle w:val="ListBullet"/>
      </w:pPr>
      <w:r>
        <w:t>Do not treat raw crash totals alone as measures of relative risk. Review population,</w:t>
      </w:r>
    </w:p>
    <w:p>
      <w:r>
        <w:t>severity, commercial involvement, and market-size measures together.</w:t>
      </w:r>
    </w:p>
    <w:p>
      <w:pPr>
        <w:pStyle w:val="ListBullet"/>
      </w:pPr>
      <w:r>
        <w:t>Validate major strategic decisions with additional information, including marketing</w:t>
      </w:r>
    </w:p>
    <w:p>
      <w:r>
        <w:t>costs, Elysium's existing client distribution, competitor presence, referral</w:t>
      </w:r>
    </w:p>
    <w:p>
      <w:r>
        <w:t>networks, and applicable legal or compliance requirements.</w:t>
      </w:r>
    </w:p>
    <w:p>
      <w:pPr>
        <w:pStyle w:val="ListBullet"/>
      </w:pPr>
      <w:r>
        <w:t>Recognize that state crash-reporting definitions and completeness can differ.</w:t>
      </w:r>
    </w:p>
    <w:p>
      <w:r>
        <w:t>Utah's all-crash data is substantially richer than the nationwide FARS-only view.</w:t>
      </w:r>
    </w:p>
    <w:p>
      <w:pPr>
        <w:pStyle w:val="Heading1"/>
      </w:pPr>
      <w:r>
        <w:t>Data Refresh Process</w:t>
      </w:r>
    </w:p>
    <w:p>
      <w:pPr>
        <w:pStyle w:val="ListBullet"/>
      </w:pPr>
      <w:r>
        <w:t>The complete local data pipeline is refreshed by running:</w:t>
      </w:r>
    </w:p>
    <w:p>
      <w:pPr>
        <w:spacing w:after="120"/>
        <w:ind w:left="360"/>
      </w:pPr>
      <w:r>
        <w:rPr>
          <w:rFonts w:ascii="Consolas" w:hAnsi="Consolas"/>
          <w:color w:val="213F57"/>
          <w:sz w:val="18"/>
        </w:rPr>
        <w:t xml:space="preserve">  python ingest.py</w:t>
      </w:r>
    </w:p>
    <w:p>
      <w:pPr>
        <w:pStyle w:val="ListBullet"/>
      </w:pPr>
      <w:r>
        <w:t>The compact Streamlit Cloud deployment bundle is rebuilt by running:</w:t>
      </w:r>
    </w:p>
    <w:p>
      <w:pPr>
        <w:spacing w:after="120"/>
        <w:ind w:left="360"/>
      </w:pPr>
      <w:r>
        <w:rPr>
          <w:rFonts w:ascii="Consolas" w:hAnsi="Consolas"/>
          <w:color w:val="213F57"/>
          <w:sz w:val="18"/>
        </w:rPr>
        <w:t xml:space="preserve">  python build_deployment_data.py</w:t>
      </w:r>
    </w:p>
    <w:p>
      <w:pPr>
        <w:pStyle w:val="ListBullet"/>
      </w:pPr>
      <w:r>
        <w:t>Refresh dates and source record counts are displayed within the application's</w:t>
      </w:r>
    </w:p>
    <w:p>
      <w:r>
        <w:rPr>
          <w:b/>
        </w:rPr>
        <w:t>Data sources and refresh status</w:t>
      </w:r>
      <w:r>
        <w:t xml:space="preserve"> section.</w:t>
      </w:r>
    </w:p>
    <w:p>
      <w:pPr>
        <w:pStyle w:val="Heading1"/>
      </w:pPr>
      <w:r>
        <w:t>Conclusion</w:t>
      </w:r>
    </w:p>
    <w:p>
      <w:r>
        <w:t>The application combines authoritative government crash, population, and business</w:t>
      </w:r>
    </w:p>
    <w:p>
      <w:r>
        <w:t>datasets into a transparent analytical foundation for market evaluation. The source</w:t>
      </w:r>
    </w:p>
    <w:p>
      <w:r>
        <w:t>data is strong for describing aggregate crash patterns and commercial-market size.</w:t>
      </w:r>
    </w:p>
    <w:p>
      <w:r>
        <w:t>Recommendations concerning where Elysium should market should be treated as strategic</w:t>
      </w:r>
    </w:p>
    <w:p>
      <w:r>
        <w:t>analysis informed by these measures, rather than as conclusions about individual</w:t>
      </w:r>
    </w:p>
    <w:p>
      <w:r>
        <w:t>crash circumstances or occupational involvement.</w:t>
      </w:r>
    </w:p>
    <w:p>
      <w:r>
        <w:t>Please direct questions regarding the application's data methodology or analytical</w:t>
      </w:r>
    </w:p>
    <w:p>
      <w:r>
        <w:t>definitions to:</w:t>
      </w:r>
    </w:p>
    <w:p>
      <w:r>
        <w:rPr>
          <w:b/>
          <w:color w:val="213F57"/>
        </w:rPr>
        <w:t>McCade Pearson</w:t>
      </w:r>
    </w:p>
    <w:p>
      <w:hyperlink r:id="rId15">
        <w:r>
          <w:rPr>
            <w:color w:val="168F8C"/>
            <w:u w:val="single"/>
          </w:rPr>
          <w:t>mccade.pearson@gmail.com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D8290"/>
        <w:sz w:val="16"/>
      </w:rPr>
      <w:t>Confidential business memorandum  |  McCade Pearson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D8290"/>
        <w:sz w:val="16"/>
      </w:rPr>
      <w:t>ELYSIUM WEALTH MANAGEMENT  |  DATA PROVENANCE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C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3F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3F5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13F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Aptos" w:hAnsi="Aptos"/>
      <w:color w:val="172C3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ervices.arcgis.com/pA2nEVnB6tquxgOW/arcgis/rest/services/Utah_Crash_Locations/FeatureServer" TargetMode="External"/><Relationship Id="rId12" Type="http://schemas.openxmlformats.org/officeDocument/2006/relationships/hyperlink" Target="https://www.nhtsa.gov/research-data/fatality-analysis-reporting-system-fars" TargetMode="External"/><Relationship Id="rId13" Type="http://schemas.openxmlformats.org/officeDocument/2006/relationships/hyperlink" Target="https://www.census.gov/programs-surveys/cbp.html" TargetMode="External"/><Relationship Id="rId14" Type="http://schemas.openxmlformats.org/officeDocument/2006/relationships/hyperlink" Target="https://www.census.gov/programs-surveys/popest.html" TargetMode="External"/><Relationship Id="rId15" Type="http://schemas.openxmlformats.org/officeDocument/2006/relationships/hyperlink" Target="mailto:mccade.pears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