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867"/>
        <w:gridCol w:w="934"/>
        <w:gridCol w:w="1021"/>
        <w:gridCol w:w="934"/>
        <w:gridCol w:w="1021"/>
      </w:tblGrid>
      <w:tr w:rsidR="00B73001" w:rsidRPr="005C00B6" w14:paraId="13E2E2F9" w14:textId="77777777" w:rsidTr="00B73001">
        <w:tc>
          <w:tcPr>
            <w:tcW w:w="0" w:type="auto"/>
            <w:vAlign w:val="center"/>
            <w:hideMark/>
          </w:tcPr>
          <w:p w14:paraId="30FBA39E"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40C0A284"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OLS</w:t>
            </w:r>
          </w:p>
        </w:tc>
        <w:tc>
          <w:tcPr>
            <w:tcW w:w="0" w:type="auto"/>
            <w:vAlign w:val="center"/>
            <w:hideMark/>
          </w:tcPr>
          <w:p w14:paraId="753D1535"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xml:space="preserve">OLS with </w:t>
            </w:r>
          </w:p>
          <w:p w14:paraId="39276BAF" w14:textId="639C10CB"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Urbanicity</w:t>
            </w:r>
          </w:p>
        </w:tc>
        <w:tc>
          <w:tcPr>
            <w:tcW w:w="0" w:type="auto"/>
            <w:vAlign w:val="center"/>
            <w:hideMark/>
          </w:tcPr>
          <w:p w14:paraId="385AE839"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MLM</w:t>
            </w:r>
          </w:p>
        </w:tc>
        <w:tc>
          <w:tcPr>
            <w:tcW w:w="0" w:type="auto"/>
            <w:vAlign w:val="center"/>
            <w:hideMark/>
          </w:tcPr>
          <w:p w14:paraId="5D442C44"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xml:space="preserve">MLM with </w:t>
            </w:r>
          </w:p>
          <w:p w14:paraId="128BAFC5" w14:textId="43638DD0"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Urbanicity</w:t>
            </w:r>
          </w:p>
        </w:tc>
      </w:tr>
      <w:tr w:rsidR="00B73001" w:rsidRPr="005C00B6" w14:paraId="05B79105" w14:textId="77777777" w:rsidTr="00B73001">
        <w:tc>
          <w:tcPr>
            <w:tcW w:w="0" w:type="auto"/>
            <w:vAlign w:val="center"/>
            <w:hideMark/>
          </w:tcPr>
          <w:p w14:paraId="022A2C19"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26EA730E"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Estimate</w:t>
            </w:r>
          </w:p>
        </w:tc>
        <w:tc>
          <w:tcPr>
            <w:tcW w:w="0" w:type="auto"/>
            <w:vAlign w:val="center"/>
            <w:hideMark/>
          </w:tcPr>
          <w:p w14:paraId="0B4CADDE"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Estimate</w:t>
            </w:r>
          </w:p>
        </w:tc>
        <w:tc>
          <w:tcPr>
            <w:tcW w:w="0" w:type="auto"/>
            <w:vAlign w:val="center"/>
            <w:hideMark/>
          </w:tcPr>
          <w:p w14:paraId="17B6D699"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Estimate</w:t>
            </w:r>
          </w:p>
        </w:tc>
        <w:tc>
          <w:tcPr>
            <w:tcW w:w="0" w:type="auto"/>
            <w:vAlign w:val="center"/>
            <w:hideMark/>
          </w:tcPr>
          <w:p w14:paraId="5C5360DB"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Estimate</w:t>
            </w:r>
          </w:p>
        </w:tc>
      </w:tr>
      <w:tr w:rsidR="00B73001" w:rsidRPr="005C00B6" w14:paraId="1F1A9089" w14:textId="77777777" w:rsidTr="00B73001">
        <w:tc>
          <w:tcPr>
            <w:tcW w:w="0" w:type="auto"/>
            <w:tcBorders>
              <w:bottom w:val="single" w:sz="6" w:space="0" w:color="000000"/>
            </w:tcBorders>
            <w:vAlign w:val="center"/>
            <w:hideMark/>
          </w:tcPr>
          <w:p w14:paraId="6E433006"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w:t>
            </w:r>
          </w:p>
        </w:tc>
        <w:tc>
          <w:tcPr>
            <w:tcW w:w="0" w:type="auto"/>
            <w:tcBorders>
              <w:bottom w:val="single" w:sz="6" w:space="0" w:color="000000"/>
            </w:tcBorders>
            <w:vAlign w:val="center"/>
            <w:hideMark/>
          </w:tcPr>
          <w:p w14:paraId="229653C3"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(S.E.)</w:t>
            </w:r>
          </w:p>
        </w:tc>
        <w:tc>
          <w:tcPr>
            <w:tcW w:w="0" w:type="auto"/>
            <w:tcBorders>
              <w:bottom w:val="single" w:sz="6" w:space="0" w:color="000000"/>
            </w:tcBorders>
            <w:vAlign w:val="center"/>
            <w:hideMark/>
          </w:tcPr>
          <w:p w14:paraId="7C1823CC"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(S.E.)</w:t>
            </w:r>
          </w:p>
        </w:tc>
        <w:tc>
          <w:tcPr>
            <w:tcW w:w="0" w:type="auto"/>
            <w:tcBorders>
              <w:bottom w:val="single" w:sz="6" w:space="0" w:color="000000"/>
            </w:tcBorders>
            <w:vAlign w:val="center"/>
            <w:hideMark/>
          </w:tcPr>
          <w:p w14:paraId="45223FA5"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(S.E.)</w:t>
            </w:r>
          </w:p>
        </w:tc>
        <w:tc>
          <w:tcPr>
            <w:tcW w:w="0" w:type="auto"/>
            <w:tcBorders>
              <w:bottom w:val="single" w:sz="6" w:space="0" w:color="000000"/>
            </w:tcBorders>
            <w:vAlign w:val="center"/>
            <w:hideMark/>
          </w:tcPr>
          <w:p w14:paraId="4DF08491"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(S.E.)</w:t>
            </w:r>
          </w:p>
        </w:tc>
      </w:tr>
      <w:tr w:rsidR="00B73001" w:rsidRPr="005C00B6" w14:paraId="5295EDAA" w14:textId="77777777" w:rsidTr="00B73001">
        <w:tc>
          <w:tcPr>
            <w:tcW w:w="0" w:type="auto"/>
            <w:vAlign w:val="center"/>
            <w:hideMark/>
          </w:tcPr>
          <w:p w14:paraId="592793C9" w14:textId="18C7D33D"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Intercept</w:t>
            </w:r>
          </w:p>
        </w:tc>
        <w:tc>
          <w:tcPr>
            <w:tcW w:w="0" w:type="auto"/>
            <w:vAlign w:val="center"/>
            <w:hideMark/>
          </w:tcPr>
          <w:p w14:paraId="5E5D72D0"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0.020</w:t>
            </w:r>
          </w:p>
        </w:tc>
        <w:tc>
          <w:tcPr>
            <w:tcW w:w="0" w:type="auto"/>
            <w:vAlign w:val="center"/>
            <w:hideMark/>
          </w:tcPr>
          <w:p w14:paraId="420A8BE0"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0.048</w:t>
            </w:r>
          </w:p>
        </w:tc>
        <w:tc>
          <w:tcPr>
            <w:tcW w:w="0" w:type="auto"/>
            <w:vAlign w:val="center"/>
            <w:hideMark/>
          </w:tcPr>
          <w:p w14:paraId="29A4E2F3"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-0.144</w:t>
            </w:r>
          </w:p>
        </w:tc>
        <w:tc>
          <w:tcPr>
            <w:tcW w:w="0" w:type="auto"/>
            <w:vAlign w:val="center"/>
            <w:hideMark/>
          </w:tcPr>
          <w:p w14:paraId="35A33E33"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-0.082</w:t>
            </w:r>
          </w:p>
        </w:tc>
      </w:tr>
      <w:tr w:rsidR="00B73001" w:rsidRPr="005C00B6" w14:paraId="210432D7" w14:textId="77777777" w:rsidTr="00B73001">
        <w:tc>
          <w:tcPr>
            <w:tcW w:w="0" w:type="auto"/>
            <w:vAlign w:val="center"/>
            <w:hideMark/>
          </w:tcPr>
          <w:p w14:paraId="5CCB6301"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01A20BD0"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(0.433)</w:t>
            </w:r>
          </w:p>
        </w:tc>
        <w:tc>
          <w:tcPr>
            <w:tcW w:w="0" w:type="auto"/>
            <w:vAlign w:val="center"/>
            <w:hideMark/>
          </w:tcPr>
          <w:p w14:paraId="40ABD400"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(0.476)</w:t>
            </w:r>
          </w:p>
        </w:tc>
        <w:tc>
          <w:tcPr>
            <w:tcW w:w="0" w:type="auto"/>
            <w:vAlign w:val="center"/>
            <w:hideMark/>
          </w:tcPr>
          <w:p w14:paraId="1AF0C8A3"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(0.426)</w:t>
            </w:r>
          </w:p>
        </w:tc>
        <w:tc>
          <w:tcPr>
            <w:tcW w:w="0" w:type="auto"/>
            <w:vAlign w:val="center"/>
            <w:hideMark/>
          </w:tcPr>
          <w:p w14:paraId="224DE2D8"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(0.460)</w:t>
            </w:r>
          </w:p>
        </w:tc>
      </w:tr>
      <w:tr w:rsidR="00B73001" w:rsidRPr="005C00B6" w14:paraId="3121E0F6" w14:textId="77777777" w:rsidTr="00B73001">
        <w:tc>
          <w:tcPr>
            <w:tcW w:w="0" w:type="auto"/>
            <w:vAlign w:val="center"/>
            <w:hideMark/>
          </w:tcPr>
          <w:p w14:paraId="391F28B0" w14:textId="52C6232D"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D Index</w:t>
            </w:r>
          </w:p>
        </w:tc>
        <w:tc>
          <w:tcPr>
            <w:tcW w:w="0" w:type="auto"/>
            <w:vAlign w:val="center"/>
            <w:hideMark/>
          </w:tcPr>
          <w:p w14:paraId="7B68C5D2"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0.862**</w:t>
            </w:r>
          </w:p>
        </w:tc>
        <w:tc>
          <w:tcPr>
            <w:tcW w:w="0" w:type="auto"/>
            <w:vAlign w:val="center"/>
            <w:hideMark/>
          </w:tcPr>
          <w:p w14:paraId="7D79F9FA"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0.959**</w:t>
            </w:r>
          </w:p>
        </w:tc>
        <w:tc>
          <w:tcPr>
            <w:tcW w:w="0" w:type="auto"/>
            <w:vAlign w:val="center"/>
            <w:hideMark/>
          </w:tcPr>
          <w:p w14:paraId="4B77F337"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0.758*</w:t>
            </w:r>
          </w:p>
        </w:tc>
        <w:tc>
          <w:tcPr>
            <w:tcW w:w="0" w:type="auto"/>
            <w:vAlign w:val="center"/>
            <w:hideMark/>
          </w:tcPr>
          <w:p w14:paraId="53BA6783"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0.783*</w:t>
            </w:r>
          </w:p>
        </w:tc>
      </w:tr>
      <w:tr w:rsidR="00B73001" w:rsidRPr="005C00B6" w14:paraId="499CDD74" w14:textId="77777777" w:rsidTr="00B73001">
        <w:tc>
          <w:tcPr>
            <w:tcW w:w="0" w:type="auto"/>
            <w:vAlign w:val="center"/>
            <w:hideMark/>
          </w:tcPr>
          <w:p w14:paraId="7BC00512"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108F7D3A"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(0.281)</w:t>
            </w:r>
          </w:p>
        </w:tc>
        <w:tc>
          <w:tcPr>
            <w:tcW w:w="0" w:type="auto"/>
            <w:vAlign w:val="center"/>
            <w:hideMark/>
          </w:tcPr>
          <w:p w14:paraId="6BC3CCF2"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(0.301)</w:t>
            </w:r>
          </w:p>
        </w:tc>
        <w:tc>
          <w:tcPr>
            <w:tcW w:w="0" w:type="auto"/>
            <w:vAlign w:val="center"/>
            <w:hideMark/>
          </w:tcPr>
          <w:p w14:paraId="519A4691"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(0.315)</w:t>
            </w:r>
          </w:p>
        </w:tc>
        <w:tc>
          <w:tcPr>
            <w:tcW w:w="0" w:type="auto"/>
            <w:vAlign w:val="center"/>
            <w:hideMark/>
          </w:tcPr>
          <w:p w14:paraId="2691FCD2"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(0.343)</w:t>
            </w:r>
          </w:p>
        </w:tc>
      </w:tr>
      <w:tr w:rsidR="00B73001" w:rsidRPr="005C00B6" w14:paraId="1E5031F9" w14:textId="77777777" w:rsidTr="00B73001">
        <w:tc>
          <w:tcPr>
            <w:tcW w:w="0" w:type="auto"/>
            <w:vAlign w:val="center"/>
            <w:hideMark/>
          </w:tcPr>
          <w:p w14:paraId="21E88AD4" w14:textId="33D7431D"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Percent FRPL</w:t>
            </w:r>
          </w:p>
        </w:tc>
        <w:tc>
          <w:tcPr>
            <w:tcW w:w="0" w:type="auto"/>
            <w:vAlign w:val="center"/>
            <w:hideMark/>
          </w:tcPr>
          <w:p w14:paraId="712298C4"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-0.489</w:t>
            </w:r>
          </w:p>
        </w:tc>
        <w:tc>
          <w:tcPr>
            <w:tcW w:w="0" w:type="auto"/>
            <w:vAlign w:val="center"/>
            <w:hideMark/>
          </w:tcPr>
          <w:p w14:paraId="574B886B"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-0.534</w:t>
            </w:r>
          </w:p>
        </w:tc>
        <w:tc>
          <w:tcPr>
            <w:tcW w:w="0" w:type="auto"/>
            <w:vAlign w:val="center"/>
            <w:hideMark/>
          </w:tcPr>
          <w:p w14:paraId="07BD5C66"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-0.343</w:t>
            </w:r>
          </w:p>
        </w:tc>
        <w:tc>
          <w:tcPr>
            <w:tcW w:w="0" w:type="auto"/>
            <w:vAlign w:val="center"/>
            <w:hideMark/>
          </w:tcPr>
          <w:p w14:paraId="068E5B46"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-0.374</w:t>
            </w:r>
          </w:p>
        </w:tc>
      </w:tr>
      <w:tr w:rsidR="00B73001" w:rsidRPr="005C00B6" w14:paraId="5896FCF4" w14:textId="77777777" w:rsidTr="00B73001">
        <w:tc>
          <w:tcPr>
            <w:tcW w:w="0" w:type="auto"/>
            <w:vAlign w:val="center"/>
            <w:hideMark/>
          </w:tcPr>
          <w:p w14:paraId="0599D103"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78F4125D"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(0.350)</w:t>
            </w:r>
          </w:p>
        </w:tc>
        <w:tc>
          <w:tcPr>
            <w:tcW w:w="0" w:type="auto"/>
            <w:vAlign w:val="center"/>
            <w:hideMark/>
          </w:tcPr>
          <w:p w14:paraId="4671756B"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(0.359)</w:t>
            </w:r>
          </w:p>
        </w:tc>
        <w:tc>
          <w:tcPr>
            <w:tcW w:w="0" w:type="auto"/>
            <w:vAlign w:val="center"/>
            <w:hideMark/>
          </w:tcPr>
          <w:p w14:paraId="09B258A0"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(0.355)</w:t>
            </w:r>
          </w:p>
        </w:tc>
        <w:tc>
          <w:tcPr>
            <w:tcW w:w="0" w:type="auto"/>
            <w:vAlign w:val="center"/>
            <w:hideMark/>
          </w:tcPr>
          <w:p w14:paraId="19FEA1EF"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(0.364)</w:t>
            </w:r>
          </w:p>
        </w:tc>
      </w:tr>
      <w:tr w:rsidR="00B73001" w:rsidRPr="005C00B6" w14:paraId="29F10FAE" w14:textId="77777777" w:rsidTr="00B73001">
        <w:tc>
          <w:tcPr>
            <w:tcW w:w="0" w:type="auto"/>
            <w:vAlign w:val="center"/>
            <w:hideMark/>
          </w:tcPr>
          <w:p w14:paraId="33730026" w14:textId="55AF0648"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Log-Enrollment</w:t>
            </w:r>
          </w:p>
        </w:tc>
        <w:tc>
          <w:tcPr>
            <w:tcW w:w="0" w:type="auto"/>
            <w:vAlign w:val="center"/>
            <w:hideMark/>
          </w:tcPr>
          <w:p w14:paraId="5DD96DAC"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0.238***</w:t>
            </w:r>
          </w:p>
        </w:tc>
        <w:tc>
          <w:tcPr>
            <w:tcW w:w="0" w:type="auto"/>
            <w:vAlign w:val="center"/>
            <w:hideMark/>
          </w:tcPr>
          <w:p w14:paraId="79513E57"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0.228***</w:t>
            </w:r>
          </w:p>
        </w:tc>
        <w:tc>
          <w:tcPr>
            <w:tcW w:w="0" w:type="auto"/>
            <w:vAlign w:val="center"/>
            <w:hideMark/>
          </w:tcPr>
          <w:p w14:paraId="3CD18E29"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0.254***</w:t>
            </w:r>
          </w:p>
        </w:tc>
        <w:tc>
          <w:tcPr>
            <w:tcW w:w="0" w:type="auto"/>
            <w:vAlign w:val="center"/>
            <w:hideMark/>
          </w:tcPr>
          <w:p w14:paraId="4E478CCA"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0.244***</w:t>
            </w:r>
          </w:p>
        </w:tc>
      </w:tr>
      <w:tr w:rsidR="00B73001" w:rsidRPr="005C00B6" w14:paraId="4237CAFB" w14:textId="77777777" w:rsidTr="00B73001">
        <w:tc>
          <w:tcPr>
            <w:tcW w:w="0" w:type="auto"/>
            <w:vAlign w:val="center"/>
            <w:hideMark/>
          </w:tcPr>
          <w:p w14:paraId="1FF34813"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5320CDC7"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(0.046)</w:t>
            </w:r>
          </w:p>
        </w:tc>
        <w:tc>
          <w:tcPr>
            <w:tcW w:w="0" w:type="auto"/>
            <w:vAlign w:val="center"/>
            <w:hideMark/>
          </w:tcPr>
          <w:p w14:paraId="2C833312"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(0.055)</w:t>
            </w:r>
          </w:p>
        </w:tc>
        <w:tc>
          <w:tcPr>
            <w:tcW w:w="0" w:type="auto"/>
            <w:vAlign w:val="center"/>
            <w:hideMark/>
          </w:tcPr>
          <w:p w14:paraId="404B02F8"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(0.046)</w:t>
            </w:r>
          </w:p>
        </w:tc>
        <w:tc>
          <w:tcPr>
            <w:tcW w:w="0" w:type="auto"/>
            <w:vAlign w:val="center"/>
            <w:hideMark/>
          </w:tcPr>
          <w:p w14:paraId="18BDBE3C"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(0.053)</w:t>
            </w:r>
          </w:p>
        </w:tc>
      </w:tr>
      <w:tr w:rsidR="00B73001" w:rsidRPr="005C00B6" w14:paraId="59DC36B4" w14:textId="77777777" w:rsidTr="00B73001">
        <w:tc>
          <w:tcPr>
            <w:tcW w:w="0" w:type="auto"/>
            <w:vAlign w:val="center"/>
            <w:hideMark/>
          </w:tcPr>
          <w:p w14:paraId="7172C816" w14:textId="6D6A6E95"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Urban</w:t>
            </w:r>
          </w:p>
        </w:tc>
        <w:tc>
          <w:tcPr>
            <w:tcW w:w="0" w:type="auto"/>
            <w:vAlign w:val="center"/>
            <w:hideMark/>
          </w:tcPr>
          <w:p w14:paraId="5B72EA14" w14:textId="20F1EF91"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628AE54B"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-0.003</w:t>
            </w:r>
          </w:p>
        </w:tc>
        <w:tc>
          <w:tcPr>
            <w:tcW w:w="0" w:type="auto"/>
            <w:vAlign w:val="center"/>
            <w:hideMark/>
          </w:tcPr>
          <w:p w14:paraId="058B5AE5" w14:textId="5271E5F8"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4E2AC534"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0.032</w:t>
            </w:r>
          </w:p>
        </w:tc>
      </w:tr>
      <w:tr w:rsidR="00B73001" w:rsidRPr="005C00B6" w14:paraId="12C999ED" w14:textId="77777777" w:rsidTr="00B73001">
        <w:tc>
          <w:tcPr>
            <w:tcW w:w="0" w:type="auto"/>
            <w:vAlign w:val="center"/>
            <w:hideMark/>
          </w:tcPr>
          <w:p w14:paraId="702B76EC"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4E7E2C47" w14:textId="77777777" w:rsidR="00B73001" w:rsidRPr="005C00B6" w:rsidRDefault="00B73001" w:rsidP="00B73001">
            <w:pPr>
              <w:spacing w:line="240" w:lineRule="auto"/>
              <w:rPr>
                <w:rFonts w:asciiTheme="majorHAnsi" w:eastAsia="Times New Roman" w:hAnsiTheme="majorHAnsi" w:cstheme="majorHAnsi"/>
                <w:sz w:val="20"/>
                <w:szCs w:val="20"/>
              </w:rPr>
            </w:pPr>
          </w:p>
        </w:tc>
        <w:tc>
          <w:tcPr>
            <w:tcW w:w="0" w:type="auto"/>
            <w:vAlign w:val="center"/>
            <w:hideMark/>
          </w:tcPr>
          <w:p w14:paraId="59757309"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(0.157)</w:t>
            </w:r>
          </w:p>
        </w:tc>
        <w:tc>
          <w:tcPr>
            <w:tcW w:w="0" w:type="auto"/>
            <w:vAlign w:val="center"/>
            <w:hideMark/>
          </w:tcPr>
          <w:p w14:paraId="09CB18E8"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4F8740B1"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(0.154)</w:t>
            </w:r>
          </w:p>
        </w:tc>
      </w:tr>
      <w:tr w:rsidR="00B73001" w:rsidRPr="005C00B6" w14:paraId="4E9A9EF1" w14:textId="77777777" w:rsidTr="00B73001">
        <w:tc>
          <w:tcPr>
            <w:tcW w:w="0" w:type="auto"/>
            <w:vAlign w:val="center"/>
            <w:hideMark/>
          </w:tcPr>
          <w:p w14:paraId="5B22C17C" w14:textId="7B951274"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Mostly Rural</w:t>
            </w:r>
          </w:p>
        </w:tc>
        <w:tc>
          <w:tcPr>
            <w:tcW w:w="0" w:type="auto"/>
            <w:vAlign w:val="center"/>
            <w:hideMark/>
          </w:tcPr>
          <w:p w14:paraId="5F658836" w14:textId="7C80583A"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55277B79"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0.083</w:t>
            </w:r>
          </w:p>
        </w:tc>
        <w:tc>
          <w:tcPr>
            <w:tcW w:w="0" w:type="auto"/>
            <w:vAlign w:val="center"/>
            <w:hideMark/>
          </w:tcPr>
          <w:p w14:paraId="66B8B476" w14:textId="62C59F01"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56EFF519"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0.043</w:t>
            </w:r>
          </w:p>
        </w:tc>
        <w:bookmarkStart w:id="0" w:name="_GoBack"/>
        <w:bookmarkEnd w:id="0"/>
      </w:tr>
      <w:tr w:rsidR="00B73001" w:rsidRPr="005C00B6" w14:paraId="362E01D0" w14:textId="77777777" w:rsidTr="00B73001">
        <w:tc>
          <w:tcPr>
            <w:tcW w:w="0" w:type="auto"/>
            <w:vAlign w:val="center"/>
            <w:hideMark/>
          </w:tcPr>
          <w:p w14:paraId="1CD05BBE"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005C59D9" w14:textId="77777777" w:rsidR="00B73001" w:rsidRPr="005C00B6" w:rsidRDefault="00B73001" w:rsidP="00B73001">
            <w:pPr>
              <w:spacing w:line="240" w:lineRule="auto"/>
              <w:rPr>
                <w:rFonts w:asciiTheme="majorHAnsi" w:eastAsia="Times New Roman" w:hAnsiTheme="majorHAnsi" w:cstheme="majorHAnsi"/>
                <w:sz w:val="20"/>
                <w:szCs w:val="20"/>
              </w:rPr>
            </w:pPr>
          </w:p>
        </w:tc>
        <w:tc>
          <w:tcPr>
            <w:tcW w:w="0" w:type="auto"/>
            <w:vAlign w:val="center"/>
            <w:hideMark/>
          </w:tcPr>
          <w:p w14:paraId="71EF9ACB"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(0.141)</w:t>
            </w:r>
          </w:p>
        </w:tc>
        <w:tc>
          <w:tcPr>
            <w:tcW w:w="0" w:type="auto"/>
            <w:vAlign w:val="center"/>
            <w:hideMark/>
          </w:tcPr>
          <w:p w14:paraId="10124A19"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28B1559C"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(0.134)</w:t>
            </w:r>
          </w:p>
        </w:tc>
      </w:tr>
      <w:tr w:rsidR="00B73001" w:rsidRPr="005C00B6" w14:paraId="32EFB310" w14:textId="77777777" w:rsidTr="00B73001">
        <w:tc>
          <w:tcPr>
            <w:tcW w:w="0" w:type="auto"/>
            <w:vAlign w:val="center"/>
            <w:hideMark/>
          </w:tcPr>
          <w:p w14:paraId="1E084E9F"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N</w:t>
            </w:r>
          </w:p>
        </w:tc>
        <w:tc>
          <w:tcPr>
            <w:tcW w:w="0" w:type="auto"/>
            <w:vAlign w:val="center"/>
            <w:hideMark/>
          </w:tcPr>
          <w:p w14:paraId="3FBCFD3B"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119</w:t>
            </w:r>
          </w:p>
        </w:tc>
        <w:tc>
          <w:tcPr>
            <w:tcW w:w="0" w:type="auto"/>
            <w:vAlign w:val="center"/>
            <w:hideMark/>
          </w:tcPr>
          <w:p w14:paraId="504BA79C"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118</w:t>
            </w:r>
          </w:p>
        </w:tc>
        <w:tc>
          <w:tcPr>
            <w:tcW w:w="0" w:type="auto"/>
            <w:vAlign w:val="center"/>
            <w:hideMark/>
          </w:tcPr>
          <w:p w14:paraId="0169EA16"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119</w:t>
            </w:r>
          </w:p>
        </w:tc>
        <w:tc>
          <w:tcPr>
            <w:tcW w:w="0" w:type="auto"/>
            <w:vAlign w:val="center"/>
            <w:hideMark/>
          </w:tcPr>
          <w:p w14:paraId="5745FC5F"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118</w:t>
            </w:r>
          </w:p>
        </w:tc>
      </w:tr>
      <w:tr w:rsidR="00B73001" w:rsidRPr="005C00B6" w14:paraId="66166229" w14:textId="77777777" w:rsidTr="00B73001">
        <w:tc>
          <w:tcPr>
            <w:tcW w:w="0" w:type="auto"/>
            <w:vAlign w:val="center"/>
            <w:hideMark/>
          </w:tcPr>
          <w:p w14:paraId="30B536FE"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RMSE</w:t>
            </w:r>
          </w:p>
        </w:tc>
        <w:tc>
          <w:tcPr>
            <w:tcW w:w="0" w:type="auto"/>
            <w:vAlign w:val="center"/>
            <w:hideMark/>
          </w:tcPr>
          <w:p w14:paraId="330B815F"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0.496</w:t>
            </w:r>
          </w:p>
        </w:tc>
        <w:tc>
          <w:tcPr>
            <w:tcW w:w="0" w:type="auto"/>
            <w:vAlign w:val="center"/>
            <w:hideMark/>
          </w:tcPr>
          <w:p w14:paraId="5B6EDDD8"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0.500</w:t>
            </w:r>
          </w:p>
        </w:tc>
        <w:tc>
          <w:tcPr>
            <w:tcW w:w="0" w:type="auto"/>
            <w:vAlign w:val="center"/>
            <w:hideMark/>
          </w:tcPr>
          <w:p w14:paraId="47419A7C"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0.465</w:t>
            </w:r>
          </w:p>
        </w:tc>
        <w:tc>
          <w:tcPr>
            <w:tcW w:w="0" w:type="auto"/>
            <w:vAlign w:val="center"/>
            <w:hideMark/>
          </w:tcPr>
          <w:p w14:paraId="3AD059EB"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0.471</w:t>
            </w:r>
          </w:p>
        </w:tc>
      </w:tr>
      <w:tr w:rsidR="00B73001" w:rsidRPr="005C00B6" w14:paraId="02BC5B2F" w14:textId="77777777" w:rsidTr="00B73001">
        <w:tc>
          <w:tcPr>
            <w:tcW w:w="0" w:type="auto"/>
            <w:vAlign w:val="center"/>
            <w:hideMark/>
          </w:tcPr>
          <w:p w14:paraId="03C0BE47"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R</w:t>
            </w:r>
            <w:r w:rsidRPr="005C00B6">
              <w:rPr>
                <w:rFonts w:asciiTheme="majorHAnsi" w:eastAsia="Times New Roman" w:hAnsiTheme="majorHAnsi" w:cstheme="majorHAnsi"/>
                <w:sz w:val="24"/>
                <w:szCs w:val="24"/>
                <w:vertAlign w:val="superscript"/>
              </w:rPr>
              <w:t>2</w:t>
            </w:r>
          </w:p>
        </w:tc>
        <w:tc>
          <w:tcPr>
            <w:tcW w:w="0" w:type="auto"/>
            <w:vAlign w:val="center"/>
            <w:hideMark/>
          </w:tcPr>
          <w:p w14:paraId="1450552E"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0.386</w:t>
            </w:r>
          </w:p>
        </w:tc>
        <w:tc>
          <w:tcPr>
            <w:tcW w:w="0" w:type="auto"/>
            <w:vAlign w:val="center"/>
            <w:hideMark/>
          </w:tcPr>
          <w:p w14:paraId="68E07FB4"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0.387</w:t>
            </w:r>
          </w:p>
        </w:tc>
        <w:tc>
          <w:tcPr>
            <w:tcW w:w="0" w:type="auto"/>
            <w:vAlign w:val="center"/>
            <w:hideMark/>
          </w:tcPr>
          <w:p w14:paraId="07900CDD"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3C4A200D" w14:textId="77777777" w:rsidR="00B73001" w:rsidRPr="005C00B6" w:rsidRDefault="00B73001" w:rsidP="00B73001">
            <w:pPr>
              <w:spacing w:line="240" w:lineRule="auto"/>
              <w:rPr>
                <w:rFonts w:asciiTheme="majorHAnsi" w:eastAsia="Times New Roman" w:hAnsiTheme="majorHAnsi" w:cstheme="majorHAnsi"/>
                <w:sz w:val="20"/>
                <w:szCs w:val="20"/>
              </w:rPr>
            </w:pPr>
          </w:p>
        </w:tc>
      </w:tr>
      <w:tr w:rsidR="00B73001" w:rsidRPr="005C00B6" w14:paraId="073B169E" w14:textId="77777777" w:rsidTr="00B73001">
        <w:tc>
          <w:tcPr>
            <w:tcW w:w="0" w:type="auto"/>
            <w:vAlign w:val="center"/>
            <w:hideMark/>
          </w:tcPr>
          <w:p w14:paraId="0F02BFFE"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adj R</w:t>
            </w:r>
            <w:r w:rsidRPr="005C00B6">
              <w:rPr>
                <w:rFonts w:asciiTheme="majorHAnsi" w:eastAsia="Times New Roman" w:hAnsiTheme="majorHAnsi" w:cstheme="majorHAnsi"/>
                <w:sz w:val="24"/>
                <w:szCs w:val="24"/>
                <w:vertAlign w:val="superscript"/>
              </w:rPr>
              <w:t>2</w:t>
            </w:r>
          </w:p>
        </w:tc>
        <w:tc>
          <w:tcPr>
            <w:tcW w:w="0" w:type="auto"/>
            <w:vAlign w:val="center"/>
            <w:hideMark/>
          </w:tcPr>
          <w:p w14:paraId="778C234D"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0.370</w:t>
            </w:r>
          </w:p>
        </w:tc>
        <w:tc>
          <w:tcPr>
            <w:tcW w:w="0" w:type="auto"/>
            <w:vAlign w:val="center"/>
            <w:hideMark/>
          </w:tcPr>
          <w:p w14:paraId="5633425F"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0.360</w:t>
            </w:r>
          </w:p>
        </w:tc>
        <w:tc>
          <w:tcPr>
            <w:tcW w:w="0" w:type="auto"/>
            <w:vAlign w:val="center"/>
            <w:hideMark/>
          </w:tcPr>
          <w:p w14:paraId="07862B07"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412D7054" w14:textId="77777777" w:rsidR="00B73001" w:rsidRPr="005C00B6" w:rsidRDefault="00B73001" w:rsidP="00B73001">
            <w:pPr>
              <w:spacing w:line="240" w:lineRule="auto"/>
              <w:rPr>
                <w:rFonts w:asciiTheme="majorHAnsi" w:eastAsia="Times New Roman" w:hAnsiTheme="majorHAnsi" w:cstheme="majorHAnsi"/>
                <w:sz w:val="20"/>
                <w:szCs w:val="20"/>
              </w:rPr>
            </w:pPr>
          </w:p>
        </w:tc>
      </w:tr>
      <w:tr w:rsidR="00B73001" w:rsidRPr="005C00B6" w14:paraId="5CDD5B13" w14:textId="77777777" w:rsidTr="00B73001">
        <w:tc>
          <w:tcPr>
            <w:tcW w:w="0" w:type="auto"/>
            <w:vAlign w:val="center"/>
            <w:hideMark/>
          </w:tcPr>
          <w:p w14:paraId="00DF658C"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Random Effects (σ)</w:t>
            </w:r>
          </w:p>
        </w:tc>
        <w:tc>
          <w:tcPr>
            <w:tcW w:w="0" w:type="auto"/>
            <w:vAlign w:val="center"/>
            <w:hideMark/>
          </w:tcPr>
          <w:p w14:paraId="15475D8A" w14:textId="77777777" w:rsidR="00B73001" w:rsidRPr="005C00B6" w:rsidRDefault="00B73001" w:rsidP="00B73001">
            <w:pPr>
              <w:spacing w:line="240" w:lineRule="auto"/>
              <w:rPr>
                <w:rFonts w:asciiTheme="majorHAnsi" w:eastAsia="Times New Roman" w:hAnsiTheme="majorHAnsi" w:cstheme="majorHAnsi"/>
                <w:sz w:val="20"/>
                <w:szCs w:val="20"/>
              </w:rPr>
            </w:pPr>
          </w:p>
        </w:tc>
        <w:tc>
          <w:tcPr>
            <w:tcW w:w="0" w:type="auto"/>
            <w:vAlign w:val="center"/>
            <w:hideMark/>
          </w:tcPr>
          <w:p w14:paraId="6DDC3B04" w14:textId="77777777" w:rsidR="00B73001" w:rsidRPr="005C00B6" w:rsidRDefault="00B73001" w:rsidP="00B73001">
            <w:pPr>
              <w:spacing w:line="240" w:lineRule="auto"/>
              <w:rPr>
                <w:rFonts w:asciiTheme="majorHAnsi" w:eastAsia="Times New Roman" w:hAnsiTheme="majorHAnsi" w:cstheme="majorHAnsi"/>
                <w:sz w:val="20"/>
                <w:szCs w:val="20"/>
              </w:rPr>
            </w:pPr>
          </w:p>
        </w:tc>
        <w:tc>
          <w:tcPr>
            <w:tcW w:w="0" w:type="auto"/>
            <w:vAlign w:val="center"/>
            <w:hideMark/>
          </w:tcPr>
          <w:p w14:paraId="34D10386" w14:textId="77777777" w:rsidR="00B73001" w:rsidRPr="005C00B6" w:rsidRDefault="00B73001" w:rsidP="00B73001">
            <w:pPr>
              <w:spacing w:line="240" w:lineRule="auto"/>
              <w:rPr>
                <w:rFonts w:asciiTheme="majorHAnsi" w:eastAsia="Times New Roman" w:hAnsiTheme="majorHAnsi" w:cstheme="majorHAnsi"/>
                <w:sz w:val="20"/>
                <w:szCs w:val="20"/>
              </w:rPr>
            </w:pPr>
          </w:p>
        </w:tc>
        <w:tc>
          <w:tcPr>
            <w:tcW w:w="0" w:type="auto"/>
            <w:vAlign w:val="center"/>
            <w:hideMark/>
          </w:tcPr>
          <w:p w14:paraId="5180FFAC" w14:textId="77777777" w:rsidR="00B73001" w:rsidRPr="005C00B6" w:rsidRDefault="00B73001" w:rsidP="00B73001">
            <w:pPr>
              <w:spacing w:line="240" w:lineRule="auto"/>
              <w:rPr>
                <w:rFonts w:asciiTheme="majorHAnsi" w:eastAsia="Times New Roman" w:hAnsiTheme="majorHAnsi" w:cstheme="majorHAnsi"/>
                <w:sz w:val="20"/>
                <w:szCs w:val="20"/>
              </w:rPr>
            </w:pPr>
          </w:p>
        </w:tc>
      </w:tr>
      <w:tr w:rsidR="00B73001" w:rsidRPr="005C00B6" w14:paraId="0CADA867" w14:textId="77777777" w:rsidTr="00B73001">
        <w:tc>
          <w:tcPr>
            <w:tcW w:w="0" w:type="auto"/>
            <w:vAlign w:val="center"/>
            <w:hideMark/>
          </w:tcPr>
          <w:p w14:paraId="32FBCFD4"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Residual</w:t>
            </w:r>
          </w:p>
        </w:tc>
        <w:tc>
          <w:tcPr>
            <w:tcW w:w="0" w:type="auto"/>
            <w:vAlign w:val="center"/>
            <w:hideMark/>
          </w:tcPr>
          <w:p w14:paraId="0160CF63"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7A00B47F" w14:textId="77777777" w:rsidR="00B73001" w:rsidRPr="005C00B6" w:rsidRDefault="00B73001" w:rsidP="00B73001">
            <w:pPr>
              <w:spacing w:line="240" w:lineRule="auto"/>
              <w:rPr>
                <w:rFonts w:asciiTheme="majorHAnsi" w:eastAsia="Times New Roman" w:hAnsiTheme="majorHAnsi" w:cstheme="majorHAnsi"/>
                <w:sz w:val="20"/>
                <w:szCs w:val="20"/>
              </w:rPr>
            </w:pPr>
          </w:p>
        </w:tc>
        <w:tc>
          <w:tcPr>
            <w:tcW w:w="0" w:type="auto"/>
            <w:vAlign w:val="center"/>
            <w:hideMark/>
          </w:tcPr>
          <w:p w14:paraId="08195A70"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0.465</w:t>
            </w:r>
          </w:p>
        </w:tc>
        <w:tc>
          <w:tcPr>
            <w:tcW w:w="0" w:type="auto"/>
            <w:vAlign w:val="center"/>
            <w:hideMark/>
          </w:tcPr>
          <w:p w14:paraId="4FAF21B9"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0.471</w:t>
            </w:r>
          </w:p>
        </w:tc>
      </w:tr>
      <w:tr w:rsidR="00B73001" w:rsidRPr="005C00B6" w14:paraId="1BFC6C06" w14:textId="77777777" w:rsidTr="00B73001">
        <w:tc>
          <w:tcPr>
            <w:tcW w:w="0" w:type="auto"/>
            <w:vAlign w:val="center"/>
            <w:hideMark/>
          </w:tcPr>
          <w:p w14:paraId="7D2223FF" w14:textId="15B021F9"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Division</w:t>
            </w:r>
          </w:p>
        </w:tc>
        <w:tc>
          <w:tcPr>
            <w:tcW w:w="0" w:type="auto"/>
            <w:vAlign w:val="center"/>
            <w:hideMark/>
          </w:tcPr>
          <w:p w14:paraId="21CBF0C3" w14:textId="77777777" w:rsidR="00B73001" w:rsidRPr="005C00B6" w:rsidRDefault="00B73001" w:rsidP="00B73001">
            <w:pPr>
              <w:spacing w:line="240" w:lineRule="auto"/>
              <w:rPr>
                <w:rFonts w:asciiTheme="majorHAnsi" w:eastAsia="Times New Roman" w:hAnsiTheme="majorHAnsi" w:cstheme="majorHAnsi"/>
                <w:sz w:val="24"/>
                <w:szCs w:val="24"/>
              </w:rPr>
            </w:pPr>
          </w:p>
        </w:tc>
        <w:tc>
          <w:tcPr>
            <w:tcW w:w="0" w:type="auto"/>
            <w:vAlign w:val="center"/>
            <w:hideMark/>
          </w:tcPr>
          <w:p w14:paraId="27E03DE3" w14:textId="77777777" w:rsidR="00B73001" w:rsidRPr="005C00B6" w:rsidRDefault="00B73001" w:rsidP="00B73001">
            <w:pPr>
              <w:spacing w:line="240" w:lineRule="auto"/>
              <w:rPr>
                <w:rFonts w:asciiTheme="majorHAnsi" w:eastAsia="Times New Roman" w:hAnsiTheme="majorHAnsi" w:cstheme="majorHAnsi"/>
                <w:sz w:val="20"/>
                <w:szCs w:val="20"/>
              </w:rPr>
            </w:pPr>
          </w:p>
        </w:tc>
        <w:tc>
          <w:tcPr>
            <w:tcW w:w="0" w:type="auto"/>
            <w:vAlign w:val="center"/>
            <w:hideMark/>
          </w:tcPr>
          <w:p w14:paraId="60B2E728"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0.183</w:t>
            </w:r>
          </w:p>
        </w:tc>
        <w:tc>
          <w:tcPr>
            <w:tcW w:w="0" w:type="auto"/>
            <w:vAlign w:val="center"/>
            <w:hideMark/>
          </w:tcPr>
          <w:p w14:paraId="4A5AE47D"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0.181</w:t>
            </w:r>
          </w:p>
        </w:tc>
      </w:tr>
      <w:tr w:rsidR="00B73001" w:rsidRPr="005C00B6" w14:paraId="5FA4BE14" w14:textId="77777777" w:rsidTr="00B73001">
        <w:trPr>
          <w:trHeight w:val="75"/>
        </w:trPr>
        <w:tc>
          <w:tcPr>
            <w:tcW w:w="0" w:type="auto"/>
            <w:gridSpan w:val="5"/>
            <w:tcBorders>
              <w:bottom w:val="double" w:sz="2" w:space="0" w:color="000000"/>
            </w:tcBorders>
            <w:vAlign w:val="center"/>
            <w:hideMark/>
          </w:tcPr>
          <w:p w14:paraId="3DC8E923"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w:t>
            </w:r>
          </w:p>
        </w:tc>
      </w:tr>
      <w:tr w:rsidR="00B73001" w:rsidRPr="005C00B6" w14:paraId="44FE1C9A" w14:textId="77777777" w:rsidTr="00B73001">
        <w:tc>
          <w:tcPr>
            <w:tcW w:w="0" w:type="auto"/>
            <w:gridSpan w:val="5"/>
            <w:vAlign w:val="center"/>
            <w:hideMark/>
          </w:tcPr>
          <w:p w14:paraId="4E1CE15A" w14:textId="77777777" w:rsidR="00B73001" w:rsidRPr="005C00B6" w:rsidRDefault="00B73001" w:rsidP="00B73001">
            <w:pPr>
              <w:spacing w:line="240" w:lineRule="auto"/>
              <w:rPr>
                <w:rFonts w:asciiTheme="majorHAnsi" w:eastAsia="Times New Roman" w:hAnsiTheme="majorHAnsi" w:cstheme="majorHAnsi"/>
                <w:sz w:val="24"/>
                <w:szCs w:val="24"/>
              </w:rPr>
            </w:pPr>
            <w:r w:rsidRPr="005C00B6">
              <w:rPr>
                <w:rFonts w:asciiTheme="majorHAnsi" w:eastAsia="Times New Roman" w:hAnsiTheme="majorHAnsi" w:cstheme="majorHAnsi"/>
                <w:sz w:val="24"/>
                <w:szCs w:val="24"/>
              </w:rPr>
              <w:t>* p ≤0.05** p ≤0.01*** p ≤0.001</w:t>
            </w:r>
          </w:p>
        </w:tc>
      </w:tr>
    </w:tbl>
    <w:p w14:paraId="323A69C2" w14:textId="54E30CA8" w:rsidR="00C41104" w:rsidRDefault="00C41104"/>
    <w:p w14:paraId="2569675E" w14:textId="77777777" w:rsidR="00C41104" w:rsidRDefault="00C41104">
      <w:r>
        <w:br w:type="page"/>
      </w:r>
    </w:p>
    <w:p w14:paraId="79B3F0B4" w14:textId="77777777" w:rsidR="00C41104" w:rsidRDefault="00C41104" w:rsidP="00C41104">
      <w:r w:rsidRPr="00C41104">
        <w:lastRenderedPageBreak/>
        <w:t xml:space="preserve">We developed a metric with 11 core content area courses, defined as courses tested on the state exams. The numerator was the total number of levels offered of all 11 courses in a given district and the denominator was the number of </w:t>
      </w:r>
      <w:proofErr w:type="gramStart"/>
      <w:r w:rsidRPr="00C41104">
        <w:t>courses,  yielding</w:t>
      </w:r>
      <w:proofErr w:type="gramEnd"/>
      <w:r w:rsidRPr="00C41104">
        <w:t xml:space="preserve"> an average for that district of levels offered per course. The average for this metric was 1.94 levels per course, with an SD of 0.51. </w:t>
      </w:r>
    </w:p>
    <w:p w14:paraId="5ED9F52B" w14:textId="77777777" w:rsidR="00C41104" w:rsidRDefault="00C41104" w:rsidP="00C41104">
      <w:r w:rsidRPr="00C41104">
        <w:t xml:space="preserve">The least-leveled district was Northumberland County, with 0.91 levels per course and the most-leveled was Fairfax County, with 3.82 levels per course on average. We ran a regression of an urbanicity factor, percent free/reduced price lunch, the diversity index of the school district (see Kelly &amp; Price, 2011), and the natural logarithm of total enrollment as an offset variable on this metric of levels per course. Differences in urbanicity were not significant; however, a percent increase in free and </w:t>
      </w:r>
      <w:proofErr w:type="gramStart"/>
      <w:r w:rsidRPr="00C41104">
        <w:t>reduced price</w:t>
      </w:r>
      <w:proofErr w:type="gramEnd"/>
      <w:r w:rsidRPr="00C41104">
        <w:t xml:space="preserve"> lunch predicted a smaller number of levels available (-0.006 levels, p = .049). T</w:t>
      </w:r>
    </w:p>
    <w:p w14:paraId="013E8340" w14:textId="77777777" w:rsidR="00C41104" w:rsidRDefault="00C41104" w:rsidP="00C41104"/>
    <w:p w14:paraId="7AA0F015" w14:textId="6A9F6DA7" w:rsidR="00C41104" w:rsidRPr="00C41104" w:rsidRDefault="00C41104" w:rsidP="00C41104">
      <w:r w:rsidRPr="00C41104">
        <w:t xml:space="preserve">he diversity of a school also significantly predicted the number of levels-per-course in that district, p = .003 with more diverse schools offering more levels of courses. The strongest predictor of the number of levels is total enrollment, p &lt; .000, with higher-enrollment districts offering many more levels than lower-enrollment districts. </w:t>
      </w:r>
    </w:p>
    <w:p w14:paraId="0B2761D3" w14:textId="77777777" w:rsidR="00C41104" w:rsidRPr="00C41104" w:rsidRDefault="00C41104" w:rsidP="00C41104">
      <w:r w:rsidRPr="00C41104">
        <w:t xml:space="preserve">The difference between the highest poverty district and lowest poverty district is 0.74 levels per course on average. Similar findings hold when predicting percent of students earning an advanced studies diploma: when controlling for urbanicity and district population, more diverse districts have a higher proportion of students graduating with advanced diplomas (p = 0.003), and districts with higher proportions of students with free and </w:t>
      </w:r>
      <w:proofErr w:type="gramStart"/>
      <w:r w:rsidRPr="00C41104">
        <w:t>reduced price</w:t>
      </w:r>
      <w:proofErr w:type="gramEnd"/>
      <w:r w:rsidRPr="00C41104">
        <w:t xml:space="preserve"> lunch have a slightly lower proportion of students earning advanced diplomas (p &lt; .000).</w:t>
      </w:r>
    </w:p>
    <w:p w14:paraId="673E1CC8" w14:textId="77777777" w:rsidR="00EB60C1" w:rsidRDefault="005C00B6"/>
    <w:sectPr w:rsidR="00EB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1"/>
    <w:rsid w:val="005330F7"/>
    <w:rsid w:val="005C00B6"/>
    <w:rsid w:val="00B73001"/>
    <w:rsid w:val="00C41104"/>
    <w:rsid w:val="00D84D15"/>
    <w:rsid w:val="00DE7F95"/>
    <w:rsid w:val="00E54681"/>
    <w:rsid w:val="00ED18BC"/>
    <w:rsid w:val="00F2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D8E1"/>
  <w15:chartTrackingRefBased/>
  <w15:docId w15:val="{65E4A674-6F80-4CC8-83C0-84BBED10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aleway" w:eastAsiaTheme="minorHAnsi" w:hAnsi="Raleway"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667371">
      <w:bodyDiv w:val="1"/>
      <w:marLeft w:val="0"/>
      <w:marRight w:val="0"/>
      <w:marTop w:val="0"/>
      <w:marBottom w:val="0"/>
      <w:divBdr>
        <w:top w:val="none" w:sz="0" w:space="0" w:color="auto"/>
        <w:left w:val="none" w:sz="0" w:space="0" w:color="auto"/>
        <w:bottom w:val="none" w:sz="0" w:space="0" w:color="auto"/>
        <w:right w:val="none" w:sz="0" w:space="0" w:color="auto"/>
      </w:divBdr>
    </w:div>
    <w:div w:id="16614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3</cp:revision>
  <dcterms:created xsi:type="dcterms:W3CDTF">2018-10-05T14:50:00Z</dcterms:created>
  <dcterms:modified xsi:type="dcterms:W3CDTF">2018-10-05T15:36:00Z</dcterms:modified>
</cp:coreProperties>
</file>