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C66FF" w14:textId="77777777" w:rsidR="00254271" w:rsidRDefault="00254271" w:rsidP="00254271">
      <w:pPr>
        <w:pStyle w:val="BodyText"/>
        <w:spacing w:after="240"/>
        <w:ind w:firstLine="0"/>
        <w:jc w:val="center"/>
        <w:rPr>
          <w:szCs w:val="28"/>
        </w:rPr>
      </w:pPr>
      <w:bookmarkStart w:id="0" w:name="_Hlk27312521"/>
      <w:bookmarkEnd w:id="0"/>
      <w:r>
        <w:rPr>
          <w:szCs w:val="28"/>
        </w:rPr>
        <w:t>МИНИСТЕРСТВО ОБРАЗОВАНИЯ РЕСПУБЛИКИ БЕЛАРУСЬ</w:t>
      </w:r>
      <w:r>
        <w:rPr>
          <w:szCs w:val="28"/>
        </w:rPr>
        <w:br/>
        <w:t xml:space="preserve">Учреждение образования «БЕЛОРУССКИЙ ГОСУДАРСТВЕННЫЙ </w:t>
      </w:r>
      <w:r>
        <w:rPr>
          <w:szCs w:val="28"/>
        </w:rPr>
        <w:br/>
        <w:t>ТЕХНОЛОГИЧЕСКИЙ УНИВЕРСИТЕТ»</w:t>
      </w:r>
    </w:p>
    <w:p w14:paraId="7F38315B" w14:textId="77777777" w:rsidR="00254271" w:rsidRDefault="00254271" w:rsidP="00254271">
      <w:pPr>
        <w:pStyle w:val="BodyText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  <w:u w:val="single"/>
        </w:rPr>
      </w:pPr>
      <w:r>
        <w:rPr>
          <w:szCs w:val="28"/>
        </w:rPr>
        <w:t>Факультет</w:t>
      </w:r>
      <w:r>
        <w:rPr>
          <w:spacing w:val="13"/>
          <w:szCs w:val="28"/>
        </w:rPr>
        <w:t xml:space="preserve"> </w:t>
      </w:r>
      <w:r>
        <w:rPr>
          <w:szCs w:val="28"/>
          <w:u w:val="single"/>
        </w:rPr>
        <w:tab/>
        <w:t>Информационных</w:t>
      </w:r>
      <w:r>
        <w:rPr>
          <w:spacing w:val="-1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29CA5F67" w14:textId="77777777" w:rsidR="00254271" w:rsidRDefault="00254271" w:rsidP="00254271">
      <w:pPr>
        <w:pStyle w:val="BodyText"/>
        <w:tabs>
          <w:tab w:val="left" w:pos="2160"/>
          <w:tab w:val="left" w:pos="10035"/>
        </w:tabs>
        <w:spacing w:after="0"/>
        <w:ind w:firstLine="0"/>
        <w:jc w:val="left"/>
        <w:rPr>
          <w:szCs w:val="28"/>
        </w:rPr>
      </w:pPr>
      <w:r>
        <w:rPr>
          <w:szCs w:val="28"/>
        </w:rPr>
        <w:t xml:space="preserve">Кафедра </w:t>
      </w:r>
      <w:r>
        <w:rPr>
          <w:szCs w:val="28"/>
          <w:u w:val="single"/>
        </w:rPr>
        <w:tab/>
        <w:t>Информационных систем</w:t>
      </w:r>
      <w:r>
        <w:rPr>
          <w:spacing w:val="-11"/>
          <w:szCs w:val="28"/>
          <w:u w:val="single"/>
        </w:rPr>
        <w:t xml:space="preserve"> </w:t>
      </w:r>
      <w:r>
        <w:rPr>
          <w:szCs w:val="28"/>
          <w:u w:val="single"/>
        </w:rPr>
        <w:t>и</w:t>
      </w:r>
      <w:r>
        <w:rPr>
          <w:spacing w:val="-5"/>
          <w:szCs w:val="28"/>
          <w:u w:val="single"/>
        </w:rPr>
        <w:t xml:space="preserve"> </w:t>
      </w:r>
      <w:r>
        <w:rPr>
          <w:szCs w:val="28"/>
          <w:u w:val="single"/>
        </w:rPr>
        <w:t>технологий</w:t>
      </w:r>
    </w:p>
    <w:p w14:paraId="53BAC942" w14:textId="77777777" w:rsidR="00254271" w:rsidRDefault="00254271" w:rsidP="00254271">
      <w:pPr>
        <w:pStyle w:val="BodyText"/>
        <w:tabs>
          <w:tab w:val="left" w:pos="2160"/>
          <w:tab w:val="left" w:pos="10035"/>
        </w:tabs>
        <w:ind w:firstLine="0"/>
        <w:jc w:val="left"/>
        <w:rPr>
          <w:szCs w:val="28"/>
        </w:rPr>
      </w:pPr>
      <w:r>
        <w:rPr>
          <w:szCs w:val="28"/>
        </w:rPr>
        <w:t xml:space="preserve">Специальность </w:t>
      </w:r>
      <w:r>
        <w:rPr>
          <w:szCs w:val="28"/>
          <w:u w:val="single"/>
        </w:rPr>
        <w:t xml:space="preserve">1-98 01 03 «Программное обеспечение информационной безопасности мобильных систем» </w:t>
      </w:r>
    </w:p>
    <w:p w14:paraId="3FC7D6D2" w14:textId="45D537EE" w:rsidR="00254271" w:rsidRPr="00254271" w:rsidRDefault="00254271" w:rsidP="00254271">
      <w:pPr>
        <w:pStyle w:val="BodyText"/>
        <w:spacing w:before="600" w:after="600"/>
        <w:ind w:firstLine="0"/>
        <w:jc w:val="center"/>
        <w:rPr>
          <w:b/>
          <w:szCs w:val="28"/>
        </w:rPr>
      </w:pPr>
      <w:r>
        <w:rPr>
          <w:b/>
          <w:szCs w:val="28"/>
        </w:rPr>
        <w:t>ОТЧЕТ</w:t>
      </w:r>
      <w:r w:rsidR="0070573F">
        <w:rPr>
          <w:b/>
          <w:szCs w:val="28"/>
        </w:rPr>
        <w:t xml:space="preserve"> К ПРАКТИЧЕСКИМ ЗАДАНИЯМ</w:t>
      </w:r>
      <w:r>
        <w:rPr>
          <w:b/>
          <w:szCs w:val="28"/>
        </w:rPr>
        <w:t xml:space="preserve"> </w:t>
      </w:r>
    </w:p>
    <w:p w14:paraId="70891B11" w14:textId="1B0EF621" w:rsidR="00254271" w:rsidRDefault="00254271" w:rsidP="00254271">
      <w:pPr>
        <w:pStyle w:val="BodyText"/>
        <w:tabs>
          <w:tab w:val="left" w:pos="2160"/>
          <w:tab w:val="left" w:pos="10035"/>
        </w:tabs>
        <w:spacing w:after="0"/>
        <w:ind w:firstLine="0"/>
        <w:rPr>
          <w:szCs w:val="28"/>
          <w:u w:val="single"/>
        </w:rPr>
      </w:pPr>
      <w:r>
        <w:rPr>
          <w:szCs w:val="28"/>
        </w:rPr>
        <w:t>по</w:t>
      </w:r>
      <w:r>
        <w:rPr>
          <w:spacing w:val="-4"/>
          <w:szCs w:val="28"/>
        </w:rPr>
        <w:t xml:space="preserve"> </w:t>
      </w:r>
      <w:r>
        <w:rPr>
          <w:szCs w:val="28"/>
        </w:rPr>
        <w:t>дисциплине «</w:t>
      </w:r>
      <w:r>
        <w:rPr>
          <w:szCs w:val="28"/>
        </w:rPr>
        <w:t>Основы информационной безопастности</w:t>
      </w:r>
      <w:r>
        <w:rPr>
          <w:szCs w:val="28"/>
        </w:rPr>
        <w:t>»</w:t>
      </w:r>
    </w:p>
    <w:p w14:paraId="56E040C7" w14:textId="0436E5A6" w:rsidR="00254271" w:rsidRDefault="00254271" w:rsidP="00254271">
      <w:pPr>
        <w:pStyle w:val="BodyText"/>
        <w:tabs>
          <w:tab w:val="left" w:pos="2160"/>
          <w:tab w:val="left" w:pos="10035"/>
        </w:tabs>
        <w:spacing w:after="1560"/>
        <w:ind w:firstLine="0"/>
        <w:rPr>
          <w:szCs w:val="28"/>
        </w:rPr>
      </w:pPr>
      <w:r>
        <w:rPr>
          <w:szCs w:val="28"/>
        </w:rPr>
        <w:t>Тема</w:t>
      </w:r>
      <w:r>
        <w:rPr>
          <w:szCs w:val="28"/>
          <w:u w:val="single"/>
        </w:rPr>
        <w:t xml:space="preserve"> </w:t>
      </w:r>
      <w:r>
        <w:rPr>
          <w:szCs w:val="28"/>
        </w:rPr>
        <w:t>«</w:t>
      </w:r>
      <w:r w:rsidRPr="00254271">
        <w:rPr>
          <w:szCs w:val="28"/>
        </w:rPr>
        <w:t>Решение задачи разработки средств защиты для обеспечения максимальной эффективности объекта в условиях несанкционированного доступа</w:t>
      </w:r>
      <w:r>
        <w:rPr>
          <w:szCs w:val="28"/>
        </w:rPr>
        <w:t>»</w:t>
      </w:r>
    </w:p>
    <w:p w14:paraId="4914BB7D" w14:textId="3B4AC809" w:rsidR="00254271" w:rsidRPr="00254271" w:rsidRDefault="00254271" w:rsidP="00254271">
      <w:pPr>
        <w:pStyle w:val="BodyText"/>
        <w:tabs>
          <w:tab w:val="left" w:pos="2160"/>
          <w:tab w:val="left" w:pos="10035"/>
        </w:tabs>
        <w:spacing w:after="1560"/>
        <w:ind w:firstLine="0"/>
        <w:jc w:val="center"/>
        <w:rPr>
          <w:b/>
          <w:sz w:val="36"/>
          <w:szCs w:val="36"/>
        </w:rPr>
      </w:pPr>
      <w:r>
        <w:rPr>
          <w:szCs w:val="28"/>
        </w:rPr>
        <w:t xml:space="preserve"> </w:t>
      </w:r>
      <w:r w:rsidRPr="00254271">
        <w:rPr>
          <w:b/>
          <w:sz w:val="36"/>
          <w:szCs w:val="36"/>
        </w:rPr>
        <w:t>Вариант 22</w:t>
      </w:r>
    </w:p>
    <w:p w14:paraId="7421F7D1" w14:textId="77777777" w:rsidR="00254271" w:rsidRDefault="00254271" w:rsidP="00254271">
      <w:pPr>
        <w:widowControl w:val="0"/>
        <w:tabs>
          <w:tab w:val="left" w:pos="2160"/>
          <w:tab w:val="left" w:pos="4320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Исполнитель</w:t>
      </w:r>
    </w:p>
    <w:p w14:paraId="562D11D9" w14:textId="74BB4A31" w:rsidR="00254271" w:rsidRDefault="00254271" w:rsidP="0025427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курса 7</w:t>
      </w:r>
      <w:r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группы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  _______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                 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>_Д.П.</w:t>
      </w:r>
      <w:r>
        <w:rPr>
          <w:rFonts w:ascii="Times New Roman" w:eastAsia="Times New Roman" w:hAnsi="Times New Roman" w:cs="Times New Roman"/>
          <w:spacing w:val="-4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Нечай-Ницевич </w:t>
      </w:r>
    </w:p>
    <w:p w14:paraId="1A1294AA" w14:textId="77777777" w:rsidR="00254271" w:rsidRDefault="00254271" w:rsidP="0025427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60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подпись, дата</w:t>
      </w:r>
    </w:p>
    <w:p w14:paraId="55DE07A3" w14:textId="77777777" w:rsidR="00254271" w:rsidRDefault="00254271" w:rsidP="00254271">
      <w:pPr>
        <w:widowControl w:val="0"/>
        <w:tabs>
          <w:tab w:val="left" w:pos="2160"/>
          <w:tab w:val="left" w:pos="4320"/>
          <w:tab w:val="left" w:pos="4352"/>
          <w:tab w:val="left" w:pos="7200"/>
          <w:tab w:val="left" w:pos="9900"/>
        </w:tabs>
        <w:snapToGrid w:val="0"/>
        <w:spacing w:after="12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Руководитель</w:t>
      </w:r>
    </w:p>
    <w:p w14:paraId="41D7D5CD" w14:textId="1ED0E58F" w:rsidR="00254271" w:rsidRDefault="00254271" w:rsidP="00254271">
      <w:pPr>
        <w:widowControl w:val="0"/>
        <w:tabs>
          <w:tab w:val="left" w:pos="567"/>
        </w:tabs>
        <w:snapToGri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ассистент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______________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Ржеу</w:t>
      </w:r>
      <w:r w:rsidR="00C86353">
        <w:rPr>
          <w:rFonts w:ascii="Times New Roman" w:eastAsia="Times New Roman" w:hAnsi="Times New Roman" w:cs="Times New Roman"/>
          <w:sz w:val="28"/>
          <w:szCs w:val="28"/>
          <w:lang w:eastAsia="ru-RU"/>
        </w:rPr>
        <w:t>тс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кая</w:t>
      </w:r>
    </w:p>
    <w:p w14:paraId="1031EE4B" w14:textId="77777777" w:rsidR="00254271" w:rsidRDefault="00254271" w:rsidP="00254271">
      <w:pPr>
        <w:tabs>
          <w:tab w:val="center" w:pos="567"/>
        </w:tabs>
        <w:spacing w:after="108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должность, ученая степень, ученое звание</w:t>
      </w:r>
      <w:r>
        <w:rPr>
          <w:rFonts w:ascii="Times New Roman" w:hAnsi="Times New Roman" w:cs="Times New Roman"/>
          <w:sz w:val="20"/>
          <w:szCs w:val="20"/>
        </w:rPr>
        <w:tab/>
        <w:t xml:space="preserve">         подпись, дата</w:t>
      </w:r>
    </w:p>
    <w:p w14:paraId="48D1CC0C" w14:textId="77777777" w:rsidR="00254271" w:rsidRDefault="00254271" w:rsidP="00254271">
      <w:pPr>
        <w:widowControl w:val="0"/>
        <w:tabs>
          <w:tab w:val="left" w:pos="7249"/>
        </w:tabs>
        <w:snapToGrid w:val="0"/>
        <w:spacing w:after="24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1ABE2DF1" w14:textId="3EE8D6D7" w:rsidR="00B74938" w:rsidRDefault="00254271">
      <w:r>
        <w:tab/>
      </w:r>
      <w:r>
        <w:tab/>
      </w:r>
      <w:r>
        <w:tab/>
      </w:r>
    </w:p>
    <w:p w14:paraId="0586BA38" w14:textId="1CA2AE18" w:rsidR="00254271" w:rsidRDefault="00254271"/>
    <w:p w14:paraId="27FD8797" w14:textId="44478086" w:rsidR="00254271" w:rsidRDefault="00254271"/>
    <w:p w14:paraId="061A7843" w14:textId="4084652D" w:rsidR="00254271" w:rsidRPr="00254271" w:rsidRDefault="00254271">
      <w:pPr>
        <w:rPr>
          <w:rFonts w:ascii="Times New Roman" w:hAnsi="Times New Roman" w:cs="Times New Roman"/>
          <w:sz w:val="28"/>
          <w:szCs w:val="28"/>
        </w:rPr>
      </w:pPr>
    </w:p>
    <w:p w14:paraId="322A4A16" w14:textId="0FD66ED2" w:rsidR="00254271" w:rsidRDefault="00254271" w:rsidP="0025427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54271">
        <w:rPr>
          <w:rFonts w:ascii="Times New Roman" w:hAnsi="Times New Roman" w:cs="Times New Roman"/>
          <w:b/>
          <w:sz w:val="28"/>
          <w:szCs w:val="28"/>
        </w:rPr>
        <w:lastRenderedPageBreak/>
        <w:t>Практическая работа №</w:t>
      </w:r>
      <w:r w:rsidRPr="00254271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14:paraId="30661974" w14:textId="0E6927C3" w:rsidR="00254271" w:rsidRDefault="00254271" w:rsidP="00254271">
      <w:pPr>
        <w:jc w:val="center"/>
        <w:rPr>
          <w:rFonts w:ascii="Times New Roman" w:hAnsi="Times New Roman" w:cs="Times New Roman"/>
          <w:sz w:val="28"/>
          <w:szCs w:val="28"/>
        </w:rPr>
      </w:pPr>
      <w:r w:rsidRPr="00254271">
        <w:rPr>
          <w:rFonts w:ascii="Times New Roman" w:hAnsi="Times New Roman" w:cs="Times New Roman"/>
          <w:sz w:val="28"/>
          <w:szCs w:val="28"/>
        </w:rPr>
        <w:t>Тема «Решение задачи разработки средств защиты для обеспечения максимальной эффективности объекта в условиях несанкционированного доступа»</w:t>
      </w:r>
    </w:p>
    <w:p w14:paraId="7327271F" w14:textId="71513012" w:rsidR="00254271" w:rsidRDefault="00254271" w:rsidP="00254271">
      <w:pPr>
        <w:rPr>
          <w:rFonts w:ascii="Times New Roman" w:hAnsi="Times New Roman" w:cs="Times New Roman"/>
          <w:sz w:val="28"/>
          <w:szCs w:val="28"/>
        </w:rPr>
      </w:pPr>
      <w:r w:rsidRPr="00254271">
        <w:rPr>
          <w:rFonts w:ascii="Times New Roman" w:hAnsi="Times New Roman" w:cs="Times New Roman"/>
          <w:sz w:val="28"/>
          <w:szCs w:val="28"/>
        </w:rPr>
        <w:t>Цель: научиться решать задачи разработки средств защиты для обеспечения максимальной эффективности объекта в условиях несанкционированного доступа.</w:t>
      </w:r>
    </w:p>
    <w:p w14:paraId="52AE15A1" w14:textId="6FF5384B" w:rsidR="00254271" w:rsidRDefault="00254271" w:rsidP="0025427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54271">
        <w:rPr>
          <w:rFonts w:ascii="Times New Roman" w:hAnsi="Times New Roman" w:cs="Times New Roman"/>
          <w:b/>
          <w:sz w:val="28"/>
          <w:szCs w:val="28"/>
        </w:rPr>
        <w:t>Краткие теоритические сведения</w:t>
      </w:r>
    </w:p>
    <w:p w14:paraId="2D7D7F1F" w14:textId="77777777" w:rsidR="0051575A" w:rsidRDefault="0051575A" w:rsidP="0025427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54772" w14:textId="77777777" w:rsidR="0051575A" w:rsidRDefault="0051575A" w:rsidP="0051575A">
      <w:pPr>
        <w:shd w:val="clear" w:color="auto" w:fill="FFFFFF"/>
        <w:ind w:firstLine="709"/>
        <w:jc w:val="both"/>
        <w:outlineLvl w:val="1"/>
        <w:rPr>
          <w:bCs/>
          <w:snapToGrid w:val="0"/>
          <w:color w:val="000000" w:themeColor="text1"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bookmarkStart w:id="1" w:name="_Toc4055478"/>
      <w:r>
        <w:rPr>
          <w:bCs/>
          <w:snapToGrid w:val="0"/>
          <w:color w:val="000000" w:themeColor="text1"/>
          <w:sz w:val="28"/>
          <w:szCs w:val="28"/>
          <w:lang w:eastAsia="be-BY"/>
        </w:rPr>
        <w:t>Все методы защиты информации по характеру проводимых действий можно разделить на:</w:t>
      </w:r>
      <w:bookmarkEnd w:id="1"/>
    </w:p>
    <w:p w14:paraId="7C42B468" w14:textId="77777777" w:rsidR="0051575A" w:rsidRDefault="0051575A" w:rsidP="00515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2" w:name="_Toc4055479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законодательные (правовые)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2"/>
    </w:p>
    <w:p w14:paraId="260FEB60" w14:textId="77777777" w:rsidR="0051575A" w:rsidRDefault="0051575A" w:rsidP="00515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3" w:name="_Toc4055480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организационные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3"/>
    </w:p>
    <w:p w14:paraId="4BC58370" w14:textId="77777777" w:rsidR="0051575A" w:rsidRDefault="0051575A" w:rsidP="00515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4" w:name="_Toc4055481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технические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;</w:t>
      </w:r>
      <w:bookmarkEnd w:id="4"/>
    </w:p>
    <w:p w14:paraId="7350370D" w14:textId="77777777" w:rsidR="0051575A" w:rsidRDefault="0051575A" w:rsidP="0051575A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outlineLvl w:val="1"/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</w:pPr>
      <w:bookmarkStart w:id="5" w:name="_Toc4055482"/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ru-RU" w:eastAsia="be-BY"/>
        </w:rPr>
        <w:t>комплексные</w:t>
      </w:r>
      <w:r>
        <w:rPr>
          <w:rFonts w:ascii="Times New Roman" w:eastAsia="Times New Roman" w:hAnsi="Times New Roman" w:cs="Times New Roman"/>
          <w:bCs/>
          <w:snapToGrid w:val="0"/>
          <w:color w:val="000000" w:themeColor="text1"/>
          <w:sz w:val="28"/>
          <w:szCs w:val="28"/>
          <w:lang w:val="en-US" w:eastAsia="be-BY"/>
        </w:rPr>
        <w:t>.</w:t>
      </w:r>
      <w:bookmarkEnd w:id="5"/>
    </w:p>
    <w:p w14:paraId="675CE5FB" w14:textId="77777777" w:rsidR="0051575A" w:rsidRDefault="0051575A" w:rsidP="0051575A">
      <w:pPr>
        <w:ind w:firstLine="709"/>
        <w:jc w:val="both"/>
        <w:rPr>
          <w:rFonts w:ascii="Times New Roman" w:eastAsia="Times New Roman" w:hAnsi="Times New Roman" w:cs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Для обеспечения защиты объектов информационной безопасности должны быть соответствующие правовые акты, устанавливающие порядок защиты и ответственность за его нарушение. Законы должны давать ответы на следующие вопросы: что такое информация, кому она принадлежит, как может с ней поступать собственник, что является посягательством на его права, как он имеет право защищаться, какую ответственность несет нарушитель прав собственника информации.</w:t>
      </w:r>
    </w:p>
    <w:p w14:paraId="71EFBC8D" w14:textId="77777777" w:rsidR="0051575A" w:rsidRDefault="0051575A" w:rsidP="0051575A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Установленные в законах нормы реализуются через комплекс организационных мер, проводимых прежде всего государством, ответственным за выполнение законов, и собственниками информации. К таким мерам относятся издание подзаконных актов, регулирующих конкретные вопросы по защите информации (положения, инструкции, стандарты и т. д.), и государственное регулирование сферы через систему лицензирования, сертификации, аттестации.</w:t>
      </w:r>
    </w:p>
    <w:p w14:paraId="15215C6B" w14:textId="77777777" w:rsidR="0051575A" w:rsidRDefault="0051575A" w:rsidP="0051575A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Поскольку в настоящее время основное количество информации генерируется, обрабатывается, передается и хранится с помощью технических средств, то для конкретной ее защиты в информационных объектах необходимы технические устройства. В силу многообразия технических средств нападения приходится использовать обширный арсенал технических средств защиты. Наибольший положительный эффект достигается в том случае, когда все перечисленные способы применяются совместно, т.е. комплексно.</w:t>
      </w:r>
    </w:p>
    <w:p w14:paraId="3BE33DA1" w14:textId="77777777" w:rsidR="0051575A" w:rsidRDefault="0051575A" w:rsidP="0051575A">
      <w:pPr>
        <w:ind w:firstLine="709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lastRenderedPageBreak/>
        <w:t xml:space="preserve">Принципиальным вопросом при определении уровня защищенности объекта является выбор критериев. Рассмотрим один из них </w:t>
      </w:r>
      <w:r>
        <w:rPr>
          <w:snapToGrid w:val="0"/>
          <w:color w:val="000000" w:themeColor="text1"/>
          <w:sz w:val="28"/>
          <w:szCs w:val="28"/>
        </w:rPr>
        <w:noBreakHyphen/>
        <w:t xml:space="preserve"> широко известный критерий "эффективность - стоимость".</w:t>
      </w:r>
    </w:p>
    <w:p w14:paraId="17C00B47" w14:textId="77777777" w:rsidR="0051575A" w:rsidRDefault="0051575A" w:rsidP="0051575A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 xml:space="preserve">Пусть имеется информационный объект, который при нормальном (идеальном) функционировании создает положительный эффект (экономический, политический, технический и т.д.). Этот эффект обозначим через </w:t>
      </w:r>
      <w:r>
        <w:rPr>
          <w:i/>
          <w:snapToGrid w:val="0"/>
          <w:color w:val="000000" w:themeColor="text1"/>
          <w:sz w:val="28"/>
          <w:szCs w:val="28"/>
        </w:rPr>
        <w:t>Е</w:t>
      </w:r>
      <w:r>
        <w:rPr>
          <w:i/>
          <w:snapToGrid w:val="0"/>
          <w:color w:val="000000" w:themeColor="text1"/>
          <w:sz w:val="28"/>
          <w:szCs w:val="28"/>
          <w:vertAlign w:val="subscript"/>
        </w:rPr>
        <w:t>0</w:t>
      </w:r>
      <w:r>
        <w:rPr>
          <w:snapToGrid w:val="0"/>
          <w:color w:val="000000" w:themeColor="text1"/>
          <w:sz w:val="28"/>
          <w:szCs w:val="28"/>
        </w:rPr>
        <w:t xml:space="preserve">. Несанкционированный доступ к объекту уменьшает полезный эффект от его функционирования (нарушается нормальная работа, наносится ущерб из-за утечки информации и т.д.) на величину </w:t>
      </w:r>
      <w:r>
        <w:rPr>
          <w:i/>
          <w:snapToGrid w:val="0"/>
          <w:color w:val="000000" w:themeColor="text1"/>
          <w:sz w:val="28"/>
          <w:szCs w:val="28"/>
        </w:rPr>
        <w:sym w:font="Symbol" w:char="F044"/>
      </w:r>
      <w:r>
        <w:rPr>
          <w:i/>
          <w:snapToGrid w:val="0"/>
          <w:color w:val="000000" w:themeColor="text1"/>
          <w:sz w:val="28"/>
          <w:szCs w:val="28"/>
        </w:rPr>
        <w:t>Е</w:t>
      </w:r>
      <w:r>
        <w:rPr>
          <w:snapToGrid w:val="0"/>
          <w:color w:val="000000" w:themeColor="text1"/>
          <w:sz w:val="28"/>
          <w:szCs w:val="28"/>
        </w:rPr>
        <w:t>. Тогда эффективность функционирования объекта с учетом воздействия несанкционированного доступа:</w:t>
      </w:r>
    </w:p>
    <w:tbl>
      <w:tblPr>
        <w:tblW w:w="102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20"/>
        <w:gridCol w:w="2125"/>
      </w:tblGrid>
      <w:tr w:rsidR="0051575A" w14:paraId="5412FB27" w14:textId="77777777" w:rsidTr="0051575A">
        <w:trPr>
          <w:trHeight w:val="326"/>
        </w:trPr>
        <w:tc>
          <w:tcPr>
            <w:tcW w:w="8114" w:type="dxa"/>
            <w:vAlign w:val="center"/>
            <w:hideMark/>
          </w:tcPr>
          <w:p w14:paraId="3D7D68B4" w14:textId="77777777" w:rsidR="0051575A" w:rsidRDefault="0051575A">
            <w:pPr>
              <w:pStyle w:val="a"/>
              <w:rPr>
                <w:lang w:eastAsia="en-US"/>
              </w:rPr>
            </w:pPr>
            <m:oMath>
              <m:r>
                <w:rPr>
                  <w:rFonts w:ascii="Cambria Math" w:hAnsi="Cambria Math"/>
                  <w:lang w:eastAsia="en-US"/>
                </w:rPr>
                <m:t>E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r>
                <w:rPr>
                  <w:rFonts w:ascii="Cambria Math" w:hAnsi="Cambria Math"/>
                  <w:lang w:eastAsia="en-US"/>
                </w:rPr>
                <m:t>ΔE</m:t>
              </m:r>
            </m:oMath>
            <w:r>
              <w:rPr>
                <w:lang w:eastAsia="en-US"/>
              </w:rPr>
              <w:t>,</w:t>
            </w:r>
          </w:p>
        </w:tc>
        <w:tc>
          <w:tcPr>
            <w:tcW w:w="2124" w:type="dxa"/>
            <w:vAlign w:val="center"/>
            <w:hideMark/>
          </w:tcPr>
          <w:p w14:paraId="0F2686ED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eastAsia="en-US"/>
              </w:rPr>
              <w:t>(2.1)</w:t>
            </w:r>
          </w:p>
        </w:tc>
      </w:tr>
    </w:tbl>
    <w:p w14:paraId="7739E4D3" w14:textId="77777777" w:rsidR="0051575A" w:rsidRDefault="0051575A" w:rsidP="0051575A">
      <w:pPr>
        <w:pStyle w:val="BodyTextIndent3"/>
        <w:spacing w:line="240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>Относительная эффективность:</w:t>
      </w:r>
    </w:p>
    <w:tbl>
      <w:tblPr>
        <w:tblW w:w="102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19"/>
        <w:gridCol w:w="2141"/>
      </w:tblGrid>
      <w:tr w:rsidR="0051575A" w14:paraId="16F50ADB" w14:textId="77777777" w:rsidTr="0051575A">
        <w:trPr>
          <w:trHeight w:val="824"/>
        </w:trPr>
        <w:tc>
          <w:tcPr>
            <w:tcW w:w="8114" w:type="dxa"/>
            <w:vAlign w:val="center"/>
            <w:hideMark/>
          </w:tcPr>
          <w:p w14:paraId="030C74CF" w14:textId="77777777" w:rsidR="0051575A" w:rsidRDefault="0051575A">
            <w:pPr>
              <w:pStyle w:val="a"/>
              <w:rPr>
                <w:lang w:val="ru-RU" w:eastAsia="en-US"/>
              </w:rPr>
            </w:pPr>
            <m:oMath>
              <m:r>
                <w:rPr>
                  <w:rFonts w:ascii="Cambria Math" w:hAnsi="Cambria Math"/>
                  <w:lang w:eastAsia="en-US"/>
                </w:rPr>
                <m:t>δ</m:t>
              </m:r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 w:eastAsia="en-US"/>
                    </w:rPr>
                    <m:t>-</m:t>
                  </m:r>
                  <m:r>
                    <w:rPr>
                      <w:rFonts w:ascii="Cambria Math" w:hAnsi="Cambria Math"/>
                      <w:lang w:eastAsia="en-US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 w:eastAsia="en-US"/>
                </w:rPr>
                <m:t>=1-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ΔE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 w:eastAsia="en-US"/>
                        </w:rPr>
                        <m:t>0</m:t>
                      </m:r>
                    </m:sub>
                  </m:sSub>
                </m:den>
              </m:f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140" w:type="dxa"/>
            <w:vAlign w:val="center"/>
            <w:hideMark/>
          </w:tcPr>
          <w:p w14:paraId="0FE9C9F2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eastAsia="en-US"/>
              </w:rPr>
              <w:t>(2.2)</w:t>
            </w:r>
          </w:p>
        </w:tc>
      </w:tr>
    </w:tbl>
    <w:p w14:paraId="51AE380B" w14:textId="77777777" w:rsidR="0051575A" w:rsidRDefault="0051575A" w:rsidP="0051575A">
      <w:pPr>
        <w:spacing w:before="120" w:after="120"/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 xml:space="preserve">Уменьшение эффективности функционирования объекта приводит к материальному ущербу для владельца объекта. В общем случае материальный ущерб есть некоторая неубывающая функция от </w:t>
      </w:r>
      <w:r>
        <w:rPr>
          <w:snapToGrid w:val="0"/>
          <w:color w:val="000000" w:themeColor="text1"/>
          <w:sz w:val="28"/>
          <w:szCs w:val="28"/>
        </w:rPr>
        <w:sym w:font="Symbol" w:char="F044"/>
      </w:r>
      <w:r>
        <w:rPr>
          <w:snapToGrid w:val="0"/>
          <w:color w:val="000000" w:themeColor="text1"/>
          <w:sz w:val="28"/>
          <w:szCs w:val="28"/>
        </w:rPr>
        <w:t>Е:</w:t>
      </w:r>
    </w:p>
    <w:tbl>
      <w:tblPr>
        <w:tblW w:w="102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20"/>
        <w:gridCol w:w="2125"/>
      </w:tblGrid>
      <w:tr w:rsidR="0051575A" w14:paraId="022924CF" w14:textId="77777777" w:rsidTr="0051575A">
        <w:trPr>
          <w:trHeight w:val="508"/>
        </w:trPr>
        <w:tc>
          <w:tcPr>
            <w:tcW w:w="8114" w:type="dxa"/>
            <w:vAlign w:val="center"/>
            <w:hideMark/>
          </w:tcPr>
          <w:p w14:paraId="23A8D896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 xml:space="preserve">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U=f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e>
              </m:d>
            </m:oMath>
            <w:r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124" w:type="dxa"/>
            <w:vAlign w:val="center"/>
            <w:hideMark/>
          </w:tcPr>
          <w:p w14:paraId="1F89BD20" w14:textId="77777777" w:rsidR="0051575A" w:rsidRDefault="0051575A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3)</w:t>
            </w:r>
          </w:p>
        </w:tc>
      </w:tr>
    </w:tbl>
    <w:p w14:paraId="7F75C4CE" w14:textId="77777777" w:rsidR="0051575A" w:rsidRDefault="0051575A" w:rsidP="0051575A">
      <w:pPr>
        <w:spacing w:before="120" w:after="120"/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 xml:space="preserve">Будем считать, что установка на объект средств защиты информации уменьшает негативное действие несанкционированного доступа на эффективность функционирования объекта. Обозначим снижение эффективности функционирования объекта при наличии средств защиты через </w:t>
      </w:r>
      <w:r>
        <w:rPr>
          <w:snapToGrid w:val="0"/>
          <w:color w:val="000000" w:themeColor="text1"/>
          <w:sz w:val="28"/>
          <w:szCs w:val="28"/>
        </w:rPr>
        <w:sym w:font="Symbol" w:char="F044"/>
      </w:r>
      <w:r>
        <w:rPr>
          <w:snapToGrid w:val="0"/>
          <w:color w:val="000000" w:themeColor="text1"/>
          <w:sz w:val="28"/>
          <w:szCs w:val="28"/>
        </w:rPr>
        <w:t>Е</w:t>
      </w:r>
      <w:r>
        <w:rPr>
          <w:snapToGrid w:val="0"/>
          <w:color w:val="000000" w:themeColor="text1"/>
          <w:sz w:val="28"/>
          <w:szCs w:val="28"/>
          <w:vertAlign w:val="subscript"/>
        </w:rPr>
        <w:t>3,</w:t>
      </w:r>
      <w:r>
        <w:rPr>
          <w:snapToGrid w:val="0"/>
          <w:color w:val="000000" w:themeColor="text1"/>
          <w:sz w:val="28"/>
          <w:szCs w:val="28"/>
        </w:rPr>
        <w:t xml:space="preserve"> а коэффициент снижения негативного воздействия несанкционированного доступа на эффективность функционирования объекта </w:t>
      </w:r>
      <w:r>
        <w:rPr>
          <w:snapToGrid w:val="0"/>
          <w:color w:val="000000" w:themeColor="text1"/>
          <w:sz w:val="28"/>
          <w:szCs w:val="28"/>
        </w:rPr>
        <w:noBreakHyphen/>
        <w:t xml:space="preserve"> через К, тогда:</w:t>
      </w:r>
    </w:p>
    <w:tbl>
      <w:tblPr>
        <w:tblW w:w="102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20"/>
        <w:gridCol w:w="2125"/>
      </w:tblGrid>
      <w:tr w:rsidR="0051575A" w14:paraId="531DF5FC" w14:textId="77777777" w:rsidTr="0051575A">
        <w:trPr>
          <w:trHeight w:val="733"/>
        </w:trPr>
        <w:tc>
          <w:tcPr>
            <w:tcW w:w="8114" w:type="dxa"/>
            <w:vAlign w:val="center"/>
            <w:hideMark/>
          </w:tcPr>
          <w:p w14:paraId="640C0819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 xml:space="preserve">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2124" w:type="dxa"/>
            <w:vAlign w:val="center"/>
            <w:hideMark/>
          </w:tcPr>
          <w:p w14:paraId="3C9FA231" w14:textId="77777777" w:rsidR="0051575A" w:rsidRDefault="0051575A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4)</w:t>
            </w:r>
          </w:p>
        </w:tc>
      </w:tr>
    </w:tbl>
    <w:p w14:paraId="3F72A9A0" w14:textId="77777777" w:rsidR="0051575A" w:rsidRDefault="0051575A" w:rsidP="0051575A">
      <w:pPr>
        <w:spacing w:before="120"/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где К</w:t>
      </w:r>
      <w:r>
        <w:rPr>
          <w:snapToGrid w:val="0"/>
          <w:color w:val="000000" w:themeColor="text1"/>
          <w:sz w:val="28"/>
          <w:szCs w:val="28"/>
        </w:rPr>
        <w:sym w:font="Symbol" w:char="F0B3"/>
      </w:r>
      <w:r>
        <w:rPr>
          <w:snapToGrid w:val="0"/>
          <w:color w:val="000000" w:themeColor="text1"/>
          <w:sz w:val="28"/>
          <w:szCs w:val="28"/>
        </w:rPr>
        <w:t>1.</w:t>
      </w:r>
    </w:p>
    <w:p w14:paraId="2CE23A3D" w14:textId="77777777" w:rsidR="0051575A" w:rsidRDefault="0051575A" w:rsidP="0051575A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t>Выражения (2.1) – (2.2) примут вид:</w:t>
      </w:r>
    </w:p>
    <w:tbl>
      <w:tblPr>
        <w:tblW w:w="1024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687"/>
        <w:gridCol w:w="1558"/>
      </w:tblGrid>
      <w:tr w:rsidR="0051575A" w14:paraId="32BFA406" w14:textId="77777777" w:rsidTr="0051575A">
        <w:trPr>
          <w:trHeight w:val="672"/>
        </w:trPr>
        <w:tc>
          <w:tcPr>
            <w:tcW w:w="8681" w:type="dxa"/>
            <w:vAlign w:val="center"/>
            <w:hideMark/>
          </w:tcPr>
          <w:p w14:paraId="7DE10B33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 xml:space="preserve">    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-Δ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K</m:t>
                  </m:r>
                </m:den>
              </m:f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,</m:t>
              </m:r>
            </m:oMath>
          </w:p>
        </w:tc>
        <w:tc>
          <w:tcPr>
            <w:tcW w:w="1557" w:type="dxa"/>
            <w:vAlign w:val="center"/>
            <w:hideMark/>
          </w:tcPr>
          <w:p w14:paraId="3D77A9F3" w14:textId="77777777" w:rsidR="0051575A" w:rsidRDefault="0051575A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5)</w:t>
            </w:r>
          </w:p>
        </w:tc>
      </w:tr>
    </w:tbl>
    <w:p w14:paraId="7D043E5C" w14:textId="77777777" w:rsidR="0051575A" w:rsidRDefault="0051575A" w:rsidP="0051575A">
      <w:pPr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</w:p>
    <w:tbl>
      <w:tblPr>
        <w:tblW w:w="1021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7"/>
        <w:gridCol w:w="2238"/>
      </w:tblGrid>
      <w:tr w:rsidR="0051575A" w14:paraId="6BE21CF7" w14:textId="77777777" w:rsidTr="0051575A">
        <w:trPr>
          <w:trHeight w:val="839"/>
        </w:trPr>
        <w:tc>
          <w:tcPr>
            <w:tcW w:w="7972" w:type="dxa"/>
            <w:vAlign w:val="center"/>
            <w:hideMark/>
          </w:tcPr>
          <w:p w14:paraId="26D95ADE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lastRenderedPageBreak/>
              <w:t xml:space="preserve">               </w:t>
            </w:r>
            <w:r>
              <w:rPr>
                <w:rFonts w:ascii="Times New Roman" w:eastAsia="Times New Roman" w:hAnsi="Times New Roman" w:cs="Times New Roman"/>
                <w:snapToGrid w:val="0"/>
                <w:color w:val="000000" w:themeColor="text1"/>
                <w:position w:val="-30"/>
                <w:sz w:val="28"/>
                <w:szCs w:val="28"/>
              </w:rPr>
              <w:object w:dxaOrig="4536" w:dyaOrig="708" w14:anchorId="69DEE14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3" type="#_x0000_t75" style="width:226.65pt;height:35.35pt" o:ole="" fillcolor="window">
                  <v:imagedata r:id="rId5" o:title=""/>
                </v:shape>
                <o:OLEObject Type="Embed" ProgID="Equation.3" ShapeID="_x0000_i1043" DrawAspect="Content" ObjectID="_1724251196" r:id="rId6"/>
              </w:objec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37" w:type="dxa"/>
            <w:vAlign w:val="center"/>
            <w:hideMark/>
          </w:tcPr>
          <w:p w14:paraId="7B7FAB78" w14:textId="77777777" w:rsidR="0051575A" w:rsidRDefault="0051575A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6)</w:t>
            </w:r>
          </w:p>
        </w:tc>
      </w:tr>
    </w:tbl>
    <w:p w14:paraId="5C7E3208" w14:textId="77777777" w:rsidR="0051575A" w:rsidRDefault="0051575A" w:rsidP="0051575A">
      <w:pPr>
        <w:spacing w:before="120" w:after="120"/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Стоимость средств защиты зависит от их эффективности, и в общем случае К – есть возрастающая функция от стоимости средств защиты (С):</w:t>
      </w:r>
    </w:p>
    <w:tbl>
      <w:tblPr>
        <w:tblW w:w="1020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7"/>
        <w:gridCol w:w="2223"/>
      </w:tblGrid>
      <w:tr w:rsidR="0051575A" w14:paraId="3AB312FD" w14:textId="77777777" w:rsidTr="0051575A">
        <w:trPr>
          <w:trHeight w:val="416"/>
        </w:trPr>
        <w:tc>
          <w:tcPr>
            <w:tcW w:w="7972" w:type="dxa"/>
            <w:vAlign w:val="center"/>
            <w:hideMark/>
          </w:tcPr>
          <w:p w14:paraId="705231F2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 xml:space="preserve">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K=f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napToGrid w:val="0"/>
                      <w:color w:val="000000" w:themeColor="text1"/>
                      <w:sz w:val="28"/>
                      <w:szCs w:val="28"/>
                    </w:rPr>
                    <m:t>C</m:t>
                  </m:r>
                </m:e>
              </m:d>
            </m:oMath>
            <w:r>
              <w:rPr>
                <w:snapToGrid w:val="0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2221" w:type="dxa"/>
            <w:vAlign w:val="center"/>
            <w:hideMark/>
          </w:tcPr>
          <w:p w14:paraId="1C531757" w14:textId="77777777" w:rsidR="0051575A" w:rsidRDefault="0051575A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7)</w:t>
            </w:r>
          </w:p>
        </w:tc>
      </w:tr>
    </w:tbl>
    <w:p w14:paraId="02EC3819" w14:textId="77777777" w:rsidR="0051575A" w:rsidRDefault="0051575A" w:rsidP="0051575A">
      <w:pPr>
        <w:pStyle w:val="BodyTextIndent3"/>
        <w:spacing w:line="240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  <w:lang w:val="be-BY"/>
        </w:rPr>
        <w:t>Поскольку затраты на установку средств защиты можно рассматривать как ущерб владельцу объекта от возможности осуществления несанкционированного доступа, то суммарный ущерб объекту</w:t>
      </w:r>
      <w:r>
        <w:rPr>
          <w:color w:val="000000" w:themeColor="text1"/>
          <w:sz w:val="28"/>
          <w:szCs w:val="28"/>
        </w:rPr>
        <w:t>:</w:t>
      </w:r>
    </w:p>
    <w:tbl>
      <w:tblPr>
        <w:tblW w:w="1026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119"/>
        <w:gridCol w:w="2141"/>
      </w:tblGrid>
      <w:tr w:rsidR="0051575A" w14:paraId="5DA24CC1" w14:textId="77777777" w:rsidTr="0051575A">
        <w:trPr>
          <w:trHeight w:val="611"/>
        </w:trPr>
        <w:tc>
          <w:tcPr>
            <w:tcW w:w="8114" w:type="dxa"/>
            <w:vAlign w:val="center"/>
            <w:hideMark/>
          </w:tcPr>
          <w:p w14:paraId="3B30D5CC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C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+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oMath>
            <w:r>
              <w:rPr>
                <w:lang w:eastAsia="en-US"/>
              </w:rPr>
              <w:t>,</w:t>
            </w:r>
          </w:p>
        </w:tc>
        <w:tc>
          <w:tcPr>
            <w:tcW w:w="2140" w:type="dxa"/>
            <w:vAlign w:val="center"/>
            <w:hideMark/>
          </w:tcPr>
          <w:p w14:paraId="5B86CE39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eastAsia="en-US"/>
              </w:rPr>
              <w:t xml:space="preserve">   (2.8)</w:t>
            </w:r>
          </w:p>
        </w:tc>
      </w:tr>
    </w:tbl>
    <w:p w14:paraId="36675F1B" w14:textId="77777777" w:rsidR="0051575A" w:rsidRDefault="0051575A" w:rsidP="0051575A">
      <w:pPr>
        <w:pStyle w:val="BodyTextIndent3"/>
        <w:spacing w:line="240" w:lineRule="auto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>Если эффективность функционирования объекта имеет стоимостное выражение (доход, прибыль и т.д.), то U</w:t>
      </w:r>
      <w:r>
        <w:rPr>
          <w:color w:val="000000" w:themeColor="text1"/>
          <w:sz w:val="28"/>
          <w:szCs w:val="28"/>
          <w:vertAlign w:val="subscript"/>
        </w:rPr>
        <w:sym w:font="Symbol" w:char="F053"/>
      </w:r>
      <w:r>
        <w:rPr>
          <w:color w:val="000000" w:themeColor="text1"/>
          <w:sz w:val="28"/>
          <w:szCs w:val="28"/>
        </w:rPr>
        <w:t xml:space="preserve"> непосредственно изменяет эффективность:</w:t>
      </w:r>
    </w:p>
    <w:tbl>
      <w:tblPr>
        <w:tblW w:w="910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698"/>
        <w:gridCol w:w="1407"/>
      </w:tblGrid>
      <w:tr w:rsidR="0051575A" w14:paraId="5980DDA9" w14:textId="77777777" w:rsidTr="0051575A">
        <w:trPr>
          <w:trHeight w:val="322"/>
        </w:trPr>
        <w:tc>
          <w:tcPr>
            <w:tcW w:w="7703" w:type="dxa"/>
            <w:vAlign w:val="center"/>
            <w:hideMark/>
          </w:tcPr>
          <w:p w14:paraId="36B8643A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З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en-US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ΔE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K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-</m:t>
              </m:r>
              <m:r>
                <w:rPr>
                  <w:rFonts w:ascii="Cambria Math" w:hAnsi="Cambria Math"/>
                  <w:lang w:eastAsia="en-US"/>
                </w:rPr>
                <m:t>C</m:t>
              </m:r>
            </m:oMath>
            <w:r>
              <w:rPr>
                <w:lang w:eastAsia="en-US"/>
              </w:rPr>
              <w:t>,</w:t>
            </w:r>
          </w:p>
        </w:tc>
        <w:tc>
          <w:tcPr>
            <w:tcW w:w="1408" w:type="dxa"/>
            <w:vAlign w:val="center"/>
            <w:hideMark/>
          </w:tcPr>
          <w:p w14:paraId="5AE9E19B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(2.9)</w:t>
            </w:r>
          </w:p>
        </w:tc>
      </w:tr>
    </w:tbl>
    <w:p w14:paraId="3FC47AE1" w14:textId="77777777" w:rsidR="0051575A" w:rsidRDefault="0051575A" w:rsidP="0051575A">
      <w:pPr>
        <w:spacing w:before="120" w:after="120"/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Таким образом, классическая постановка задачи разработки средств защиты для обеспечения максимальной эффективности объекта в условиях несанкционированного доступа имеет вид:</w:t>
      </w:r>
    </w:p>
    <w:tbl>
      <w:tblPr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35"/>
        <w:gridCol w:w="2335"/>
      </w:tblGrid>
      <w:tr w:rsidR="0051575A" w14:paraId="2151D76C" w14:textId="77777777" w:rsidTr="0051575A">
        <w:trPr>
          <w:trHeight w:val="594"/>
        </w:trPr>
        <w:tc>
          <w:tcPr>
            <w:tcW w:w="7830" w:type="dxa"/>
            <w:vAlign w:val="center"/>
            <w:hideMark/>
          </w:tcPr>
          <w:p w14:paraId="6FAAE573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Times New Roman" w:hAnsi="Cambria Math" w:cs="Times New Roman"/>
                      <w:i/>
                      <w:snapToGrid w:val="0"/>
                      <w:color w:val="000000" w:themeColor="text1"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Σ</m:t>
                        </m:r>
                      </m:sub>
                    </m:sSub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→min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napToGrid w:val="0"/>
                        <w:color w:val="000000" w:themeColor="text1"/>
                        <w:sz w:val="28"/>
                        <w:szCs w:val="28"/>
                      </w:rPr>
                      <m:t>C=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  <w:snapToGrid w:val="0"/>
                            <w:color w:val="000000" w:themeColor="text1"/>
                            <w:sz w:val="28"/>
                            <w:szCs w:val="28"/>
                          </w:rPr>
                          <m:t>опт</m:t>
                        </m:r>
                      </m:sub>
                    </m:sSub>
                  </m:e>
                </m:mr>
              </m:m>
            </m:oMath>
          </w:p>
        </w:tc>
        <w:tc>
          <w:tcPr>
            <w:tcW w:w="2334" w:type="dxa"/>
            <w:vAlign w:val="center"/>
            <w:hideMark/>
          </w:tcPr>
          <w:p w14:paraId="0A315335" w14:textId="77777777" w:rsidR="0051575A" w:rsidRDefault="0051575A">
            <w:pPr>
              <w:spacing w:after="120" w:line="288" w:lineRule="auto"/>
              <w:ind w:right="-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      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10)</w:t>
            </w:r>
          </w:p>
        </w:tc>
      </w:tr>
    </w:tbl>
    <w:p w14:paraId="5BC2026E" w14:textId="77777777" w:rsidR="0051575A" w:rsidRDefault="0051575A" w:rsidP="0051575A">
      <w:pPr>
        <w:spacing w:before="120" w:after="120"/>
        <w:ind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>или</w:t>
      </w:r>
    </w:p>
    <w:tbl>
      <w:tblPr>
        <w:tblW w:w="1014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35"/>
        <w:gridCol w:w="2305"/>
      </w:tblGrid>
      <w:tr w:rsidR="0051575A" w14:paraId="23F71CEE" w14:textId="77777777" w:rsidTr="0051575A">
        <w:trPr>
          <w:trHeight w:val="838"/>
        </w:trPr>
        <w:tc>
          <w:tcPr>
            <w:tcW w:w="7830" w:type="dxa"/>
            <w:vAlign w:val="center"/>
            <w:hideMark/>
          </w:tcPr>
          <w:p w14:paraId="3CE418A4" w14:textId="77777777" w:rsidR="0051575A" w:rsidRDefault="0051575A">
            <w:pPr>
              <w:pStyle w:val="a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→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опт</m:t>
                        </m:r>
                      </m:sub>
                    </m:sSub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=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опт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303" w:type="dxa"/>
            <w:vAlign w:val="center"/>
            <w:hideMark/>
          </w:tcPr>
          <w:p w14:paraId="15922DE3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</w:t>
            </w:r>
            <w:r>
              <w:rPr>
                <w:lang w:eastAsia="en-US"/>
              </w:rPr>
              <w:t>(2.11)</w:t>
            </w:r>
          </w:p>
        </w:tc>
      </w:tr>
    </w:tbl>
    <w:p w14:paraId="5A1DAA87" w14:textId="77777777" w:rsidR="0051575A" w:rsidRDefault="0051575A" w:rsidP="0051575A">
      <w:pPr>
        <w:spacing w:before="120"/>
        <w:ind w:firstLine="709"/>
        <w:jc w:val="both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Несмотря на кажущуюся простоту классической постановки задачи, на практике воспользоваться приведенными результатами удается редко. Это объясняется отсутствием зависимостей K = f(C) и особенно ущерба от несанкционированного доступа. И если зависимость коэффициента защищенности от стоимости средств защиты можно получить, имея технические и стоимостные характеристики доступных средств защиты, то оценить реальный ущерб от несанкционированного доступа чрезвычайно трудно, так как этот ущерб зависит от множества трудно прогнозируемых факторов: наличия физических каналов несанкционированного доступа, квалификации злоумышленников, их интереса к объекту, последствий несанкционированного доступа и</w:t>
      </w:r>
      <w:r>
        <w:rPr>
          <w:snapToGrid w:val="0"/>
          <w:color w:val="000000" w:themeColor="text1"/>
          <w:sz w:val="28"/>
          <w:szCs w:val="28"/>
          <w:lang w:val="en-US"/>
        </w:rPr>
        <w:t> </w:t>
      </w:r>
      <w:r>
        <w:rPr>
          <w:snapToGrid w:val="0"/>
          <w:color w:val="000000" w:themeColor="text1"/>
          <w:sz w:val="28"/>
          <w:szCs w:val="28"/>
        </w:rPr>
        <w:t>т.д.</w:t>
      </w:r>
    </w:p>
    <w:p w14:paraId="3F23F59A" w14:textId="77777777" w:rsidR="0051575A" w:rsidRDefault="0051575A" w:rsidP="0051575A">
      <w:pPr>
        <w:spacing w:after="120"/>
        <w:ind w:firstLine="709"/>
        <w:jc w:val="both"/>
        <w:rPr>
          <w:snapToGrid w:val="0"/>
          <w:color w:val="000000" w:themeColor="text1"/>
          <w:sz w:val="28"/>
          <w:szCs w:val="28"/>
        </w:rPr>
      </w:pPr>
      <w:r>
        <w:rPr>
          <w:snapToGrid w:val="0"/>
          <w:color w:val="000000" w:themeColor="text1"/>
          <w:sz w:val="28"/>
          <w:szCs w:val="28"/>
        </w:rPr>
        <w:lastRenderedPageBreak/>
        <w:t>Вместе с тем для объектов, на которые возлагаются ответственные задачи и для которых несанкционированный доступ влечет катастрофические потери эффективности их функционирования, влиянием стоимости средств защиты на эффективность можно пренебречь, т.е. если:</w:t>
      </w:r>
    </w:p>
    <w:tbl>
      <w:tblPr>
        <w:tblW w:w="101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35"/>
        <w:gridCol w:w="2350"/>
      </w:tblGrid>
      <w:tr w:rsidR="0051575A" w14:paraId="0E3F7127" w14:textId="77777777" w:rsidTr="0051575A">
        <w:trPr>
          <w:trHeight w:val="417"/>
        </w:trPr>
        <w:tc>
          <w:tcPr>
            <w:tcW w:w="7830" w:type="dxa"/>
            <w:vAlign w:val="center"/>
            <w:hideMark/>
          </w:tcPr>
          <w:p w14:paraId="6191F8C0" w14:textId="77777777" w:rsidR="0051575A" w:rsidRDefault="0051575A">
            <w:pPr>
              <w:spacing w:after="120" w:line="288" w:lineRule="auto"/>
              <w:ind w:firstLine="709"/>
              <w:jc w:val="center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</w:rPr>
              <w:t xml:space="preserve">                  </w:t>
            </w:r>
            <m:oMath>
              <m:r>
                <w:rPr>
                  <w:rFonts w:ascii="Cambria Math" w:hAnsi="Cambria Math"/>
                  <w:snapToGrid w:val="0"/>
                  <w:color w:val="000000" w:themeColor="text1"/>
                  <w:sz w:val="28"/>
                  <w:szCs w:val="28"/>
                </w:rPr>
                <m:t>C&lt;&lt;U,</m:t>
              </m:r>
            </m:oMath>
          </w:p>
        </w:tc>
        <w:tc>
          <w:tcPr>
            <w:tcW w:w="2348" w:type="dxa"/>
            <w:vAlign w:val="center"/>
            <w:hideMark/>
          </w:tcPr>
          <w:p w14:paraId="3800B57E" w14:textId="77777777" w:rsidR="0051575A" w:rsidRDefault="0051575A">
            <w:pPr>
              <w:spacing w:after="120" w:line="288" w:lineRule="auto"/>
              <w:ind w:left="-298" w:right="-9" w:firstLine="709"/>
              <w:rPr>
                <w:snapToGrid w:val="0"/>
                <w:color w:val="000000" w:themeColor="text1"/>
                <w:sz w:val="28"/>
                <w:szCs w:val="28"/>
              </w:rPr>
            </w:pPr>
            <w:r>
              <w:rPr>
                <w:snapToGrid w:val="0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(</w:t>
            </w:r>
            <w:r>
              <w:rPr>
                <w:color w:val="000000" w:themeColor="text1"/>
                <w:sz w:val="28"/>
                <w:szCs w:val="28"/>
              </w:rPr>
              <w:t>2.</w:t>
            </w:r>
            <w:r>
              <w:rPr>
                <w:snapToGrid w:val="0"/>
                <w:color w:val="000000" w:themeColor="text1"/>
                <w:sz w:val="28"/>
                <w:szCs w:val="28"/>
              </w:rPr>
              <w:t>12)</w:t>
            </w:r>
          </w:p>
        </w:tc>
      </w:tr>
    </w:tbl>
    <w:p w14:paraId="32E4987F" w14:textId="77777777" w:rsidR="0051575A" w:rsidRDefault="0051575A" w:rsidP="0051575A">
      <w:pPr>
        <w:spacing w:after="120"/>
        <w:ind w:firstLine="709"/>
        <w:rPr>
          <w:rFonts w:eastAsia="Times New Roman"/>
          <w:snapToGrid w:val="0"/>
          <w:color w:val="000000" w:themeColor="text1"/>
          <w:sz w:val="28"/>
          <w:szCs w:val="28"/>
          <w:lang w:val="en-US" w:eastAsia="ru-RU"/>
        </w:rPr>
      </w:pPr>
      <w:r>
        <w:rPr>
          <w:snapToGrid w:val="0"/>
          <w:color w:val="000000" w:themeColor="text1"/>
          <w:sz w:val="28"/>
          <w:szCs w:val="28"/>
        </w:rPr>
        <w:t>то</w:t>
      </w:r>
      <w:r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01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35"/>
        <w:gridCol w:w="2350"/>
      </w:tblGrid>
      <w:tr w:rsidR="0051575A" w14:paraId="714B7E6A" w14:textId="77777777" w:rsidTr="0051575A">
        <w:trPr>
          <w:trHeight w:val="794"/>
        </w:trPr>
        <w:tc>
          <w:tcPr>
            <w:tcW w:w="7830" w:type="dxa"/>
            <w:vAlign w:val="center"/>
            <w:hideMark/>
          </w:tcPr>
          <w:p w14:paraId="06BB03E0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eastAsia="en-US"/>
              </w:rPr>
              <w:t xml:space="preserve">                                   </w:t>
            </w:r>
            <m:oMath>
              <m:sSub>
                <m:sSubPr>
                  <m:ctrlPr>
                    <w:rPr>
                      <w:rFonts w:ascii="Cambria Math" w:hAnsi="Cambria Math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eastAsia="en-US"/>
                    </w:rPr>
                    <m:t>Σ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eastAsia="en-US"/>
                    </w:rPr>
                    <m:t>U</m:t>
                  </m:r>
                </m:num>
                <m:den>
                  <m:r>
                    <w:rPr>
                      <w:rFonts w:ascii="Cambria Math" w:hAnsi="Cambria Math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en-US"/>
                        </w:rPr>
                        <m:t>C</m:t>
                      </m:r>
                    </m:e>
                  </m:d>
                </m:den>
              </m:f>
            </m:oMath>
            <w:r>
              <w:rPr>
                <w:lang w:eastAsia="en-US"/>
              </w:rPr>
              <w:t>,</w:t>
            </w:r>
          </w:p>
        </w:tc>
        <w:tc>
          <w:tcPr>
            <w:tcW w:w="2348" w:type="dxa"/>
            <w:vAlign w:val="center"/>
            <w:hideMark/>
          </w:tcPr>
          <w:p w14:paraId="4F9063A5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eastAsia="en-US"/>
              </w:rPr>
              <w:t xml:space="preserve">  (2.13)</w:t>
            </w:r>
          </w:p>
        </w:tc>
      </w:tr>
    </w:tbl>
    <w:p w14:paraId="783DA1AA" w14:textId="77777777" w:rsidR="0051575A" w:rsidRDefault="0051575A" w:rsidP="0051575A">
      <w:pPr>
        <w:spacing w:after="120"/>
        <w:ind w:firstLine="709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В этом случае (2.11) и (2.12) принимают вид:</w:t>
      </w:r>
    </w:p>
    <w:tbl>
      <w:tblPr>
        <w:tblW w:w="1017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835"/>
        <w:gridCol w:w="2335"/>
      </w:tblGrid>
      <w:tr w:rsidR="0051575A" w14:paraId="29758DEF" w14:textId="77777777" w:rsidTr="0051575A">
        <w:trPr>
          <w:trHeight w:val="837"/>
        </w:trPr>
        <w:tc>
          <w:tcPr>
            <w:tcW w:w="7830" w:type="dxa"/>
            <w:vAlign w:val="center"/>
            <w:hideMark/>
          </w:tcPr>
          <w:p w14:paraId="6F6FEC05" w14:textId="77777777" w:rsidR="0051575A" w:rsidRDefault="0051575A">
            <w:pPr>
              <w:pStyle w:val="a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en-US"/>
                          </w:rPr>
                          <m:t>Σ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→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min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доп</m:t>
                        </m:r>
                      </m:sub>
                    </m:sSub>
                  </m:e>
                </m:mr>
              </m:m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334" w:type="dxa"/>
            <w:vAlign w:val="center"/>
            <w:hideMark/>
          </w:tcPr>
          <w:p w14:paraId="33BE5FFF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val="ru-RU" w:eastAsia="en-US"/>
              </w:rPr>
              <w:t xml:space="preserve">  </w:t>
            </w:r>
            <w:r>
              <w:rPr>
                <w:lang w:eastAsia="en-US"/>
              </w:rPr>
              <w:t>(2.14)</w:t>
            </w:r>
          </w:p>
        </w:tc>
      </w:tr>
    </w:tbl>
    <w:p w14:paraId="1DD2CA91" w14:textId="77777777" w:rsidR="0051575A" w:rsidRDefault="0051575A" w:rsidP="0051575A">
      <w:pPr>
        <w:spacing w:after="120"/>
        <w:ind w:firstLine="709"/>
        <w:rPr>
          <w:rFonts w:eastAsia="Times New Roman"/>
          <w:snapToGrid w:val="0"/>
          <w:color w:val="000000" w:themeColor="text1"/>
          <w:sz w:val="28"/>
          <w:szCs w:val="28"/>
          <w:lang w:eastAsia="ru-RU"/>
        </w:rPr>
      </w:pPr>
      <w:r>
        <w:rPr>
          <w:snapToGrid w:val="0"/>
          <w:color w:val="000000" w:themeColor="text1"/>
          <w:sz w:val="28"/>
          <w:szCs w:val="28"/>
        </w:rPr>
        <w:t>или</w:t>
      </w:r>
      <w:r>
        <w:rPr>
          <w:snapToGrid w:val="0"/>
          <w:color w:val="000000" w:themeColor="text1"/>
          <w:sz w:val="28"/>
          <w:szCs w:val="28"/>
          <w:lang w:val="en-US"/>
        </w:rPr>
        <w:t>:</w:t>
      </w:r>
    </w:p>
    <w:tbl>
      <w:tblPr>
        <w:tblW w:w="11055" w:type="dxa"/>
        <w:tblInd w:w="-851" w:type="dxa"/>
        <w:tblLayout w:type="fixed"/>
        <w:tblLook w:val="04A0" w:firstRow="1" w:lastRow="0" w:firstColumn="1" w:lastColumn="0" w:noHBand="0" w:noVBand="1"/>
      </w:tblPr>
      <w:tblGrid>
        <w:gridCol w:w="8366"/>
        <w:gridCol w:w="2689"/>
      </w:tblGrid>
      <w:tr w:rsidR="0051575A" w14:paraId="796989FE" w14:textId="77777777" w:rsidTr="0051575A">
        <w:trPr>
          <w:trHeight w:val="716"/>
        </w:trPr>
        <w:tc>
          <w:tcPr>
            <w:tcW w:w="8364" w:type="dxa"/>
            <w:vAlign w:val="center"/>
            <w:hideMark/>
          </w:tcPr>
          <w:p w14:paraId="3AB1CDC1" w14:textId="77777777" w:rsidR="0051575A" w:rsidRDefault="0051575A">
            <w:pPr>
              <w:pStyle w:val="a"/>
              <w:rPr>
                <w:lang w:val="ru-RU" w:eastAsia="en-US"/>
              </w:rPr>
            </w:pPr>
            <w:r>
              <w:rPr>
                <w:lang w:val="ru-RU" w:eastAsia="en-US"/>
              </w:rPr>
              <w:t xml:space="preserve">                                                       </w:t>
            </w:r>
            <m:oMath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eastAsia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E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З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→</m:t>
                    </m:r>
                    <m:r>
                      <w:rPr>
                        <w:rFonts w:ascii="Cambria Math" w:hAnsi="Cambria Math"/>
                        <w:lang w:eastAsia="en-US"/>
                      </w:rPr>
                      <m:t>max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eastAsia="en-US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≤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en-US"/>
                          </w:rPr>
                          <m:t>C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 w:eastAsia="en-US"/>
                          </w:rPr>
                          <m:t>доп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 w:eastAsia="en-US"/>
                      </w:rPr>
                      <m:t>,</m:t>
                    </m:r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lang w:eastAsia="en-US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δ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З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→</m:t>
                          </m:r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max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,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lang w:eastAsia="en-US"/>
                            </w:rPr>
                            <m:t>C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ru-RU" w:eastAsia="en-US"/>
                            </w:rPr>
                            <m:t>≤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lang w:eastAsia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en-US"/>
                                </w:rPr>
                                <m:t>C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 w:eastAsia="en-US"/>
                                </w:rPr>
                                <m:t>доп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oMath>
            <w:r>
              <w:rPr>
                <w:lang w:val="ru-RU" w:eastAsia="en-US"/>
              </w:rPr>
              <w:t>,</w:t>
            </w:r>
          </w:p>
        </w:tc>
        <w:tc>
          <w:tcPr>
            <w:tcW w:w="2688" w:type="dxa"/>
            <w:vAlign w:val="center"/>
            <w:hideMark/>
          </w:tcPr>
          <w:p w14:paraId="522F3DFA" w14:textId="77777777" w:rsidR="0051575A" w:rsidRDefault="0051575A">
            <w:pPr>
              <w:pStyle w:val="a"/>
              <w:rPr>
                <w:lang w:eastAsia="en-US"/>
              </w:rPr>
            </w:pPr>
            <w:r>
              <w:rPr>
                <w:lang w:val="ru-RU" w:eastAsia="en-US"/>
              </w:rPr>
              <w:t xml:space="preserve">                 </w:t>
            </w:r>
            <w:r>
              <w:rPr>
                <w:lang w:eastAsia="en-US"/>
              </w:rPr>
              <w:t>(2.15)</w:t>
            </w:r>
          </w:p>
        </w:tc>
      </w:tr>
    </w:tbl>
    <w:p w14:paraId="60DFBDDF" w14:textId="77777777" w:rsidR="0051575A" w:rsidRDefault="0051575A" w:rsidP="0051575A">
      <w:pPr>
        <w:spacing w:after="120"/>
        <w:ind w:firstLine="709"/>
        <w:rPr>
          <w:rFonts w:eastAsia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>где C</w:t>
      </w:r>
      <w:r>
        <w:rPr>
          <w:color w:val="000000" w:themeColor="text1"/>
          <w:sz w:val="28"/>
          <w:szCs w:val="28"/>
          <w:vertAlign w:val="subscript"/>
        </w:rPr>
        <w:t>доп</w:t>
      </w:r>
      <w:r>
        <w:rPr>
          <w:color w:val="000000" w:themeColor="text1"/>
          <w:sz w:val="28"/>
          <w:szCs w:val="28"/>
        </w:rPr>
        <w:t xml:space="preserve"> — допустимые расходы на защиту.</w:t>
      </w:r>
    </w:p>
    <w:p w14:paraId="028403BC" w14:textId="77777777" w:rsidR="0051575A" w:rsidRDefault="0051575A" w:rsidP="0051575A">
      <w:pPr>
        <w:shd w:val="clear" w:color="auto" w:fill="FFFFFF"/>
        <w:ind w:firstLine="709"/>
        <w:jc w:val="center"/>
        <w:outlineLvl w:val="1"/>
        <w:rPr>
          <w:b/>
          <w:bCs/>
          <w:color w:val="000000" w:themeColor="text1"/>
          <w:sz w:val="28"/>
          <w:szCs w:val="28"/>
          <w:lang w:eastAsia="be-BY"/>
        </w:rPr>
      </w:pPr>
      <w:bookmarkStart w:id="6" w:name="_Toc4055483"/>
      <w:r>
        <w:rPr>
          <w:b/>
          <w:bCs/>
          <w:color w:val="000000" w:themeColor="text1"/>
          <w:sz w:val="28"/>
          <w:szCs w:val="28"/>
          <w:lang w:eastAsia="be-BY"/>
        </w:rPr>
        <w:t>Задание на выполнение</w:t>
      </w:r>
      <w:bookmarkEnd w:id="6"/>
    </w:p>
    <w:p w14:paraId="1D8FF01B" w14:textId="77777777" w:rsidR="0051575A" w:rsidRDefault="0051575A" w:rsidP="0051575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  <w:r>
        <w:rPr>
          <w:color w:val="000000" w:themeColor="text1"/>
          <w:sz w:val="28"/>
          <w:szCs w:val="28"/>
          <w:lang w:eastAsia="be-BY"/>
        </w:rPr>
        <w:t xml:space="preserve">Решить задачу разработки средств защиты для обеспечения максимальной эффективности объекта в условиях несанкционированного доступа в соответствии с вариантом. </w:t>
      </w:r>
    </w:p>
    <w:p w14:paraId="35FB071D" w14:textId="77777777" w:rsidR="0051575A" w:rsidRDefault="0051575A" w:rsidP="0051575A">
      <w:pPr>
        <w:shd w:val="clear" w:color="auto" w:fill="FFFFFF"/>
        <w:ind w:firstLine="709"/>
        <w:jc w:val="both"/>
        <w:rPr>
          <w:color w:val="000000" w:themeColor="text1"/>
          <w:sz w:val="28"/>
          <w:szCs w:val="28"/>
          <w:lang w:eastAsia="be-BY"/>
        </w:rPr>
      </w:pPr>
    </w:p>
    <w:p w14:paraId="7A4CC311" w14:textId="77777777" w:rsidR="0051575A" w:rsidRDefault="0051575A" w:rsidP="0051575A">
      <w:pPr>
        <w:ind w:firstLine="709"/>
        <w:rPr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t>Таблица 2.1 - Исходные данные к решению задачи</w:t>
      </w:r>
    </w:p>
    <w:tbl>
      <w:tblPr>
        <w:tblStyle w:val="TableGrid"/>
        <w:tblW w:w="9562" w:type="dxa"/>
        <w:tblInd w:w="0" w:type="dxa"/>
        <w:tblLook w:val="04A0" w:firstRow="1" w:lastRow="0" w:firstColumn="1" w:lastColumn="0" w:noHBand="0" w:noVBand="1"/>
      </w:tblPr>
      <w:tblGrid>
        <w:gridCol w:w="2172"/>
        <w:gridCol w:w="1934"/>
        <w:gridCol w:w="1635"/>
        <w:gridCol w:w="2328"/>
        <w:gridCol w:w="1493"/>
      </w:tblGrid>
      <w:tr w:rsidR="0051575A" w14:paraId="630CFB30" w14:textId="77777777" w:rsidTr="0051575A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53B7" w14:textId="77777777" w:rsidR="0051575A" w:rsidRDefault="0051575A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№ варианта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C8D16" w14:textId="77777777" w:rsidR="0051575A" w:rsidRDefault="0051575A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  <w:r>
              <w:rPr>
                <w:color w:val="000000" w:themeColor="text1"/>
                <w:sz w:val="28"/>
                <w:szCs w:val="28"/>
                <w:vertAlign w:val="subscript"/>
                <w:lang w:val="en-US"/>
              </w:rPr>
              <w:t>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D7DB4" w14:textId="77777777" w:rsidR="0051575A" w:rsidRDefault="0051575A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E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2DD9" w14:textId="77777777" w:rsidR="0051575A" w:rsidRDefault="0051575A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K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78DEF" w14:textId="77777777" w:rsidR="0051575A" w:rsidRDefault="0051575A">
            <w:pPr>
              <w:spacing w:before="120"/>
              <w:ind w:firstLine="709"/>
              <w:jc w:val="center"/>
              <w:rPr>
                <w:i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i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51575A" w14:paraId="504116FE" w14:textId="77777777" w:rsidTr="0051575A">
        <w:tc>
          <w:tcPr>
            <w:tcW w:w="2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D59E6" w14:textId="3F1BC3FA" w:rsidR="0051575A" w:rsidRDefault="00622F9D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1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E90E5" w14:textId="79B1F6DC" w:rsidR="0051575A" w:rsidRDefault="00622F9D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51575A">
              <w:rPr>
                <w:sz w:val="28"/>
                <w:szCs w:val="28"/>
                <w:lang w:val="en-US"/>
              </w:rPr>
              <w:t>2</w:t>
            </w:r>
            <w:r w:rsidR="0051575A">
              <w:rPr>
                <w:sz w:val="28"/>
                <w:szCs w:val="28"/>
              </w:rPr>
              <w:t>000</w:t>
            </w:r>
          </w:p>
        </w:tc>
        <w:tc>
          <w:tcPr>
            <w:tcW w:w="16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9477A" w14:textId="35A97C78" w:rsidR="0051575A" w:rsidRDefault="00622F9D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26</w:t>
            </w:r>
            <w:r w:rsidR="0051575A">
              <w:rPr>
                <w:color w:val="000000" w:themeColor="text1"/>
                <w:sz w:val="28"/>
                <w:szCs w:val="28"/>
              </w:rPr>
              <w:t>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80C8F" w14:textId="275E4545" w:rsidR="0051575A" w:rsidRDefault="00622F9D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1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7987" w14:textId="5D5E593B" w:rsidR="0051575A" w:rsidRDefault="00622F9D">
            <w:pPr>
              <w:spacing w:before="120"/>
              <w:ind w:firstLine="709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3</w:t>
            </w:r>
            <w:r w:rsidR="0051575A">
              <w:rPr>
                <w:sz w:val="28"/>
                <w:szCs w:val="28"/>
                <w:lang w:val="en-US"/>
              </w:rPr>
              <w:t>0</w:t>
            </w:r>
            <w:r w:rsidR="0051575A">
              <w:rPr>
                <w:sz w:val="28"/>
                <w:szCs w:val="28"/>
              </w:rPr>
              <w:t>00</w:t>
            </w:r>
          </w:p>
        </w:tc>
      </w:tr>
    </w:tbl>
    <w:p w14:paraId="6C1BFE24" w14:textId="77777777" w:rsidR="0051575A" w:rsidRDefault="0051575A" w:rsidP="0051575A">
      <w:pPr>
        <w:ind w:firstLine="709"/>
        <w:jc w:val="both"/>
        <w:rPr>
          <w:rFonts w:eastAsia="Times New Roman"/>
          <w:color w:val="000000" w:themeColor="text1"/>
          <w:sz w:val="28"/>
          <w:szCs w:val="28"/>
          <w:lang w:eastAsia="ru-RU"/>
        </w:rPr>
      </w:pPr>
    </w:p>
    <w:p w14:paraId="08F18C30" w14:textId="77777777" w:rsidR="0051575A" w:rsidRDefault="0051575A" w:rsidP="0051575A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(2.1), эффективность функционирования объекта с учетом воздействия несанкционированного доступа:</w:t>
      </w:r>
    </w:p>
    <w:p w14:paraId="359BD080" w14:textId="77777777" w:rsidR="0051575A" w:rsidRDefault="0051575A" w:rsidP="0051575A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</m:t>
          </m:r>
        </m:oMath>
      </m:oMathPara>
    </w:p>
    <w:p w14:paraId="359A87C8" w14:textId="77A8EEC8" w:rsidR="0051575A" w:rsidRDefault="0051575A" w:rsidP="0051575A">
      <w:pPr>
        <w:spacing w:before="120" w:after="120"/>
        <w:ind w:firstLine="709"/>
        <w:jc w:val="center"/>
        <w:rPr>
          <w:rFonts w:eastAsiaTheme="minorEastAsia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E=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-E=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32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26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6</m:t>
          </m:r>
          <m:r>
            <w:rPr>
              <w:rFonts w:ascii="Cambria Math" w:hAnsi="Cambria Math"/>
              <w:color w:val="000000" w:themeColor="text1"/>
              <w:sz w:val="28"/>
              <w:szCs w:val="28"/>
              <w:lang w:val="en-US"/>
            </w:rPr>
            <m:t>000</m:t>
          </m:r>
        </m:oMath>
      </m:oMathPara>
    </w:p>
    <w:p w14:paraId="0457CFDD" w14:textId="77777777" w:rsidR="0051575A" w:rsidRDefault="0051575A" w:rsidP="0051575A">
      <w:pPr>
        <w:pStyle w:val="BodyTextIndent3"/>
        <w:spacing w:line="240" w:lineRule="auto"/>
        <w:rPr>
          <w:rFonts w:eastAsia="Times New Roman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(2.2), относительная эффективность:</w:t>
      </w:r>
    </w:p>
    <w:p w14:paraId="37CDFA59" w14:textId="19E8F0B3" w:rsidR="0051575A" w:rsidRDefault="0051575A" w:rsidP="0051575A">
      <w:pPr>
        <w:pStyle w:val="BodyTextIndent3"/>
        <w:spacing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δ=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E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26000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32</m:t>
              </m:r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81</m:t>
          </m:r>
        </m:oMath>
      </m:oMathPara>
    </w:p>
    <w:p w14:paraId="7409F07C" w14:textId="77777777" w:rsidR="0051575A" w:rsidRDefault="0051575A" w:rsidP="0051575A">
      <w:pPr>
        <w:pStyle w:val="BodyTextIndent3"/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Согласно формуле (2.4), снижение эффективности функциональности объекта при наличии средств защиты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∆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 w:themeColor="text1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 xml:space="preserve"> равно:</w:t>
      </w:r>
    </w:p>
    <w:p w14:paraId="3C5BC22D" w14:textId="569764FC" w:rsidR="0051575A" w:rsidRDefault="0051575A" w:rsidP="0051575A">
      <w:pPr>
        <w:pStyle w:val="BodyTextIndent3"/>
        <w:spacing w:line="240" w:lineRule="auto"/>
        <w:jc w:val="center"/>
        <w:rPr>
          <w:i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/>
              <w:color w:val="000000" w:themeColor="text1"/>
              <w:sz w:val="28"/>
              <w:szCs w:val="28"/>
            </w:rPr>
            <m:t>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</m:t>
          </m:r>
        </m:oMath>
      </m:oMathPara>
    </w:p>
    <w:p w14:paraId="27351F60" w14:textId="77777777" w:rsidR="0051575A" w:rsidRDefault="0051575A" w:rsidP="0051575A">
      <w:pPr>
        <w:pStyle w:val="BodyTextIndent3"/>
        <w:spacing w:line="24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(2.5), выражение для эффективности и относительной эффективности примут вид:</w:t>
      </w:r>
    </w:p>
    <w:p w14:paraId="3C017659" w14:textId="4C5D30AB" w:rsidR="0051575A" w:rsidRDefault="0051575A" w:rsidP="0051575A">
      <w:pPr>
        <w:pStyle w:val="BodyTextIndent3"/>
        <w:spacing w:line="240" w:lineRule="auto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-∆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10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00=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 xml:space="preserve"> 31000</m:t>
          </m:r>
        </m:oMath>
      </m:oMathPara>
    </w:p>
    <w:p w14:paraId="1F261152" w14:textId="73A2F4E0" w:rsidR="0051575A" w:rsidRDefault="0051575A" w:rsidP="0051575A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з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31000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32000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=0, 9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7</m:t>
          </m:r>
        </m:oMath>
      </m:oMathPara>
    </w:p>
    <w:p w14:paraId="12733A3A" w14:textId="77777777" w:rsidR="0051575A" w:rsidRDefault="0051575A" w:rsidP="0051575A">
      <w:pPr>
        <w:spacing w:before="120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Согласно формуле (2.9), непосредственно изменяет эффективность:</w:t>
      </w:r>
    </w:p>
    <w:p w14:paraId="698D88D4" w14:textId="6CE79AF9" w:rsidR="0051575A" w:rsidRDefault="0051575A" w:rsidP="0051575A">
      <w:pPr>
        <w:spacing w:before="120" w:after="120"/>
        <w:ind w:firstLine="709"/>
        <w:jc w:val="center"/>
        <w:rPr>
          <w:color w:val="000000" w:themeColor="text1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з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Е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∆Е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К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-С=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2000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  <m: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000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8"/>
                  <w:szCs w:val="28"/>
                </w:rPr>
                <m:t>6</m:t>
              </m:r>
            </m:den>
          </m:f>
          <m:r>
            <w:rPr>
              <w:rFonts w:ascii="Cambria Math" w:hAnsi="Cambria Math"/>
              <w:color w:val="000000" w:themeColor="text1"/>
              <w:sz w:val="28"/>
              <w:szCs w:val="28"/>
            </w:rPr>
            <m:t>-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3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 w:val="28"/>
              <w:szCs w:val="28"/>
            </w:rPr>
            <m:t>000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=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280</m:t>
          </m:r>
          <m:r>
            <w:rPr>
              <w:rFonts w:ascii="Cambria Math" w:hAnsi="Cambria Math"/>
              <w:color w:val="000000" w:themeColor="text1"/>
              <w:sz w:val="28"/>
              <w:szCs w:val="28"/>
            </w:rPr>
            <m:t>00</m:t>
          </m:r>
        </m:oMath>
      </m:oMathPara>
    </w:p>
    <w:p w14:paraId="61730EDA" w14:textId="77777777" w:rsidR="00622F9D" w:rsidRDefault="00622F9D" w:rsidP="0051575A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2328E53E" w14:textId="4F036276" w:rsidR="00254271" w:rsidRDefault="0051575A" w:rsidP="00622F9D">
      <w:pPr>
        <w:ind w:firstLine="709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lang w:eastAsia="be-BY"/>
        </w:rPr>
        <w:t>Вывод:</w:t>
      </w:r>
      <w:r w:rsidR="00622F9D">
        <w:rPr>
          <w:b/>
          <w:bCs/>
          <w:color w:val="000000" w:themeColor="text1"/>
          <w:sz w:val="28"/>
          <w:szCs w:val="28"/>
          <w:lang w:eastAsia="be-BY"/>
        </w:rPr>
        <w:t xml:space="preserve"> </w:t>
      </w:r>
      <w:r>
        <w:rPr>
          <w:color w:val="000000" w:themeColor="text1"/>
          <w:sz w:val="28"/>
          <w:szCs w:val="28"/>
        </w:rPr>
        <w:t xml:space="preserve">По итогам проведённых вычислений было получено, что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з</m:t>
            </m:r>
          </m:sub>
        </m:sSub>
      </m:oMath>
      <w:r>
        <w:rPr>
          <w:color w:val="000000" w:themeColor="text1"/>
          <w:sz w:val="28"/>
          <w:szCs w:val="28"/>
        </w:rPr>
        <w:t>&gt;Е, а это значит, что для обеспечения максимальной эффективности объекта защита эффективна.</w:t>
      </w:r>
    </w:p>
    <w:p w14:paraId="4FE51598" w14:textId="227A420F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47450B1F" w14:textId="3EC87DA7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2C893DE5" w14:textId="281845F2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464020E4" w14:textId="253AABB6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56DA39A3" w14:textId="0CE1F7DC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53EE7E00" w14:textId="7F649FFC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525A8C85" w14:textId="76CD9B76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48D1F334" w14:textId="396BFD1D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7EDA1899" w14:textId="0FEEA856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51BC9D5E" w14:textId="4BEE0CD8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066F9151" w14:textId="0126718C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3ADEC646" w14:textId="0F695109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565690E6" w14:textId="52019E19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231AF70E" w14:textId="5C84A2FC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3E7967C4" w14:textId="528E96A1" w:rsidR="00C86353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eastAsia="be-BY"/>
        </w:rPr>
      </w:pPr>
    </w:p>
    <w:p w14:paraId="433582D1" w14:textId="77777777" w:rsidR="00C86353" w:rsidRPr="00DD7D84" w:rsidRDefault="00C86353" w:rsidP="00622F9D">
      <w:pPr>
        <w:ind w:firstLine="709"/>
        <w:jc w:val="both"/>
        <w:rPr>
          <w:b/>
          <w:bCs/>
          <w:color w:val="000000" w:themeColor="text1"/>
          <w:sz w:val="28"/>
          <w:szCs w:val="28"/>
          <w:lang w:val="en-US" w:eastAsia="be-BY"/>
        </w:rPr>
      </w:pPr>
      <w:bookmarkStart w:id="7" w:name="_GoBack"/>
      <w:bookmarkEnd w:id="7"/>
    </w:p>
    <w:sectPr w:rsidR="00C86353" w:rsidRPr="00DD7D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43BD4"/>
    <w:multiLevelType w:val="hybridMultilevel"/>
    <w:tmpl w:val="AC0A94FE"/>
    <w:lvl w:ilvl="0" w:tplc="F16C8444">
      <w:start w:val="1"/>
      <w:numFmt w:val="bullet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47F"/>
    <w:rsid w:val="00254271"/>
    <w:rsid w:val="0051575A"/>
    <w:rsid w:val="00622F9D"/>
    <w:rsid w:val="0070573F"/>
    <w:rsid w:val="00B74938"/>
    <w:rsid w:val="00C86353"/>
    <w:rsid w:val="00DD7D84"/>
    <w:rsid w:val="00F5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02549"/>
  <w15:chartTrackingRefBased/>
  <w15:docId w15:val="{8FF3B949-E587-4F6C-9AA8-DB41341D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254271"/>
    <w:pPr>
      <w:widowControl w:val="0"/>
      <w:snapToGrid w:val="0"/>
      <w:spacing w:after="120" w:line="240" w:lineRule="auto"/>
      <w:ind w:firstLine="425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5427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1575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1575A"/>
    <w:rPr>
      <w:sz w:val="16"/>
      <w:szCs w:val="16"/>
    </w:rPr>
  </w:style>
  <w:style w:type="character" w:customStyle="1" w:styleId="ListParagraphChar">
    <w:name w:val="List Paragraph Char"/>
    <w:aliases w:val="подрисуночная подпись Char,Содержание Char"/>
    <w:basedOn w:val="DefaultParagraphFont"/>
    <w:link w:val="ListParagraph"/>
    <w:uiPriority w:val="34"/>
    <w:locked/>
    <w:rsid w:val="0051575A"/>
    <w:rPr>
      <w:lang w:val="be-BY"/>
    </w:rPr>
  </w:style>
  <w:style w:type="paragraph" w:styleId="ListParagraph">
    <w:name w:val="List Paragraph"/>
    <w:aliases w:val="подрисуночная подпись,Содержание"/>
    <w:basedOn w:val="Normal"/>
    <w:link w:val="ListParagraphChar"/>
    <w:uiPriority w:val="34"/>
    <w:qFormat/>
    <w:rsid w:val="0051575A"/>
    <w:pPr>
      <w:spacing w:line="256" w:lineRule="auto"/>
      <w:ind w:left="720"/>
      <w:contextualSpacing/>
    </w:pPr>
    <w:rPr>
      <w:lang w:val="be-BY"/>
    </w:rPr>
  </w:style>
  <w:style w:type="paragraph" w:customStyle="1" w:styleId="a">
    <w:name w:val="Таблица"/>
    <w:basedOn w:val="Normal"/>
    <w:autoRedefine/>
    <w:rsid w:val="0051575A"/>
    <w:pPr>
      <w:snapToGrid w:val="0"/>
      <w:spacing w:after="120" w:line="288" w:lineRule="auto"/>
      <w:ind w:left="-1342" w:firstLine="709"/>
      <w:jc w:val="center"/>
    </w:pPr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table" w:styleId="TableGrid">
    <w:name w:val="Table Grid"/>
    <w:basedOn w:val="TableNormal"/>
    <w:uiPriority w:val="59"/>
    <w:rsid w:val="0051575A"/>
    <w:pPr>
      <w:spacing w:after="0" w:line="240" w:lineRule="auto"/>
    </w:pPr>
    <w:rPr>
      <w:lang w:val="be-BY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Nechay</dc:creator>
  <cp:keywords/>
  <dc:description/>
  <cp:lastModifiedBy>Denis Nechay</cp:lastModifiedBy>
  <cp:revision>2</cp:revision>
  <dcterms:created xsi:type="dcterms:W3CDTF">2022-09-09T11:53:00Z</dcterms:created>
  <dcterms:modified xsi:type="dcterms:W3CDTF">2022-09-09T14:53:00Z</dcterms:modified>
</cp:coreProperties>
</file>