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Orket Behavioral Truth Code Review</w:t>
      </w:r>
    </w:p>
    <w:p>
      <w:pPr>
        <w:pStyle w:val="SubtitleCustom"/>
      </w:pPr>
      <w:r>
        <w:t>A “help Jon get back on track” audit focused on behavioral lies: runtime semantics, control flow, fallbacks, async behavior, tests, and proof surfaces.</w:t>
      </w:r>
    </w:p>
    <w:tbl>
      <w:tblPr>
        <w:tblW w:type="auto" w:w="0"/>
        <w:jc w:val="left"/>
        <w:tblLayout w:type="fixed"/>
        <w:tblLook w:firstColumn="1" w:firstRow="1" w:lastColumn="0" w:lastRow="0" w:noHBand="0" w:noVBand="1" w:val="04A0"/>
      </w:tblPr>
      <w:tblGrid>
        <w:gridCol w:w="2304"/>
        <w:gridCol w:w="7056"/>
      </w:tblGrid>
      <w:tr>
        <w:tc>
          <w:tcPr>
            <w:tcW w:type="dxa" w:w="2304"/>
            <w:vAlign w:val="center"/>
            <w:shd w:fill="1F4E78"/>
          </w:tcPr>
          <w:p>
            <w:pPr>
              <w:spacing w:after="0"/>
            </w:pPr>
            <w:r/>
            <w:r>
              <w:rPr>
                <w:rFonts w:ascii="Aptos" w:hAnsi="Aptos"/>
                <w:b/>
                <w:color w:val="FFFFFF"/>
                <w:sz w:val="20"/>
              </w:rPr>
              <w:t>Scope</w:t>
            </w:r>
          </w:p>
        </w:tc>
        <w:tc>
          <w:tcPr>
            <w:tcW w:type="dxa" w:w="7056"/>
            <w:vAlign w:val="center"/>
          </w:tcPr>
          <w:p>
            <w:pPr>
              <w:spacing w:after="0"/>
            </w:pPr>
            <w:r/>
            <w:r>
              <w:rPr>
                <w:rFonts w:ascii="Aptos" w:hAnsi="Aptos"/>
                <w:b w:val="0"/>
                <w:sz w:val="20"/>
              </w:rPr>
              <w:t>Uploaded repository dump only; this review is grounded in the visible code and tests in project_dump.txt.</w:t>
            </w:r>
          </w:p>
        </w:tc>
      </w:tr>
      <w:tr>
        <w:tc>
          <w:tcPr>
            <w:tcW w:type="dxa" w:w="2304"/>
            <w:vAlign w:val="center"/>
            <w:shd w:fill="1F4E78"/>
          </w:tcPr>
          <w:p>
            <w:pPr>
              <w:spacing w:after="0"/>
            </w:pPr>
            <w:r/>
            <w:r>
              <w:rPr>
                <w:rFonts w:ascii="Aptos" w:hAnsi="Aptos"/>
                <w:b/>
                <w:color w:val="FFFFFF"/>
                <w:sz w:val="20"/>
              </w:rPr>
              <w:t>Review frame</w:t>
            </w:r>
          </w:p>
        </w:tc>
        <w:tc>
          <w:tcPr>
            <w:tcW w:type="dxa" w:w="7056"/>
            <w:vAlign w:val="center"/>
          </w:tcPr>
          <w:p>
            <w:pPr>
              <w:spacing w:after="0"/>
            </w:pPr>
            <w:r/>
            <w:r>
              <w:rPr>
                <w:rFonts w:ascii="Aptos" w:hAnsi="Aptos"/>
                <w:b w:val="0"/>
                <w:sz w:val="20"/>
              </w:rPr>
              <w:t>Ignore broad architecture/style unless it directly causes incorrect behavior, false confidence, or semantic drift.</w:t>
            </w:r>
          </w:p>
        </w:tc>
      </w:tr>
    </w:tbl>
    <w:p/>
    <w:p>
      <w:pPr>
        <w:pStyle w:val="Heading1Custom"/>
      </w:pPr>
      <w:r>
        <w:t>Executive Summary</w:t>
      </w:r>
    </w:p>
    <w:p>
      <w:pPr>
        <w:pStyle w:val="BodyCustom"/>
      </w:pPr>
      <w:r>
        <w:t>This review looks for places where Orket’s code, tests, workflows, or surrounding narration imply one thing while the observable behavior suggests another. The goal is not to punish exploration or rough edges. The goal is to find self-deception debt: places where the repo can feel more correct, more proven, or more settled than it actually is.</w:t>
      </w:r>
    </w:p>
    <w:p>
      <w:pPr>
        <w:pStyle w:val="BodyCustom"/>
      </w:pPr>
      <w:r>
        <w:t>The strongest current pattern is not one catastrophic runtime defect. It is false confidence around important seams. Several areas now appear more truthful than older reviews suggested, but the remaining trouble spots cluster around proof quality, workflow correctness, and action-surface mismatch.</w:t>
      </w:r>
    </w:p>
    <w:p>
      <w:pPr>
        <w:pStyle w:val="BodyCustom"/>
      </w:pPr>
      <w:r>
        <w:t>My headline judgment is: Orket has improved its behavioral truthfulness in a few important places, especially around assign_team wording, startup naming, reforge CLI reachability, and engine recommendation logic. However, the repo still carries meaningful self-deception debt in five main areas: startup-path tests that bypass real startup behavior, a concrete workflow path mismatch that can prevent artifact creation, a driver action vocabulary that is still narrower than the surrounding user experience suggests, a high-risk runtime-context bridge whose proof surface is visibly still in flight, and release/changelog narration that overclaims cleanliness or consistency.</w:t>
      </w:r>
    </w:p>
    <w:p>
      <w:pPr>
        <w:pStyle w:val="Heading1Custom"/>
      </w:pPr>
      <w:r>
        <w:t>Ranked Findings</w:t>
      </w:r>
    </w:p>
    <w:tbl>
      <w:tblPr>
        <w:tblW w:type="auto" w:w="0"/>
        <w:jc w:val="center"/>
        <w:tblLayout w:type="fixed"/>
        <w:tblLook w:firstColumn="1" w:firstRow="1" w:lastColumn="0" w:lastRow="0" w:noHBand="0" w:noVBand="1" w:val="04A0"/>
      </w:tblPr>
      <w:tblGrid>
        <w:gridCol w:w="1152"/>
        <w:gridCol w:w="3168"/>
        <w:gridCol w:w="2448"/>
        <w:gridCol w:w="3024"/>
      </w:tblGrid>
      <w:tr>
        <w:tc>
          <w:tcPr>
            <w:tcW w:type="dxa" w:w="2484"/>
            <w:vAlign w:val="center"/>
            <w:shd w:fill="1F4E78"/>
          </w:tcPr>
          <w:p>
            <w:pPr>
              <w:spacing w:after="0"/>
            </w:pPr>
            <w:r/>
            <w:r>
              <w:rPr>
                <w:rFonts w:ascii="Aptos" w:hAnsi="Aptos"/>
                <w:b/>
                <w:color w:val="FFFFFF"/>
                <w:sz w:val="20"/>
              </w:rPr>
              <w:t>Priority</w:t>
            </w:r>
          </w:p>
        </w:tc>
        <w:tc>
          <w:tcPr>
            <w:tcW w:type="dxa" w:w="2484"/>
            <w:vAlign w:val="center"/>
            <w:shd w:fill="1F4E78"/>
          </w:tcPr>
          <w:p>
            <w:pPr>
              <w:spacing w:after="0"/>
            </w:pPr>
            <w:r/>
            <w:r>
              <w:rPr>
                <w:rFonts w:ascii="Aptos" w:hAnsi="Aptos"/>
                <w:b/>
                <w:color w:val="FFFFFF"/>
                <w:sz w:val="20"/>
              </w:rPr>
              <w:t>Finding</w:t>
            </w:r>
          </w:p>
        </w:tc>
        <w:tc>
          <w:tcPr>
            <w:tcW w:type="dxa" w:w="2484"/>
            <w:vAlign w:val="center"/>
            <w:shd w:fill="1F4E78"/>
          </w:tcPr>
          <w:p>
            <w:pPr>
              <w:spacing w:after="0"/>
            </w:pPr>
            <w:r/>
            <w:r>
              <w:rPr>
                <w:rFonts w:ascii="Aptos" w:hAnsi="Aptos"/>
                <w:b/>
                <w:color w:val="FFFFFF"/>
                <w:sz w:val="20"/>
              </w:rPr>
              <w:t>Severity</w:t>
            </w:r>
          </w:p>
        </w:tc>
        <w:tc>
          <w:tcPr>
            <w:tcW w:type="dxa" w:w="2484"/>
            <w:vAlign w:val="center"/>
            <w:shd w:fill="1F4E78"/>
          </w:tcPr>
          <w:p>
            <w:pPr>
              <w:spacing w:after="0"/>
            </w:pPr>
            <w:r/>
            <w:r>
              <w:rPr>
                <w:rFonts w:ascii="Aptos" w:hAnsi="Aptos"/>
                <w:b/>
                <w:color w:val="FFFFFF"/>
                <w:sz w:val="20"/>
              </w:rPr>
              <w:t>Primary files</w:t>
            </w:r>
          </w:p>
        </w:tc>
      </w:tr>
      <w:tr>
        <w:tc>
          <w:tcPr>
            <w:tcW w:type="dxa" w:w="1152"/>
            <w:vAlign w:val="center"/>
          </w:tcPr>
          <w:p>
            <w:pPr>
              <w:spacing w:after="0"/>
            </w:pPr>
            <w:r/>
            <w:r>
              <w:rPr>
                <w:rFonts w:ascii="Aptos" w:hAnsi="Aptos"/>
                <w:b/>
                <w:sz w:val="20"/>
              </w:rPr>
              <w:t>1</w:t>
            </w:r>
          </w:p>
        </w:tc>
        <w:tc>
          <w:tcPr>
            <w:tcW w:type="dxa" w:w="3168"/>
            <w:vAlign w:val="center"/>
          </w:tcPr>
          <w:p>
            <w:pPr>
              <w:spacing w:after="0"/>
            </w:pPr>
            <w:r/>
            <w:r>
              <w:rPr>
                <w:rFonts w:ascii="Aptos" w:hAnsi="Aptos"/>
                <w:b w:val="0"/>
                <w:sz w:val="20"/>
              </w:rPr>
              <w:t>CLI startup tests bypass real startup behavior</w:t>
            </w:r>
          </w:p>
        </w:tc>
        <w:tc>
          <w:tcPr>
            <w:tcW w:type="dxa" w:w="2448"/>
            <w:vAlign w:val="center"/>
          </w:tcPr>
          <w:p>
            <w:pPr>
              <w:spacing w:after="0"/>
            </w:pPr>
            <w:r/>
            <w:r>
              <w:rPr>
                <w:rFonts w:ascii="Aptos" w:hAnsi="Aptos"/>
                <w:b/>
                <w:sz w:val="20"/>
              </w:rPr>
              <w:t>High</w:t>
            </w:r>
          </w:p>
        </w:tc>
        <w:tc>
          <w:tcPr>
            <w:tcW w:type="dxa" w:w="3024"/>
            <w:vAlign w:val="center"/>
          </w:tcPr>
          <w:p>
            <w:pPr>
              <w:spacing w:after="0"/>
            </w:pPr>
            <w:r/>
            <w:r>
              <w:rPr>
                <w:rFonts w:ascii="Aptos" w:hAnsi="Aptos"/>
                <w:b w:val="0"/>
                <w:sz w:val="20"/>
              </w:rPr>
              <w:t>tests/interfaces/test_cli_protocol_parity_campaign.py; tests/interfaces/test_cli_protocol_replay.py; orket/discovery.py</w:t>
            </w:r>
          </w:p>
        </w:tc>
      </w:tr>
      <w:tr>
        <w:tc>
          <w:tcPr>
            <w:tcW w:type="dxa" w:w="1152"/>
            <w:vAlign w:val="center"/>
          </w:tcPr>
          <w:p>
            <w:pPr>
              <w:spacing w:after="0"/>
            </w:pPr>
            <w:r/>
            <w:r>
              <w:rPr>
                <w:rFonts w:ascii="Aptos" w:hAnsi="Aptos"/>
                <w:b/>
                <w:sz w:val="20"/>
              </w:rPr>
              <w:t>2</w:t>
            </w:r>
          </w:p>
        </w:tc>
        <w:tc>
          <w:tcPr>
            <w:tcW w:type="dxa" w:w="3168"/>
            <w:vAlign w:val="center"/>
          </w:tcPr>
          <w:p>
            <w:pPr>
              <w:spacing w:after="0"/>
            </w:pPr>
            <w:r/>
            <w:r>
              <w:rPr>
                <w:rFonts w:ascii="Aptos" w:hAnsi="Aptos"/>
                <w:b w:val="0"/>
                <w:sz w:val="20"/>
              </w:rPr>
              <w:t>Weekly baseline retention workflow prepares one directory and writes to another</w:t>
            </w:r>
          </w:p>
        </w:tc>
        <w:tc>
          <w:tcPr>
            <w:tcW w:type="dxa" w:w="2448"/>
            <w:vAlign w:val="center"/>
          </w:tcPr>
          <w:p>
            <w:pPr>
              <w:spacing w:after="0"/>
            </w:pPr>
            <w:r/>
            <w:r>
              <w:rPr>
                <w:rFonts w:ascii="Aptos" w:hAnsi="Aptos"/>
                <w:b/>
                <w:sz w:val="20"/>
              </w:rPr>
              <w:t>High</w:t>
            </w:r>
          </w:p>
        </w:tc>
        <w:tc>
          <w:tcPr>
            <w:tcW w:type="dxa" w:w="3024"/>
            <w:vAlign w:val="center"/>
          </w:tcPr>
          <w:p>
            <w:pPr>
              <w:spacing w:after="0"/>
            </w:pPr>
            <w:r/>
            <w:r>
              <w:rPr>
                <w:rFonts w:ascii="Aptos" w:hAnsi="Aptos"/>
                <w:b w:val="0"/>
                <w:sz w:val="20"/>
              </w:rPr>
              <w:t xml:space="preserve"> .gitea/workflows/baseline-retention-weekly.yml</w:t>
            </w:r>
          </w:p>
        </w:tc>
      </w:tr>
      <w:tr>
        <w:tc>
          <w:tcPr>
            <w:tcW w:type="dxa" w:w="1152"/>
            <w:vAlign w:val="center"/>
          </w:tcPr>
          <w:p>
            <w:pPr>
              <w:spacing w:after="0"/>
            </w:pPr>
            <w:r/>
            <w:r>
              <w:rPr>
                <w:rFonts w:ascii="Aptos" w:hAnsi="Aptos"/>
                <w:b/>
                <w:sz w:val="20"/>
              </w:rPr>
              <w:t>3</w:t>
            </w:r>
          </w:p>
        </w:tc>
        <w:tc>
          <w:tcPr>
            <w:tcW w:type="dxa" w:w="3168"/>
            <w:vAlign w:val="center"/>
          </w:tcPr>
          <w:p>
            <w:pPr>
              <w:spacing w:after="0"/>
            </w:pPr>
            <w:r/>
            <w:r>
              <w:rPr>
                <w:rFonts w:ascii="Aptos" w:hAnsi="Aptos"/>
                <w:b w:val="0"/>
                <w:sz w:val="20"/>
              </w:rPr>
              <w:t>Driver action surface remains narrower than its surrounding UX implies</w:t>
            </w:r>
          </w:p>
        </w:tc>
        <w:tc>
          <w:tcPr>
            <w:tcW w:type="dxa" w:w="2448"/>
            <w:vAlign w:val="center"/>
          </w:tcPr>
          <w:p>
            <w:pPr>
              <w:spacing w:after="0"/>
            </w:pPr>
            <w:r/>
            <w:r>
              <w:rPr>
                <w:rFonts w:ascii="Aptos" w:hAnsi="Aptos"/>
                <w:b/>
                <w:sz w:val="20"/>
              </w:rPr>
              <w:t>Medium-High</w:t>
            </w:r>
          </w:p>
        </w:tc>
        <w:tc>
          <w:tcPr>
            <w:tcW w:type="dxa" w:w="3024"/>
            <w:vAlign w:val="center"/>
          </w:tcPr>
          <w:p>
            <w:pPr>
              <w:spacing w:after="0"/>
            </w:pPr>
            <w:r/>
            <w:r>
              <w:rPr>
                <w:rFonts w:ascii="Aptos" w:hAnsi="Aptos"/>
                <w:b w:val="0"/>
                <w:sz w:val="20"/>
              </w:rPr>
              <w:t>orket/driver.py</w:t>
            </w:r>
          </w:p>
        </w:tc>
      </w:tr>
      <w:tr>
        <w:tc>
          <w:tcPr>
            <w:tcW w:type="dxa" w:w="1152"/>
            <w:vAlign w:val="center"/>
          </w:tcPr>
          <w:p>
            <w:pPr>
              <w:spacing w:after="0"/>
            </w:pPr>
            <w:r/>
            <w:r>
              <w:rPr>
                <w:rFonts w:ascii="Aptos" w:hAnsi="Aptos"/>
                <w:b/>
                <w:sz w:val="20"/>
              </w:rPr>
              <w:t>4</w:t>
            </w:r>
          </w:p>
        </w:tc>
        <w:tc>
          <w:tcPr>
            <w:tcW w:type="dxa" w:w="3168"/>
            <w:vAlign w:val="center"/>
          </w:tcPr>
          <w:p>
            <w:pPr>
              <w:spacing w:after="0"/>
            </w:pPr>
            <w:r/>
            <w:r>
              <w:rPr>
                <w:rFonts w:ascii="Aptos" w:hAnsi="Aptos"/>
                <w:b w:val="0"/>
                <w:sz w:val="20"/>
              </w:rPr>
              <w:t>Runtime-context bridge is important but proof is visibly mid-flight</w:t>
            </w:r>
          </w:p>
        </w:tc>
        <w:tc>
          <w:tcPr>
            <w:tcW w:type="dxa" w:w="2448"/>
            <w:vAlign w:val="center"/>
          </w:tcPr>
          <w:p>
            <w:pPr>
              <w:spacing w:after="0"/>
            </w:pPr>
            <w:r/>
            <w:r>
              <w:rPr>
                <w:rFonts w:ascii="Aptos" w:hAnsi="Aptos"/>
                <w:b/>
                <w:sz w:val="20"/>
              </w:rPr>
              <w:t>Medium</w:t>
            </w:r>
          </w:p>
        </w:tc>
        <w:tc>
          <w:tcPr>
            <w:tcW w:type="dxa" w:w="3024"/>
            <w:vAlign w:val="center"/>
          </w:tcPr>
          <w:p>
            <w:pPr>
              <w:spacing w:after="0"/>
            </w:pPr>
            <w:r/>
            <w:r>
              <w:rPr>
                <w:rFonts w:ascii="Aptos" w:hAnsi="Aptos"/>
                <w:b w:val="0"/>
                <w:sz w:val="20"/>
              </w:rPr>
              <w:t>orket/application/workflows/turn_executor_runtime.py; tests/adapters/test_model_invocation.py; tests/application/test_turn_executor_runtime_context_bridge.py; review-git-status.txt</w:t>
            </w:r>
          </w:p>
        </w:tc>
      </w:tr>
      <w:tr>
        <w:tc>
          <w:tcPr>
            <w:tcW w:type="dxa" w:w="1152"/>
            <w:vAlign w:val="center"/>
          </w:tcPr>
          <w:p>
            <w:pPr>
              <w:spacing w:after="0"/>
            </w:pPr>
            <w:r/>
            <w:r>
              <w:rPr>
                <w:rFonts w:ascii="Aptos" w:hAnsi="Aptos"/>
                <w:b/>
                <w:sz w:val="20"/>
              </w:rPr>
              <w:t>5</w:t>
            </w:r>
          </w:p>
        </w:tc>
        <w:tc>
          <w:tcPr>
            <w:tcW w:type="dxa" w:w="3168"/>
            <w:vAlign w:val="center"/>
          </w:tcPr>
          <w:p>
            <w:pPr>
              <w:spacing w:after="0"/>
            </w:pPr>
            <w:r/>
            <w:r>
              <w:rPr>
                <w:rFonts w:ascii="Aptos" w:hAnsi="Aptos"/>
                <w:b w:val="0"/>
                <w:sz w:val="20"/>
              </w:rPr>
              <w:t>Release/changelog/version narration overclaims cleanup or consistency</w:t>
            </w:r>
          </w:p>
        </w:tc>
        <w:tc>
          <w:tcPr>
            <w:tcW w:type="dxa" w:w="2448"/>
            <w:vAlign w:val="center"/>
          </w:tcPr>
          <w:p>
            <w:pPr>
              <w:spacing w:after="0"/>
            </w:pPr>
            <w:r/>
            <w:r>
              <w:rPr>
                <w:rFonts w:ascii="Aptos" w:hAnsi="Aptos"/>
                <w:b/>
                <w:sz w:val="20"/>
              </w:rPr>
              <w:t>Medium</w:t>
            </w:r>
          </w:p>
        </w:tc>
        <w:tc>
          <w:tcPr>
            <w:tcW w:type="dxa" w:w="3024"/>
            <w:vAlign w:val="center"/>
          </w:tcPr>
          <w:p>
            <w:pPr>
              <w:spacing w:after="0"/>
            </w:pPr>
            <w:r/>
            <w:r>
              <w:rPr>
                <w:rFonts w:ascii="Aptos" w:hAnsi="Aptos"/>
                <w:b w:val="0"/>
                <w:sz w:val="20"/>
              </w:rPr>
              <w:t>CHANGELOG.md; pyproject.toml; main.py; server.py</w:t>
            </w:r>
          </w:p>
        </w:tc>
      </w:tr>
    </w:tbl>
    <w:p/>
    <w:p>
      <w:pPr>
        <w:pStyle w:val="Heading1Custom"/>
      </w:pPr>
      <w:r>
        <w:t>Method and Limits</w:t>
      </w:r>
    </w:p>
    <w:p>
      <w:pPr>
        <w:pStyle w:val="BodyCustom"/>
      </w:pPr>
      <w:r>
        <w:t>This report is based on the uploaded repo dump, not on live execution against the repository. That means I am reviewing what is visible in code, tests, workflows, changelog text, and embedded git status artifacts. Where a claim depends on unshown code paths or unstaged work, I treat that as a proof gap rather than as a confirmed runtime bug.</w:t>
      </w:r>
    </w:p>
    <w:p>
      <w:pPr>
        <w:pStyle w:val="BulletCustom"/>
      </w:pPr>
      <w:r>
        <w:t xml:space="preserve">• </w:t>
      </w:r>
      <w:r>
        <w:t>I prioritized runtime semantics, control flow, async behavior, fallback behavior, error handling, and tests that can pass without proving the intended layer.</w:t>
      </w:r>
    </w:p>
    <w:p>
      <w:pPr>
        <w:pStyle w:val="BulletCustom"/>
      </w:pPr>
      <w:r>
        <w:t xml:space="preserve">• </w:t>
      </w:r>
      <w:r>
        <w:t>I explicitly deprioritized style or architecture commentary unless it directly changed behavior or created false confidence.</w:t>
      </w:r>
    </w:p>
    <w:p>
      <w:pPr>
        <w:pStyle w:val="BulletCustom"/>
      </w:pPr>
      <w:r>
        <w:t xml:space="preserve">• </w:t>
      </w:r>
      <w:r>
        <w:t>When an earlier archived finding appeared to be fixed in the current snapshot, I marked it as improved rather than repeating stale criticism.</w:t>
      </w:r>
    </w:p>
    <w:p>
      <w:pPr>
        <w:pStyle w:val="Heading1Custom"/>
      </w:pPr>
      <w:r>
        <w:t>1. CLI startup tests are false-green because they monkeypatch away the startup path they appear to exercise</w:t>
      </w:r>
    </w:p>
    <w:tbl>
      <w:tblPr>
        <w:tblW w:type="auto" w:w="0"/>
        <w:jc w:val="left"/>
        <w:tblLayout w:type="fixed"/>
        <w:tblLook w:firstColumn="1" w:firstRow="1" w:lastColumn="0" w:lastRow="0" w:noHBand="0" w:noVBand="1" w:val="04A0"/>
      </w:tblPr>
      <w:tblGrid>
        <w:gridCol w:w="4968"/>
        <w:gridCol w:w="4968"/>
      </w:tblGrid>
      <w:tr>
        <w:tc>
          <w:tcPr>
            <w:tcW w:type="dxa" w:w="1800"/>
            <w:vAlign w:val="center"/>
            <w:shd w:fill="1F4E78"/>
          </w:tcPr>
          <w:p>
            <w:pPr>
              <w:spacing w:after="0"/>
            </w:pPr>
            <w:r/>
            <w:r>
              <w:rPr>
                <w:rFonts w:ascii="Aptos" w:hAnsi="Aptos"/>
                <w:b/>
                <w:color w:val="FFFFFF"/>
                <w:sz w:val="20"/>
              </w:rPr>
              <w:t>Severity</w:t>
            </w:r>
          </w:p>
        </w:tc>
        <w:tc>
          <w:tcPr>
            <w:tcW w:type="dxa" w:w="8568"/>
            <w:vAlign w:val="center"/>
          </w:tcPr>
          <w:p>
            <w:pPr>
              <w:spacing w:after="0"/>
            </w:pPr>
            <w:r/>
            <w:r>
              <w:rPr>
                <w:rFonts w:ascii="Aptos" w:hAnsi="Aptos"/>
                <w:b w:val="0"/>
                <w:sz w:val="20"/>
              </w:rPr>
              <w:t>High</w:t>
            </w:r>
          </w:p>
        </w:tc>
      </w:tr>
      <w:tr>
        <w:tc>
          <w:tcPr>
            <w:tcW w:type="dxa" w:w="1800"/>
            <w:vAlign w:val="center"/>
            <w:shd w:fill="1F4E78"/>
          </w:tcPr>
          <w:p>
            <w:pPr>
              <w:spacing w:after="0"/>
            </w:pPr>
            <w:r/>
            <w:r>
              <w:rPr>
                <w:rFonts w:ascii="Aptos" w:hAnsi="Aptos"/>
                <w:b/>
                <w:color w:val="FFFFFF"/>
                <w:sz w:val="20"/>
              </w:rPr>
              <w:t>Files</w:t>
            </w:r>
          </w:p>
        </w:tc>
        <w:tc>
          <w:tcPr>
            <w:tcW w:type="dxa" w:w="8568"/>
            <w:vAlign w:val="center"/>
          </w:tcPr>
          <w:p>
            <w:pPr>
              <w:spacing w:after="0"/>
            </w:pPr>
            <w:r/>
            <w:r>
              <w:rPr>
                <w:rFonts w:ascii="Aptos" w:hAnsi="Aptos"/>
                <w:b w:val="0"/>
                <w:sz w:val="20"/>
              </w:rPr>
              <w:t>tests/interfaces/test_cli_protocol_parity_campaign.py; tests/interfaces/test_cli_protocol_replay.py; orket/discovery.py</w:t>
            </w:r>
          </w:p>
        </w:tc>
      </w:tr>
    </w:tbl>
    <w:p>
      <w:pPr>
        <w:pStyle w:val="Heading2Custom"/>
      </w:pPr>
      <w:r>
        <w:t>What the code/test presentation suggests</w:t>
      </w:r>
    </w:p>
    <w:p>
      <w:pPr>
        <w:pStyle w:val="BodyCustom"/>
      </w:pPr>
      <w:r>
        <w:t>These tests read like meaningful CLI protocol proofs. Because they invoke the CLI module and run protocol commands, they naturally look like startup-adjacent end-to-end checks.</w:t>
      </w:r>
    </w:p>
    <w:p>
      <w:pPr>
        <w:pStyle w:val="Heading2Custom"/>
      </w:pPr>
      <w:r>
        <w:t>What the code actually does</w:t>
      </w:r>
    </w:p>
    <w:p>
      <w:pPr>
        <w:pStyle w:val="BodyCustom"/>
      </w:pPr>
      <w:r>
        <w:t>Both test files repeatedly do the same thing: monkeypatch.setattr(cli_module, "perform_first_run_setup", lambda: None). That removes the startup setup/reconciliation behavior from the tested path. In the current discovery code, perform_first_run_setup() is not a cosmetic shim; it delegates to perform_startup_checks(), which runs run_startup_reconciliation() and perform_first_run_onboarding().</w:t>
      </w:r>
    </w:p>
    <w:p>
      <w:pPr>
        <w:pStyle w:val="Heading2Custom"/>
      </w:pPr>
      <w:r>
        <w:t>Why this is a behavioral lie</w:t>
      </w:r>
    </w:p>
    <w:p>
      <w:pPr>
        <w:pStyle w:val="BodyCustom"/>
      </w:pPr>
      <w:r>
        <w:t>The test names and execution shape encourage the reader to believe they prove real CLI startup behavior. They do not. They prove protocol behavior with startup semantics disabled. That is not useless, but it is a narrower claim than the tests visually project.</w:t>
      </w:r>
    </w:p>
    <w:p>
      <w:pPr>
        <w:pStyle w:val="Heading2Custom"/>
      </w:pPr>
      <w:r>
        <w:t>Why this matters operationally</w:t>
      </w:r>
    </w:p>
    <w:p>
      <w:pPr>
        <w:pStyle w:val="BodyCustom"/>
      </w:pPr>
      <w:r>
        <w:t>Startup reconciliation is exactly the kind of code that can change environment assumptions, migration behavior, first-run state, and user-visible diagnostics. If the proof skips it, then a green test suite can coexist with real startup drift.</w:t>
      </w:r>
    </w:p>
    <w:p>
      <w:pPr>
        <w:pStyle w:val="Heading2Custom"/>
      </w:pPr>
      <w:r>
        <w:t>How I would fix it</w:t>
      </w:r>
    </w:p>
    <w:p>
      <w:pPr>
        <w:pStyle w:val="BodyCustom"/>
      </w:pPr>
      <w:r>
        <w:t>Keep the fast monkeypatched tests if they are useful for isolating protocol behavior, but add at least one non-monkeypatched startup-path test that verifies the real reconciliation/onboarding path. The important repair is not deleting the existing tests. The repair is labeling them truthfully and adding one test at the real seam.</w:t>
      </w:r>
    </w:p>
    <w:p>
      <w:pPr>
        <w:pStyle w:val="Heading2Custom"/>
      </w:pPr>
      <w:r>
        <w:t>Evidence noted in this snapshot</w:t>
      </w:r>
    </w:p>
    <w:p>
      <w:pPr>
        <w:pStyle w:val="BodyCustom"/>
      </w:pPr>
      <w:r>
        <w:t>The parity campaign tests and replay tests monkeypatch perform_first_run_setup() to a no-op, while discovery.py defines explicit startup functions: run_startup_reconciliation(), perform_first_run_onboarding(), perform_startup_checks(), and perform_first_run_setup() as the wrapper.</w:t>
      </w:r>
    </w:p>
    <w:p>
      <w:pPr>
        <w:pStyle w:val="Heading1Custom"/>
      </w:pPr>
      <w:r>
        <w:t>2. The weekly baseline retention workflow creates one directory but redirects output into another</w:t>
      </w:r>
    </w:p>
    <w:tbl>
      <w:tblPr>
        <w:tblW w:type="auto" w:w="0"/>
        <w:jc w:val="left"/>
        <w:tblLayout w:type="fixed"/>
        <w:tblLook w:firstColumn="1" w:firstRow="1" w:lastColumn="0" w:lastRow="0" w:noHBand="0" w:noVBand="1" w:val="04A0"/>
      </w:tblPr>
      <w:tblGrid>
        <w:gridCol w:w="4968"/>
        <w:gridCol w:w="4968"/>
      </w:tblGrid>
      <w:tr>
        <w:tc>
          <w:tcPr>
            <w:tcW w:type="dxa" w:w="1800"/>
            <w:vAlign w:val="center"/>
            <w:shd w:fill="1F4E78"/>
          </w:tcPr>
          <w:p>
            <w:pPr>
              <w:spacing w:after="0"/>
            </w:pPr>
            <w:r/>
            <w:r>
              <w:rPr>
                <w:rFonts w:ascii="Aptos" w:hAnsi="Aptos"/>
                <w:b/>
                <w:color w:val="FFFFFF"/>
                <w:sz w:val="20"/>
              </w:rPr>
              <w:t>Severity</w:t>
            </w:r>
          </w:p>
        </w:tc>
        <w:tc>
          <w:tcPr>
            <w:tcW w:type="dxa" w:w="8568"/>
            <w:vAlign w:val="center"/>
          </w:tcPr>
          <w:p>
            <w:pPr>
              <w:spacing w:after="0"/>
            </w:pPr>
            <w:r/>
            <w:r>
              <w:rPr>
                <w:rFonts w:ascii="Aptos" w:hAnsi="Aptos"/>
                <w:b w:val="0"/>
                <w:sz w:val="20"/>
              </w:rPr>
              <w:t>High</w:t>
            </w:r>
          </w:p>
        </w:tc>
      </w:tr>
      <w:tr>
        <w:tc>
          <w:tcPr>
            <w:tcW w:type="dxa" w:w="1800"/>
            <w:vAlign w:val="center"/>
            <w:shd w:fill="1F4E78"/>
          </w:tcPr>
          <w:p>
            <w:pPr>
              <w:spacing w:after="0"/>
            </w:pPr>
            <w:r/>
            <w:r>
              <w:rPr>
                <w:rFonts w:ascii="Aptos" w:hAnsi="Aptos"/>
                <w:b/>
                <w:color w:val="FFFFFF"/>
                <w:sz w:val="20"/>
              </w:rPr>
              <w:t>Files</w:t>
            </w:r>
          </w:p>
        </w:tc>
        <w:tc>
          <w:tcPr>
            <w:tcW w:type="dxa" w:w="8568"/>
            <w:vAlign w:val="center"/>
          </w:tcPr>
          <w:p>
            <w:pPr>
              <w:spacing w:after="0"/>
            </w:pPr>
            <w:r/>
            <w:r>
              <w:rPr>
                <w:rFonts w:ascii="Aptos" w:hAnsi="Aptos"/>
                <w:b w:val="0"/>
                <w:sz w:val="20"/>
              </w:rPr>
              <w:t>.gitea/workflows/baseline-retention-weekly.yml</w:t>
            </w:r>
          </w:p>
        </w:tc>
      </w:tr>
    </w:tbl>
    <w:p>
      <w:pPr>
        <w:pStyle w:val="Heading2Custom"/>
      </w:pPr>
      <w:r>
        <w:t>What the workflow appears to claim</w:t>
      </w:r>
    </w:p>
    <w:p>
      <w:pPr>
        <w:pStyle w:val="BodyCustom"/>
      </w:pPr>
      <w:r>
        <w:t>This workflow looks like a simple diagnostic/reporting lane. It says it generates a baseline health summary and a baseline prune plan, then uploads the resulting JSON artifacts.</w:t>
      </w:r>
    </w:p>
    <w:p>
      <w:pPr>
        <w:pStyle w:val="Heading2Custom"/>
      </w:pPr>
      <w:r>
        <w:t>What it actually does</w:t>
      </w:r>
    </w:p>
    <w:p>
      <w:pPr>
        <w:pStyle w:val="BodyCustom"/>
      </w:pPr>
      <w:r>
        <w:t>The first run step creates benchmarks/results/benchmarks/quant_sweep, but redirects command output into benchmarks/results/quant/quant_sweep/baseline_health_weekly.json. The prune step does the same style of redirect into benchmarks/results/quant/quant_sweep/baseline_prune_weekly.json, and the upload step points to that latter directory.</w:t>
      </w:r>
    </w:p>
    <w:p>
      <w:pPr>
        <w:pStyle w:val="Heading2Custom"/>
      </w:pPr>
      <w:r>
        <w:t>Why this is a behavioral lie</w:t>
      </w:r>
    </w:p>
    <w:p>
      <w:pPr>
        <w:pStyle w:val="BodyCustom"/>
      </w:pPr>
      <w:r>
        <w:t>The workflow reads like an artifact-producing job, but the directory it prepares is not the directory it writes to. In shell, output redirection is resolved before the Python command runs. If the write target directory does not already exist, the command line fails before the script can produce the output file.</w:t>
      </w:r>
    </w:p>
    <w:p>
      <w:pPr>
        <w:pStyle w:val="Heading2Custom"/>
      </w:pPr>
      <w:r>
        <w:t>Why this matters operationally</w:t>
      </w:r>
    </w:p>
    <w:p>
      <w:pPr>
        <w:pStyle w:val="BodyCustom"/>
      </w:pPr>
      <w:r>
        <w:t>This is not just narrative drift. It is a concrete correctness bug in workflow behavior. A lane that looks like routine maintenance can silently fail to generate the artifacts it claims to publish.</w:t>
      </w:r>
    </w:p>
    <w:p>
      <w:pPr>
        <w:pStyle w:val="Heading2Custom"/>
      </w:pPr>
      <w:r>
        <w:t>How I would fix it</w:t>
      </w:r>
    </w:p>
    <w:p>
      <w:pPr>
        <w:pStyle w:val="BodyCustom"/>
      </w:pPr>
      <w:r>
        <w:t>Make the mkdir target exactly match the redirect and upload target. Then add a minimal workflow test or CI assertion that verifies the expected artifact paths exist before upload.</w:t>
      </w:r>
    </w:p>
    <w:p>
      <w:pPr>
        <w:pStyle w:val="Heading2Custom"/>
      </w:pPr>
      <w:r>
        <w:t>Evidence noted in this snapshot</w:t>
      </w:r>
    </w:p>
    <w:p>
      <w:pPr>
        <w:pStyle w:val="BodyCustom"/>
      </w:pPr>
      <w:r>
        <w:t>The workflow creates benchmarks/results/benchmarks/quant_sweep and writes/uploads under benchmarks/results/quant/quant_sweep.</w:t>
      </w:r>
    </w:p>
    <w:p>
      <w:pPr>
        <w:pStyle w:val="Heading1Custom"/>
      </w:pPr>
      <w:r>
        <w:t>3. The driver executor still implements a much smaller action vocabulary than the surrounding experience suggests</w:t>
      </w:r>
    </w:p>
    <w:tbl>
      <w:tblPr>
        <w:tblW w:type="auto" w:w="0"/>
        <w:jc w:val="left"/>
        <w:tblLayout w:type="fixed"/>
        <w:tblLook w:firstColumn="1" w:firstRow="1" w:lastColumn="0" w:lastRow="0" w:noHBand="0" w:noVBand="1" w:val="04A0"/>
      </w:tblPr>
      <w:tblGrid>
        <w:gridCol w:w="4968"/>
        <w:gridCol w:w="4968"/>
      </w:tblGrid>
      <w:tr>
        <w:tc>
          <w:tcPr>
            <w:tcW w:type="dxa" w:w="1800"/>
            <w:vAlign w:val="center"/>
            <w:shd w:fill="1F4E78"/>
          </w:tcPr>
          <w:p>
            <w:pPr>
              <w:spacing w:after="0"/>
            </w:pPr>
            <w:r/>
            <w:r>
              <w:rPr>
                <w:rFonts w:ascii="Aptos" w:hAnsi="Aptos"/>
                <w:b/>
                <w:color w:val="FFFFFF"/>
                <w:sz w:val="20"/>
              </w:rPr>
              <w:t>Severity</w:t>
            </w:r>
          </w:p>
        </w:tc>
        <w:tc>
          <w:tcPr>
            <w:tcW w:type="dxa" w:w="8568"/>
            <w:vAlign w:val="center"/>
          </w:tcPr>
          <w:p>
            <w:pPr>
              <w:spacing w:after="0"/>
            </w:pPr>
            <w:r/>
            <w:r>
              <w:rPr>
                <w:rFonts w:ascii="Aptos" w:hAnsi="Aptos"/>
                <w:b w:val="0"/>
                <w:sz w:val="20"/>
              </w:rPr>
              <w:t>Medium-High</w:t>
            </w:r>
          </w:p>
        </w:tc>
      </w:tr>
      <w:tr>
        <w:tc>
          <w:tcPr>
            <w:tcW w:type="dxa" w:w="1800"/>
            <w:vAlign w:val="center"/>
            <w:shd w:fill="1F4E78"/>
          </w:tcPr>
          <w:p>
            <w:pPr>
              <w:spacing w:after="0"/>
            </w:pPr>
            <w:r/>
            <w:r>
              <w:rPr>
                <w:rFonts w:ascii="Aptos" w:hAnsi="Aptos"/>
                <w:b/>
                <w:color w:val="FFFFFF"/>
                <w:sz w:val="20"/>
              </w:rPr>
              <w:t>Files</w:t>
            </w:r>
          </w:p>
        </w:tc>
        <w:tc>
          <w:tcPr>
            <w:tcW w:type="dxa" w:w="8568"/>
            <w:vAlign w:val="center"/>
          </w:tcPr>
          <w:p>
            <w:pPr>
              <w:spacing w:after="0"/>
            </w:pPr>
            <w:r/>
            <w:r>
              <w:rPr>
                <w:rFonts w:ascii="Aptos" w:hAnsi="Aptos"/>
                <w:b w:val="0"/>
                <w:sz w:val="20"/>
              </w:rPr>
              <w:t>orket/driver.py</w:t>
            </w:r>
          </w:p>
        </w:tc>
      </w:tr>
    </w:tbl>
    <w:p>
      <w:pPr>
        <w:pStyle w:val="Heading2Custom"/>
      </w:pPr>
      <w:r>
        <w:t>What the surrounding behavior suggests</w:t>
      </w:r>
    </w:p>
    <w:p>
      <w:pPr>
        <w:pStyle w:val="BodyCustom"/>
      </w:pPr>
      <w:r>
        <w:t>The driver path is presented as a model-directed control surface with structured JSON, explicit actions, and support for structural requests. That naturally suggests a fairly broad execution surface.</w:t>
      </w:r>
    </w:p>
    <w:p>
      <w:pPr>
        <w:pStyle w:val="Heading2Custom"/>
      </w:pPr>
      <w:r>
        <w:t>What the executor actually does</w:t>
      </w:r>
    </w:p>
    <w:p>
      <w:pPr>
        <w:pStyle w:val="BodyCustom"/>
      </w:pPr>
      <w:r>
        <w:t>In the current snapshot, execute_plan() is explicit and honest about unsupported actions, but still narrow in practice. It handles assign_team, turn_directive, conversation aliases, and a small set of structural actions: create_issue, create_epic, create_rock, and adopt_issue. Everything else either returns a provided response string or falls back to generic help.</w:t>
      </w:r>
    </w:p>
    <w:p>
      <w:pPr>
        <w:pStyle w:val="Heading2Custom"/>
      </w:pPr>
      <w:r>
        <w:t>Why this is still a behavioral mismatch</w:t>
      </w:r>
    </w:p>
    <w:p>
      <w:pPr>
        <w:pStyle w:val="BodyCustom"/>
      </w:pPr>
      <w:r>
        <w:t>An action surface can lie without using deceptive words. It can lie by implication. If the prompting and surrounding UX imply a general controller but the executor only honors a small subset, the user receives a false affordance: the feeling that the system can do more than it truly can.</w:t>
      </w:r>
    </w:p>
    <w:p>
      <w:pPr>
        <w:pStyle w:val="Heading2Custom"/>
      </w:pPr>
      <w:r>
        <w:t>What has improved</w:t>
      </w:r>
    </w:p>
    <w:p>
      <w:pPr>
        <w:pStyle w:val="BodyCustom"/>
      </w:pPr>
      <w:r>
        <w:t>This area is better than the older state. The assign_team path now explicitly returns suggestion-only language and says no runtime team switch was applied. That is a meaningful truthfulness repair.</w:t>
      </w:r>
    </w:p>
    <w:p>
      <w:pPr>
        <w:pStyle w:val="Heading2Custom"/>
      </w:pPr>
      <w:r>
        <w:t>What remains wrong</w:t>
      </w:r>
    </w:p>
    <w:p>
      <w:pPr>
        <w:pStyle w:val="BodyCustom"/>
      </w:pPr>
      <w:r>
        <w:t>Even after the wording fix, the gap between the notional action surface and the real execution surface still matters. The best current reading is not that the driver is lying about assign_team anymore; it is that the runtime still presents as more generally operational than the executor actually is.</w:t>
      </w:r>
    </w:p>
    <w:p>
      <w:pPr>
        <w:pStyle w:val="Heading2Custom"/>
      </w:pPr>
      <w:r>
        <w:t>How I would fix it</w:t>
      </w:r>
    </w:p>
    <w:p>
      <w:pPr>
        <w:pStyle w:val="BodyCustom"/>
      </w:pPr>
      <w:r>
        <w:t>Either shrink the prompt and help text until they describe only the supported action set, or expand execute_plan() and downstream logic to cover the action surface the experience implies. In exploratory systems, the smaller and more truthful prompt surface is usually the safer first move.</w:t>
      </w:r>
    </w:p>
    <w:p>
      <w:pPr>
        <w:pStyle w:val="Heading2Custom"/>
      </w:pPr>
      <w:r>
        <w:t>Evidence noted in this snapshot</w:t>
      </w:r>
    </w:p>
    <w:p>
      <w:pPr>
        <w:pStyle w:val="BodyCustom"/>
      </w:pPr>
      <w:r>
        <w:t>execute_plan() explicitly handles assign_team, turn_directive, conversation aliases, and the four structural actions listed above, then falls back to response_text or a generic message.</w:t>
      </w:r>
    </w:p>
    <w:p>
      <w:pPr>
        <w:pStyle w:val="Heading1Custom"/>
      </w:pPr>
      <w:r>
        <w:t>4. The runtime-context bridge is a high-risk semantic seam, but the proof surface is visibly still under construction</w:t>
      </w:r>
    </w:p>
    <w:tbl>
      <w:tblPr>
        <w:tblW w:type="auto" w:w="0"/>
        <w:jc w:val="left"/>
        <w:tblLayout w:type="fixed"/>
        <w:tblLook w:firstColumn="1" w:firstRow="1" w:lastColumn="0" w:lastRow="0" w:noHBand="0" w:noVBand="1" w:val="04A0"/>
      </w:tblPr>
      <w:tblGrid>
        <w:gridCol w:w="4968"/>
        <w:gridCol w:w="4968"/>
      </w:tblGrid>
      <w:tr>
        <w:tc>
          <w:tcPr>
            <w:tcW w:type="dxa" w:w="1800"/>
            <w:vAlign w:val="center"/>
            <w:shd w:fill="1F4E78"/>
          </w:tcPr>
          <w:p>
            <w:pPr>
              <w:spacing w:after="0"/>
            </w:pPr>
            <w:r/>
            <w:r>
              <w:rPr>
                <w:rFonts w:ascii="Aptos" w:hAnsi="Aptos"/>
                <w:b/>
                <w:color w:val="FFFFFF"/>
                <w:sz w:val="20"/>
              </w:rPr>
              <w:t>Severity</w:t>
            </w:r>
          </w:p>
        </w:tc>
        <w:tc>
          <w:tcPr>
            <w:tcW w:type="dxa" w:w="8568"/>
            <w:vAlign w:val="center"/>
          </w:tcPr>
          <w:p>
            <w:pPr>
              <w:spacing w:after="0"/>
            </w:pPr>
            <w:r/>
            <w:r>
              <w:rPr>
                <w:rFonts w:ascii="Aptos" w:hAnsi="Aptos"/>
                <w:b w:val="0"/>
                <w:sz w:val="20"/>
              </w:rPr>
              <w:t>Medium</w:t>
            </w:r>
          </w:p>
        </w:tc>
      </w:tr>
      <w:tr>
        <w:tc>
          <w:tcPr>
            <w:tcW w:type="dxa" w:w="1800"/>
            <w:vAlign w:val="center"/>
            <w:shd w:fill="1F4E78"/>
          </w:tcPr>
          <w:p>
            <w:pPr>
              <w:spacing w:after="0"/>
            </w:pPr>
            <w:r/>
            <w:r>
              <w:rPr>
                <w:rFonts w:ascii="Aptos" w:hAnsi="Aptos"/>
                <w:b/>
                <w:color w:val="FFFFFF"/>
                <w:sz w:val="20"/>
              </w:rPr>
              <w:t>Files</w:t>
            </w:r>
          </w:p>
        </w:tc>
        <w:tc>
          <w:tcPr>
            <w:tcW w:type="dxa" w:w="8568"/>
            <w:vAlign w:val="center"/>
          </w:tcPr>
          <w:p>
            <w:pPr>
              <w:spacing w:after="0"/>
            </w:pPr>
            <w:r/>
            <w:r>
              <w:rPr>
                <w:rFonts w:ascii="Aptos" w:hAnsi="Aptos"/>
                <w:b w:val="0"/>
                <w:sz w:val="20"/>
              </w:rPr>
              <w:t>orket/application/workflows/turn_executor_runtime.py; tests/adapters/test_model_invocation.py; tests/application/test_turn_executor_runtime_context_bridge.py; review-git-status.txt; review-git-diffstat.txt</w:t>
            </w:r>
          </w:p>
        </w:tc>
      </w:tr>
    </w:tbl>
    <w:p>
      <w:pPr>
        <w:pStyle w:val="Heading2Custom"/>
      </w:pPr>
      <w:r>
        <w:t>What the code appears to claim</w:t>
      </w:r>
    </w:p>
    <w:p>
      <w:pPr>
        <w:pStyle w:val="BodyCustom"/>
      </w:pPr>
      <w:r>
        <w:t>The runtime-context bridge is trying to preserve runtime_context across multiple invocation paths. That is the correct kind of seam to harden because context loss at model boundaries often produces behavior that looks mostly right while being semantically wrong.</w:t>
      </w:r>
    </w:p>
    <w:p>
      <w:pPr>
        <w:pStyle w:val="Heading2Custom"/>
      </w:pPr>
      <w:r>
        <w:t>What the repo state tells me</w:t>
      </w:r>
    </w:p>
    <w:p>
      <w:pPr>
        <w:pStyle w:val="BodyCustom"/>
      </w:pPr>
      <w:r>
        <w:t>The uploaded git artifacts show turn_executor_runtime.py modified, tests/adapters/test_model_invocation.py modified, and tests/application/test_turn_executor_runtime_context_bridge.py untracked. The diffstat also shows substantial churn in the invocation test area.</w:t>
      </w:r>
    </w:p>
    <w:p>
      <w:pPr>
        <w:pStyle w:val="Heading2Custom"/>
      </w:pPr>
      <w:r>
        <w:t>Why this matters</w:t>
      </w:r>
    </w:p>
    <w:p>
      <w:pPr>
        <w:pStyle w:val="BodyCustom"/>
      </w:pPr>
      <w:r>
        <w:t>This does not prove the code is broken. What it proves is that the proof surface is not settled. That matters because this exact category of logic—fallback from one invocation route to another—is where context silently disappears while the rest of the run still ‘works.’</w:t>
      </w:r>
    </w:p>
    <w:p>
      <w:pPr>
        <w:pStyle w:val="Heading2Custom"/>
      </w:pPr>
      <w:r>
        <w:t>Why this counts as self-deception debt</w:t>
      </w:r>
    </w:p>
    <w:p>
      <w:pPr>
        <w:pStyle w:val="BodyCustom"/>
      </w:pPr>
      <w:r>
        <w:t>A team can easily tell itself, ‘we addressed context propagation,’ because the code path exists and tests are being written. But until the bridge proof is landed and stabilized at the actual provider seam, that confidence is premature.</w:t>
      </w:r>
    </w:p>
    <w:p>
      <w:pPr>
        <w:pStyle w:val="Heading2Custom"/>
      </w:pPr>
      <w:r>
        <w:t>How I would fix it</w:t>
      </w:r>
    </w:p>
    <w:p>
      <w:pPr>
        <w:pStyle w:val="BodyCustom"/>
      </w:pPr>
      <w:r>
        <w:t>Land the bridge test. Then add one integrated proof at the boundary that matters most in production: a real provider-like invocation path that asserts runtime_context is preserved when the preferred call shape is supported and that the fallback path is explicit when it is not.</w:t>
      </w:r>
    </w:p>
    <w:p>
      <w:pPr>
        <w:pStyle w:val="Heading2Custom"/>
      </w:pPr>
      <w:r>
        <w:t>Evidence noted in this snapshot</w:t>
      </w:r>
    </w:p>
    <w:p>
      <w:pPr>
        <w:pStyle w:val="BodyCustom"/>
      </w:pPr>
      <w:r>
        <w:t>review-git-status.txt lists the runtime bridge file as modified and the context bridge test as untracked.</w:t>
      </w:r>
    </w:p>
    <w:p>
      <w:pPr>
        <w:pStyle w:val="Heading1Custom"/>
      </w:pPr>
      <w:r>
        <w:t>5. Release/changelog/version narration overstates cleanup and consistency</w:t>
      </w:r>
    </w:p>
    <w:tbl>
      <w:tblPr>
        <w:tblW w:type="auto" w:w="0"/>
        <w:jc w:val="left"/>
        <w:tblLayout w:type="fixed"/>
        <w:tblLook w:firstColumn="1" w:firstRow="1" w:lastColumn="0" w:lastRow="0" w:noHBand="0" w:noVBand="1" w:val="04A0"/>
      </w:tblPr>
      <w:tblGrid>
        <w:gridCol w:w="4968"/>
        <w:gridCol w:w="4968"/>
      </w:tblGrid>
      <w:tr>
        <w:tc>
          <w:tcPr>
            <w:tcW w:type="dxa" w:w="1800"/>
            <w:vAlign w:val="center"/>
            <w:shd w:fill="1F4E78"/>
          </w:tcPr>
          <w:p>
            <w:pPr>
              <w:spacing w:after="0"/>
            </w:pPr>
            <w:r/>
            <w:r>
              <w:rPr>
                <w:rFonts w:ascii="Aptos" w:hAnsi="Aptos"/>
                <w:b/>
                <w:color w:val="FFFFFF"/>
                <w:sz w:val="20"/>
              </w:rPr>
              <w:t>Severity</w:t>
            </w:r>
          </w:p>
        </w:tc>
        <w:tc>
          <w:tcPr>
            <w:tcW w:type="dxa" w:w="8568"/>
            <w:vAlign w:val="center"/>
          </w:tcPr>
          <w:p>
            <w:pPr>
              <w:spacing w:after="0"/>
            </w:pPr>
            <w:r/>
            <w:r>
              <w:rPr>
                <w:rFonts w:ascii="Aptos" w:hAnsi="Aptos"/>
                <w:b w:val="0"/>
                <w:sz w:val="20"/>
              </w:rPr>
              <w:t>Medium</w:t>
            </w:r>
          </w:p>
        </w:tc>
      </w:tr>
      <w:tr>
        <w:tc>
          <w:tcPr>
            <w:tcW w:type="dxa" w:w="1800"/>
            <w:vAlign w:val="center"/>
            <w:shd w:fill="1F4E78"/>
          </w:tcPr>
          <w:p>
            <w:pPr>
              <w:spacing w:after="0"/>
            </w:pPr>
            <w:r/>
            <w:r>
              <w:rPr>
                <w:rFonts w:ascii="Aptos" w:hAnsi="Aptos"/>
                <w:b/>
                <w:color w:val="FFFFFF"/>
                <w:sz w:val="20"/>
              </w:rPr>
              <w:t>Files</w:t>
            </w:r>
          </w:p>
        </w:tc>
        <w:tc>
          <w:tcPr>
            <w:tcW w:type="dxa" w:w="8568"/>
            <w:vAlign w:val="center"/>
          </w:tcPr>
          <w:p>
            <w:pPr>
              <w:spacing w:after="0"/>
            </w:pPr>
            <w:r/>
            <w:r>
              <w:rPr>
                <w:rFonts w:ascii="Aptos" w:hAnsi="Aptos"/>
                <w:b w:val="0"/>
                <w:sz w:val="20"/>
              </w:rPr>
              <w:t>CHANGELOG.md; pyproject.toml; main.py; server.py</w:t>
            </w:r>
          </w:p>
        </w:tc>
      </w:tr>
    </w:tbl>
    <w:p>
      <w:pPr>
        <w:pStyle w:val="Heading2Custom"/>
      </w:pPr>
      <w:r>
        <w:t>What the docs appear to claim</w:t>
      </w:r>
    </w:p>
    <w:p>
      <w:pPr>
        <w:pStyle w:val="BodyCustom"/>
      </w:pPr>
      <w:r>
        <w:t>The changelog says broad except Exception handlers were removed across orket/ and typed exception handling replaced them. It also says all bare except clauses were removed. The changelog top version is 0.4.0, while package metadata shows 0.3.16.</w:t>
      </w:r>
    </w:p>
    <w:p>
      <w:pPr>
        <w:pStyle w:val="Heading2Custom"/>
      </w:pPr>
      <w:r>
        <w:t>What the visible code shows</w:t>
      </w:r>
    </w:p>
    <w:p>
      <w:pPr>
        <w:pStyle w:val="BodyCustom"/>
      </w:pPr>
      <w:r>
        <w:t>main.py still catches Exception at the CLI entry boundary. server.py also uses a broad Exception catch at the server entry boundary. These may be acceptable top-level boundaries, but they mean the changelog wording is too absolute. Meanwhile version semantics are visibly split between the changelog and package metadata.</w:t>
      </w:r>
    </w:p>
    <w:p>
      <w:pPr>
        <w:pStyle w:val="Heading2Custom"/>
      </w:pPr>
      <w:r>
        <w:t>Why this is a behavioral lie</w:t>
      </w:r>
    </w:p>
    <w:p>
      <w:pPr>
        <w:pStyle w:val="BodyCustom"/>
      </w:pPr>
      <w:r>
        <w:t>Documentation and release metadata can lie behaviorally when they overstate what is cleaned up or what version the repository actually is. That kind of lie does not crash runtime, but it does damage operator trust and makes future debugging harder because authority is split.</w:t>
      </w:r>
    </w:p>
    <w:p>
      <w:pPr>
        <w:pStyle w:val="Heading2Custom"/>
      </w:pPr>
      <w:r>
        <w:t>What is important to be fair about</w:t>
      </w:r>
    </w:p>
    <w:p>
      <w:pPr>
        <w:pStyle w:val="BodyCustom"/>
      </w:pPr>
      <w:r>
        <w:t>I do not think top-level broad exception catches are necessarily wrong. In fact, the repo’s own guidance allows them at true process boundaries. The issue is not that the code is invalid; it is that the surrounding narration overshoots reality.</w:t>
      </w:r>
    </w:p>
    <w:p>
      <w:pPr>
        <w:pStyle w:val="Heading2Custom"/>
      </w:pPr>
      <w:r>
        <w:t>How I would fix it</w:t>
      </w:r>
    </w:p>
    <w:p>
      <w:pPr>
        <w:pStyle w:val="BodyCustom"/>
      </w:pPr>
      <w:r>
        <w:t>Narrow the changelog language so it truthfully excludes top-level entry boundaries, then align pyproject.toml, CHANGELOG.md, and any release docs to one authoritative version.</w:t>
      </w:r>
    </w:p>
    <w:p>
      <w:pPr>
        <w:pStyle w:val="Heading2Custom"/>
      </w:pPr>
      <w:r>
        <w:t>Evidence noted in this snapshot</w:t>
      </w:r>
    </w:p>
    <w:p>
      <w:pPr>
        <w:pStyle w:val="BodyCustom"/>
      </w:pPr>
      <w:r>
        <w:t>CHANGELOG.md advertises version 0.4.0 and removal of broad Exception handlers across orket/, while pyproject.toml shows 0.3.16 and main.py visibly retains an except Exception path.</w:t>
      </w:r>
    </w:p>
    <w:p>
      <w:pPr>
        <w:pStyle w:val="Heading1Custom"/>
      </w:pPr>
      <w:r>
        <w:t>What looks fixed or materially improved in the current snapshot</w:t>
      </w:r>
    </w:p>
    <w:p>
      <w:pPr>
        <w:pStyle w:val="BulletCustom"/>
      </w:pPr>
      <w:r>
        <w:t xml:space="preserve">• </w:t>
      </w:r>
      <w:r>
        <w:t>assign_team is no longer pretending a runtime team switch occurred. The current response explicitly frames the outcome as a suggestion and says no runtime team switch was applied.</w:t>
      </w:r>
    </w:p>
    <w:p>
      <w:pPr>
        <w:pStyle w:val="BulletCustom"/>
      </w:pPr>
      <w:r>
        <w:t xml:space="preserve">• </w:t>
      </w:r>
      <w:r>
        <w:t>perform_first_run_setup() has been re-expressed as a wrapper around explicit startup functions, which is more behaviorally honest than a vague first-run-only label.</w:t>
      </w:r>
    </w:p>
    <w:p>
      <w:pPr>
        <w:pStyle w:val="BulletCustom"/>
      </w:pPr>
      <w:r>
        <w:t xml:space="preserve">• </w:t>
      </w:r>
      <w:r>
        <w:t>Bare reforge command recognition appears fixed because reforge now appears in known_cli_verbs in driver_support_cli.py, and there is a test asserting bare and slash forms match.</w:t>
      </w:r>
    </w:p>
    <w:p>
      <w:pPr>
        <w:pStyle w:val="BulletCustom"/>
      </w:pPr>
      <w:r>
        <w:t xml:space="preserve">• </w:t>
      </w:r>
      <w:r>
        <w:t>The engine recommendation logic no longer looks like a dead placeholder. The visible code computes installed rank, compares it to catalog options, and only suggests upgrades when the catalog option outranks what is already installed.</w:t>
      </w:r>
    </w:p>
    <w:p>
      <w:pPr>
        <w:pStyle w:val="Heading1Custom"/>
      </w:pPr>
      <w:r>
        <w:t>What I would do first to get back on track</w:t>
      </w:r>
    </w:p>
    <w:p>
      <w:pPr>
        <w:pStyle w:val="BodyCustom"/>
      </w:pPr>
      <w:r>
        <w:rPr>
          <w:b/>
        </w:rPr>
        <w:t xml:space="preserve">1. </w:t>
      </w:r>
      <w:r>
        <w:t>Add one honest startup-path test. Keep the fast monkeypatched tests, but create a real CLI startup proof that does not patch perform_first_run_setup() away.</w:t>
      </w:r>
    </w:p>
    <w:p>
      <w:pPr>
        <w:pStyle w:val="BodyCustom"/>
      </w:pPr>
      <w:r>
        <w:rPr>
          <w:b/>
        </w:rPr>
        <w:t xml:space="preserve">2. </w:t>
      </w:r>
      <w:r>
        <w:t>Repair the baseline retention workflow path mismatch immediately. This is the cleanest high-severity correctness fix in the current snapshot.</w:t>
      </w:r>
    </w:p>
    <w:p>
      <w:pPr>
        <w:pStyle w:val="BodyCustom"/>
      </w:pPr>
      <w:r>
        <w:rPr>
          <w:b/>
        </w:rPr>
        <w:t xml:space="preserve">3. </w:t>
      </w:r>
      <w:r>
        <w:t>Shrink the driver’s claimed action surface to match what execute_plan() really executes, unless you are ready to implement the missing operations soon.</w:t>
      </w:r>
    </w:p>
    <w:p>
      <w:pPr>
        <w:pStyle w:val="BodyCustom"/>
      </w:pPr>
      <w:r>
        <w:rPr>
          <w:b/>
        </w:rPr>
        <w:t xml:space="preserve">4. </w:t>
      </w:r>
      <w:r>
        <w:t>Land and stabilize the runtime-context bridge tests before treating context propagation as a solved problem.</w:t>
      </w:r>
    </w:p>
    <w:p>
      <w:pPr>
        <w:pStyle w:val="BodyCustom"/>
      </w:pPr>
      <w:r>
        <w:rPr>
          <w:b/>
        </w:rPr>
        <w:t xml:space="preserve">5. </w:t>
      </w:r>
      <w:r>
        <w:t>Unify release authority: align pyproject.toml, CHANGELOG.md, and any status docs so the repo has one truthful story about version and cleanup status.</w:t>
      </w:r>
    </w:p>
    <w:p>
      <w:pPr>
        <w:pStyle w:val="Heading1Custom"/>
      </w:pPr>
      <w:r>
        <w:t>Bottom line</w:t>
      </w:r>
    </w:p>
    <w:p>
      <w:pPr>
        <w:pStyle w:val="BodyCustom"/>
      </w:pPr>
      <w:r>
        <w:t>The central risk in this snapshot is not raw messiness. It is pockets of false confidence. Orket is getting more behaviorally honest in a few important places, which is good news. But the remaining mismatches show the same pattern repeatedly: the code or tests look more settled, more end-to-end, or more authoritative than they really are.</w:t>
      </w:r>
    </w:p>
    <w:p>
      <w:pPr>
        <w:pStyle w:val="BodyCustom"/>
      </w:pPr>
      <w:r>
        <w:t>If you want the fastest path back on track, prioritize truthful verification over additional feature surface. A smaller system that says exactly what it does—and proves the real paths—is better than a richer system whose green checks rely on bypasses, implied behavior, or mismatched release narration.</w:t>
      </w:r>
    </w:p>
    <w:p>
      <w:pPr>
        <w:pStyle w:val="Heading1Custom"/>
      </w:pPr>
      <w:r>
        <w:t>Appendix A — Exact code artifacts referenced</w:t>
      </w:r>
    </w:p>
    <w:p>
      <w:pPr>
        <w:pStyle w:val="BulletCustom"/>
      </w:pPr>
      <w:r>
        <w:t xml:space="preserve">• </w:t>
      </w:r>
      <w:r>
        <w:t>tests/interfaces/test_cli_protocol_parity_campaign.py — protocol parity campaign tests monkeypatch perform_first_run_setup() to a no-op.</w:t>
      </w:r>
    </w:p>
    <w:p>
      <w:pPr>
        <w:pStyle w:val="BulletCustom"/>
      </w:pPr>
      <w:r>
        <w:t xml:space="preserve">• </w:t>
      </w:r>
      <w:r>
        <w:t>tests/interfaces/test_cli_protocol_replay.py — replay/protocol tests use the same startup bypass pattern.</w:t>
      </w:r>
    </w:p>
    <w:p>
      <w:pPr>
        <w:pStyle w:val="BulletCustom"/>
      </w:pPr>
      <w:r>
        <w:t xml:space="preserve">• </w:t>
      </w:r>
      <w:r>
        <w:t>orket/discovery.py — explicit startup functions: run_startup_reconciliation(), perform_first_run_onboarding(), perform_startup_checks(), perform_first_run_setup().</w:t>
      </w:r>
    </w:p>
    <w:p>
      <w:pPr>
        <w:pStyle w:val="BulletCustom"/>
      </w:pPr>
      <w:r>
        <w:t xml:space="preserve">• </w:t>
      </w:r>
      <w:r>
        <w:t>.gitea/workflows/baseline-retention-weekly.yml — mkdir target and redirect/upload paths do not match.</w:t>
      </w:r>
    </w:p>
    <w:p>
      <w:pPr>
        <w:pStyle w:val="BulletCustom"/>
      </w:pPr>
      <w:r>
        <w:t xml:space="preserve">• </w:t>
      </w:r>
      <w:r>
        <w:t>orket/driver.py — process_request() and execute_plan() define the practical action surface and current suggestion-only assign_team behavior.</w:t>
      </w:r>
    </w:p>
    <w:p>
      <w:pPr>
        <w:pStyle w:val="BulletCustom"/>
      </w:pPr>
      <w:r>
        <w:t xml:space="preserve">• </w:t>
      </w:r>
      <w:r>
        <w:t>orket/driver_support_cli.py — known_cli_verbs now includes reforge.</w:t>
      </w:r>
    </w:p>
    <w:p>
      <w:pPr>
        <w:pStyle w:val="BulletCustom"/>
      </w:pPr>
      <w:r>
        <w:t xml:space="preserve">• </w:t>
      </w:r>
      <w:r>
        <w:t>review-git-status.txt and review-git-diffstat.txt — visible evidence that runtime-context bridge work is still in flight.</w:t>
      </w:r>
    </w:p>
    <w:p>
      <w:pPr>
        <w:pStyle w:val="BulletCustom"/>
      </w:pPr>
      <w:r>
        <w:t xml:space="preserve">• </w:t>
      </w:r>
      <w:r>
        <w:t>CHANGELOG.md, pyproject.toml, main.py, server.py — split authority around exception cleanup claims and version identity.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120"/>
    </w:pPr>
    <w:rPr>
      <w:rFonts w:ascii="Aptos Display" w:hAnsi="Aptos Display"/>
      <w:b/>
      <w:color w:val="1F4E78"/>
      <w:sz w:val="48"/>
    </w:rPr>
  </w:style>
  <w:style w:type="paragraph" w:customStyle="1" w:styleId="SubtitleCustom">
    <w:name w:val="SubtitleCustom"/>
    <w:basedOn w:val="Subtitle"/>
    <w:pPr>
      <w:spacing w:after="240"/>
    </w:pPr>
    <w:rPr>
      <w:rFonts w:ascii="Aptos" w:hAnsi="Aptos"/>
      <w:i/>
      <w:color w:val="555555"/>
      <w:sz w:val="22"/>
    </w:rPr>
  </w:style>
  <w:style w:type="paragraph" w:customStyle="1" w:styleId="Heading1Custom">
    <w:name w:val="Heading1Custom"/>
    <w:basedOn w:val="Heading1"/>
    <w:pPr>
      <w:spacing w:before="280" w:after="120"/>
    </w:pPr>
    <w:rPr>
      <w:rFonts w:ascii="Aptos Display" w:hAnsi="Aptos Display"/>
      <w:b/>
      <w:color w:val="1F1F1F"/>
      <w:sz w:val="30"/>
    </w:rPr>
  </w:style>
  <w:style w:type="paragraph" w:customStyle="1" w:styleId="Heading2Custom">
    <w:name w:val="Heading2Custom"/>
    <w:basedOn w:val="Heading2"/>
    <w:pPr>
      <w:spacing w:before="200" w:after="80"/>
    </w:pPr>
    <w:rPr>
      <w:rFonts w:ascii="Aptos" w:hAnsi="Aptos"/>
      <w:b/>
      <w:color w:val="1F4E78"/>
      <w:sz w:val="24"/>
    </w:rPr>
  </w:style>
  <w:style w:type="paragraph" w:customStyle="1" w:styleId="BodyCustom">
    <w:name w:val="BodyCustom"/>
    <w:basedOn w:val="Normal"/>
    <w:pPr>
      <w:spacing w:line="240" w:lineRule="auto" w:after="100"/>
    </w:pPr>
    <w:rPr>
      <w:rFonts w:ascii="Aptos" w:hAnsi="Aptos"/>
      <w:sz w:val="21"/>
    </w:rPr>
  </w:style>
  <w:style w:type="paragraph" w:customStyle="1" w:styleId="BulletCustom">
    <w:name w:val="BulletCustom"/>
    <w:basedOn w:val="Normal"/>
    <w:pPr>
      <w:spacing w:after="40"/>
      <w:ind w:left="360" w:hanging="259"/>
    </w:pPr>
    <w:rPr>
      <w:rFonts w:ascii="Aptos" w:hAnsi="Aptos"/>
      <w:sz w:val="21"/>
    </w:rPr>
  </w:style>
  <w:style w:type="paragraph" w:customStyle="1" w:styleId="Codeish">
    <w:name w:val="Codeish"/>
    <w:basedOn w:val="Normal"/>
    <w:pPr>
      <w:spacing w:after="4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