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87878"/>
          <w:sz w:val="20"/>
        </w:rPr>
        <w:t>Orket</w:t>
      </w:r>
    </w:p>
    <w:p>
      <w:pPr>
        <w:pStyle w:val="Title"/>
        <w:jc w:val="center"/>
      </w:pPr>
      <w:r>
        <w:t>Brutal and Deep Code Review</w:t>
      </w:r>
    </w:p>
    <w:p>
      <w:pPr>
        <w:pStyle w:val="Subtitle"/>
        <w:jc w:val="center"/>
      </w:pPr>
      <w:r>
        <w:t>Repository reviewed: github.com/McElyea/Orket</w:t>
        <w:br/>
        <w:t>Review date: March 5, 2026</w:t>
        <w:br/>
        <w:t>Method: web-based source inspection of the live public repository</w:t>
      </w:r>
    </w:p>
    <w:tbl>
      <w:tblPr>
        <w:tblW w:type="auto" w:w="0"/>
        <w:jc w:val="center"/>
        <w:tblLayout w:type="fixed"/>
        <w:tblLook w:firstColumn="1" w:firstRow="1" w:lastColumn="0" w:lastRow="0" w:noHBand="0" w:noVBand="1" w:val="04A0"/>
      </w:tblPr>
      <w:tblGrid>
        <w:gridCol w:w="8928"/>
      </w:tblGrid>
      <w:tr>
        <w:tc>
          <w:tcPr>
            <w:tcW w:type="dxa" w:w="9936"/>
            <w:shd w:fill="EAF2F8"/>
            <w:tcMar>
              <w:top w:w="120" w:type="dxa"/>
              <w:start w:w="140" w:type="dxa"/>
              <w:bottom w:w="120" w:type="dxa"/>
              <w:end w:w="140" w:type="dxa"/>
            </w:tcMar>
          </w:tcPr>
          <w:p>
            <w:pPr>
              <w:jc w:val="left"/>
            </w:pPr>
            <w:r>
              <w:rPr>
                <w:sz w:val="21"/>
              </w:rPr>
              <w:t>This review is intentionally blunt. It prioritizes operational truth over politeness. Where the evidence supports a conclusion, the conclusion is stated directly. Where evidence was limited by environment constraints, the document says so explicitly.</w:t>
            </w:r>
          </w:p>
        </w:tc>
      </w:tr>
    </w:tbl>
    <w:p/>
    <w:tbl>
      <w:tblPr>
        <w:tblW w:type="auto" w:w="0"/>
        <w:jc w:val="center"/>
        <w:tblLayout w:type="fixed"/>
        <w:tblLook w:firstColumn="1" w:firstRow="1" w:lastColumn="0" w:lastRow="0" w:noHBand="0" w:noVBand="1" w:val="04A0"/>
      </w:tblPr>
      <w:tblGrid>
        <w:gridCol w:w="2880"/>
        <w:gridCol w:w="6048"/>
      </w:tblGrid>
      <w:tr>
        <w:tc>
          <w:tcPr>
            <w:tcW w:type="dxa" w:w="4968"/>
            <w:vAlign w:val="center"/>
            <w:tcMar>
              <w:top w:w="80" w:type="dxa"/>
              <w:start w:w="100" w:type="dxa"/>
              <w:bottom w:w="80" w:type="dxa"/>
              <w:end w:w="100" w:type="dxa"/>
            </w:tcMar>
            <w:shd w:fill="DCE6F1"/>
          </w:tcPr>
          <w:p>
            <w:r>
              <w:t>Overall verdict</w:t>
            </w:r>
          </w:p>
        </w:tc>
        <w:tc>
          <w:tcPr>
            <w:tcW w:type="dxa" w:w="4968"/>
            <w:vAlign w:val="center"/>
            <w:tcMar>
              <w:top w:w="80" w:type="dxa"/>
              <w:start w:w="100" w:type="dxa"/>
              <w:bottom w:w="80" w:type="dxa"/>
              <w:end w:w="100" w:type="dxa"/>
            </w:tcMar>
          </w:tcPr>
          <w:p>
            <w:r>
              <w:t>Promising substrate with real architectural intent, but still carrying too many bootstrap-era shortcuts in packaging, lifecycle management, and operational defaults.</w:t>
            </w:r>
          </w:p>
        </w:tc>
      </w:tr>
      <w:tr>
        <w:tc>
          <w:tcPr>
            <w:tcW w:type="dxa" w:w="4968"/>
            <w:vAlign w:val="center"/>
            <w:tcMar>
              <w:top w:w="80" w:type="dxa"/>
              <w:start w:w="100" w:type="dxa"/>
              <w:bottom w:w="80" w:type="dxa"/>
              <w:end w:w="100" w:type="dxa"/>
            </w:tcMar>
            <w:shd w:fill="DCE6F1"/>
          </w:tcPr>
          <w:p>
            <w:r>
              <w:t>Primary strengths</w:t>
            </w:r>
          </w:p>
        </w:tc>
        <w:tc>
          <w:tcPr>
            <w:tcW w:type="dxa" w:w="4968"/>
            <w:vAlign w:val="center"/>
            <w:tcMar>
              <w:top w:w="80" w:type="dxa"/>
              <w:start w:w="100" w:type="dxa"/>
              <w:bottom w:w="80" w:type="dxa"/>
              <w:end w:w="100" w:type="dxa"/>
            </w:tcMar>
          </w:tcPr>
          <w:p>
            <w:r>
              <w:t>Clear deterministic-runtime ambition, meaningful test topology, explicit security/testing docs, and visible effort toward policy boundaries.</w:t>
            </w:r>
          </w:p>
        </w:tc>
      </w:tr>
      <w:tr>
        <w:tc>
          <w:tcPr>
            <w:tcW w:type="dxa" w:w="4968"/>
            <w:vAlign w:val="center"/>
            <w:tcMar>
              <w:top w:w="80" w:type="dxa"/>
              <w:start w:w="100" w:type="dxa"/>
              <w:bottom w:w="80" w:type="dxa"/>
              <w:end w:w="100" w:type="dxa"/>
            </w:tcMar>
            <w:shd w:fill="DCE6F1"/>
          </w:tcPr>
          <w:p>
            <w:r>
              <w:t>Primary failures</w:t>
            </w:r>
          </w:p>
        </w:tc>
        <w:tc>
          <w:tcPr>
            <w:tcW w:type="dxa" w:w="4968"/>
            <w:vAlign w:val="center"/>
            <w:tcMar>
              <w:top w:w="80" w:type="dxa"/>
              <w:start w:w="100" w:type="dxa"/>
              <w:bottom w:w="80" w:type="dxa"/>
              <w:end w:w="100" w:type="dxa"/>
            </w:tcMar>
          </w:tcPr>
          <w:p>
            <w:r>
              <w:t>Installer drift, unsafe server defaults, leaked global subscriptions, weak client lifecycle management, and heavy import-time singleton coupling.</w:t>
            </w:r>
          </w:p>
        </w:tc>
      </w:tr>
      <w:tr>
        <w:tc>
          <w:tcPr>
            <w:tcW w:type="dxa" w:w="4968"/>
            <w:vAlign w:val="center"/>
            <w:tcMar>
              <w:top w:w="80" w:type="dxa"/>
              <w:start w:w="100" w:type="dxa"/>
              <w:bottom w:w="80" w:type="dxa"/>
              <w:end w:w="100" w:type="dxa"/>
            </w:tcMar>
            <w:shd w:fill="DCE6F1"/>
          </w:tcPr>
          <w:p>
            <w:r>
              <w:t>Confidence level</w:t>
            </w:r>
          </w:p>
        </w:tc>
        <w:tc>
          <w:tcPr>
            <w:tcW w:type="dxa" w:w="4968"/>
            <w:vAlign w:val="center"/>
            <w:tcMar>
              <w:top w:w="80" w:type="dxa"/>
              <w:start w:w="100" w:type="dxa"/>
              <w:bottom w:w="80" w:type="dxa"/>
              <w:end w:w="100" w:type="dxa"/>
            </w:tcMar>
          </w:tcPr>
          <w:p>
            <w:r>
              <w:t>Moderate. Findings are grounded in the live repo files inspected via GitHub, but this review did not execute the code because the environment could not clone the repository.</w:t>
            </w:r>
          </w:p>
        </w:tc>
      </w:tr>
    </w:tbl>
    <w:p>
      <w:r>
        <w:br w:type="page"/>
      </w:r>
    </w:p>
    <w:p>
      <w:pPr>
        <w:pStyle w:val="Heading1"/>
      </w:pPr>
      <w:r>
        <w:t>Executive Summary</w:t>
      </w:r>
    </w:p>
    <w:p>
      <w:r>
        <w:rPr>
          <w:b/>
        </w:rPr>
        <w:t xml:space="preserve">Orket is not a toy repo. </w:t>
      </w:r>
      <w:r>
        <w:t>The repository shows a genuine attempt to build a bounded, observable, policy-driven local-first workflow runtime rather than a thin prompt wrapper. The README, directory layout, API surface, testing policy, and LLM adapter design all point in that direction. [S1][S2][S6][S7]</w:t>
      </w:r>
    </w:p>
    <w:p>
      <w:r>
        <w:rPr>
          <w:b/>
        </w:rPr>
        <w:t xml:space="preserve">The problem is not lack of ambition. </w:t>
      </w:r>
      <w:r>
        <w:t>The problem is that several low-level operational decisions still belong to an earlier prototype stage: installation instructions do not match the declared dependency graph, the main server launcher binds broadly and hot-reloads by default, event subscription management is global and leak-prone, and model clients appear to be created without a visible close path. Those are not philosophical issues; they are the kinds of faults that turn an otherwise serious runtime into an unreliable long-running service. [S2][S3][S8][S9]</w:t>
      </w:r>
    </w:p>
    <w:p>
      <w:r>
        <w:rPr>
          <w:b/>
        </w:rPr>
        <w:t xml:space="preserve">My bottom-line assessment: </w:t>
      </w:r>
      <w:r>
        <w:t>Orket already contains the bones of a credible runtime. It is not yet disciplined enough at the operational boundary to deserve maximum trust in unattended or production-like use. The next stage should be less about adding more capability and more about deleting drift, hardening lifecycle control, and proving that the stated deterministic/security posture survives the boring realities of installation, restart, error handling, and concurrency. [S1][S5][S6][S7][S8]</w:t>
      </w:r>
    </w:p>
    <w:p>
      <w:pPr>
        <w:pStyle w:val="Heading2"/>
      </w:pPr>
      <w:r>
        <w:t>Highest-Impact Findings</w:t>
      </w:r>
    </w:p>
    <w:tbl>
      <w:tblPr>
        <w:tblW w:type="auto" w:w="0"/>
        <w:jc w:val="center"/>
        <w:tblLayout w:type="fixed"/>
        <w:tblLook w:firstColumn="1" w:firstRow="1" w:lastColumn="0" w:lastRow="0" w:noHBand="0" w:noVBand="1" w:val="04A0"/>
      </w:tblPr>
      <w:tblGrid>
        <w:gridCol w:w="1152"/>
        <w:gridCol w:w="3024"/>
        <w:gridCol w:w="2880"/>
        <w:gridCol w:w="2016"/>
      </w:tblGrid>
      <w:tr>
        <w:tc>
          <w:tcPr>
            <w:tcW w:type="dxa" w:w="2484"/>
            <w:shd w:fill="1F4E78"/>
          </w:tcPr>
          <w:p>
            <w:pPr>
              <w:jc w:val="center"/>
            </w:pPr>
            <w:r>
              <w:rPr>
                <w:b/>
                <w:color w:val="FFFFFF"/>
              </w:rPr>
              <w:t>ID</w:t>
            </w:r>
          </w:p>
        </w:tc>
        <w:tc>
          <w:tcPr>
            <w:tcW w:type="dxa" w:w="2484"/>
            <w:shd w:fill="1F4E78"/>
          </w:tcPr>
          <w:p>
            <w:pPr>
              <w:jc w:val="center"/>
            </w:pPr>
            <w:r>
              <w:rPr>
                <w:b/>
                <w:color w:val="FFFFFF"/>
              </w:rPr>
              <w:t>Finding</w:t>
            </w:r>
          </w:p>
        </w:tc>
        <w:tc>
          <w:tcPr>
            <w:tcW w:type="dxa" w:w="2484"/>
            <w:shd w:fill="1F4E78"/>
          </w:tcPr>
          <w:p>
            <w:pPr>
              <w:jc w:val="center"/>
            </w:pPr>
            <w:r>
              <w:rPr>
                <w:b/>
                <w:color w:val="FFFFFF"/>
              </w:rPr>
              <w:t>Why it matters</w:t>
            </w:r>
          </w:p>
        </w:tc>
        <w:tc>
          <w:tcPr>
            <w:tcW w:type="dxa" w:w="2484"/>
            <w:shd w:fill="1F4E78"/>
          </w:tcPr>
          <w:p>
            <w:pPr>
              <w:jc w:val="center"/>
            </w:pPr>
            <w:r>
              <w:rPr>
                <w:b/>
                <w:color w:val="FFFFFF"/>
              </w:rPr>
              <w:t>Severity</w:t>
            </w:r>
          </w:p>
        </w:tc>
      </w:tr>
      <w:tr>
        <w:tc>
          <w:tcPr>
            <w:tcW w:type="dxa" w:w="1152"/>
            <w:vAlign w:val="center"/>
            <w:tcMar>
              <w:top w:w="80" w:type="dxa"/>
              <w:start w:w="100" w:type="dxa"/>
              <w:bottom w:w="80" w:type="dxa"/>
              <w:end w:w="100" w:type="dxa"/>
            </w:tcMar>
          </w:tcPr>
          <w:p>
            <w:r>
              <w:t>F1</w:t>
            </w:r>
          </w:p>
        </w:tc>
        <w:tc>
          <w:tcPr>
            <w:tcW w:type="dxa" w:w="3024"/>
            <w:vAlign w:val="center"/>
            <w:tcMar>
              <w:top w:w="80" w:type="dxa"/>
              <w:start w:w="100" w:type="dxa"/>
              <w:bottom w:w="80" w:type="dxa"/>
              <w:end w:w="100" w:type="dxa"/>
            </w:tcMar>
          </w:tcPr>
          <w:p>
            <w:r>
              <w:t>Quick-start installer drift</w:t>
            </w:r>
          </w:p>
        </w:tc>
        <w:tc>
          <w:tcPr>
            <w:tcW w:type="dxa" w:w="2880"/>
            <w:vAlign w:val="center"/>
            <w:tcMar>
              <w:top w:w="80" w:type="dxa"/>
              <w:start w:w="100" w:type="dxa"/>
              <w:bottom w:w="80" w:type="dxa"/>
              <w:end w:w="100" w:type="dxa"/>
            </w:tcMar>
          </w:tcPr>
          <w:p>
            <w:r>
              <w:t>The documented install path can produce a broken or partial runtime.</w:t>
            </w:r>
          </w:p>
        </w:tc>
        <w:tc>
          <w:tcPr>
            <w:tcW w:type="dxa" w:w="2016"/>
            <w:vAlign w:val="center"/>
            <w:tcMar>
              <w:top w:w="80" w:type="dxa"/>
              <w:start w:w="100" w:type="dxa"/>
              <w:bottom w:w="80" w:type="dxa"/>
              <w:end w:w="100" w:type="dxa"/>
            </w:tcMar>
            <w:shd w:fill="FDE9E7"/>
          </w:tcPr>
          <w:p>
            <w:pPr>
              <w:jc w:val="center"/>
            </w:pPr>
            <w:r>
              <w:t>High</w:t>
            </w:r>
          </w:p>
        </w:tc>
      </w:tr>
      <w:tr>
        <w:tc>
          <w:tcPr>
            <w:tcW w:type="dxa" w:w="1152"/>
            <w:vAlign w:val="center"/>
            <w:tcMar>
              <w:top w:w="80" w:type="dxa"/>
              <w:start w:w="100" w:type="dxa"/>
              <w:bottom w:w="80" w:type="dxa"/>
              <w:end w:w="100" w:type="dxa"/>
            </w:tcMar>
          </w:tcPr>
          <w:p>
            <w:r>
              <w:t>F2</w:t>
            </w:r>
          </w:p>
        </w:tc>
        <w:tc>
          <w:tcPr>
            <w:tcW w:type="dxa" w:w="3024"/>
            <w:vAlign w:val="center"/>
            <w:tcMar>
              <w:top w:w="80" w:type="dxa"/>
              <w:start w:w="100" w:type="dxa"/>
              <w:bottom w:w="80" w:type="dxa"/>
              <w:end w:w="100" w:type="dxa"/>
            </w:tcMar>
          </w:tcPr>
          <w:p>
            <w:r>
              <w:t>Server launcher defaults are too unsafe</w:t>
            </w:r>
          </w:p>
        </w:tc>
        <w:tc>
          <w:tcPr>
            <w:tcW w:type="dxa" w:w="2880"/>
            <w:vAlign w:val="center"/>
            <w:tcMar>
              <w:top w:w="80" w:type="dxa"/>
              <w:start w:w="100" w:type="dxa"/>
              <w:bottom w:w="80" w:type="dxa"/>
              <w:end w:w="100" w:type="dxa"/>
            </w:tcMar>
          </w:tcPr>
          <w:p>
            <w:r>
              <w:t>`0.0.0.0` + forced reload is not a sane default service posture.</w:t>
            </w:r>
          </w:p>
        </w:tc>
        <w:tc>
          <w:tcPr>
            <w:tcW w:type="dxa" w:w="2016"/>
            <w:vAlign w:val="center"/>
            <w:tcMar>
              <w:top w:w="80" w:type="dxa"/>
              <w:start w:w="100" w:type="dxa"/>
              <w:bottom w:w="80" w:type="dxa"/>
              <w:end w:w="100" w:type="dxa"/>
            </w:tcMar>
            <w:shd w:fill="FDE9E7"/>
          </w:tcPr>
          <w:p>
            <w:pPr>
              <w:jc w:val="center"/>
            </w:pPr>
            <w:r>
              <w:t>High</w:t>
            </w:r>
          </w:p>
        </w:tc>
      </w:tr>
      <w:tr>
        <w:tc>
          <w:tcPr>
            <w:tcW w:type="dxa" w:w="1152"/>
            <w:vAlign w:val="center"/>
            <w:tcMar>
              <w:top w:w="80" w:type="dxa"/>
              <w:start w:w="100" w:type="dxa"/>
              <w:bottom w:w="80" w:type="dxa"/>
              <w:end w:w="100" w:type="dxa"/>
            </w:tcMar>
          </w:tcPr>
          <w:p>
            <w:r>
              <w:t>F3</w:t>
            </w:r>
          </w:p>
        </w:tc>
        <w:tc>
          <w:tcPr>
            <w:tcW w:type="dxa" w:w="3024"/>
            <w:vAlign w:val="center"/>
            <w:tcMar>
              <w:top w:w="80" w:type="dxa"/>
              <w:start w:w="100" w:type="dxa"/>
              <w:bottom w:w="80" w:type="dxa"/>
              <w:end w:w="100" w:type="dxa"/>
            </w:tcMar>
          </w:tcPr>
          <w:p>
            <w:r>
              <w:t>Global event subscriber leak</w:t>
            </w:r>
          </w:p>
        </w:tc>
        <w:tc>
          <w:tcPr>
            <w:tcW w:type="dxa" w:w="2880"/>
            <w:vAlign w:val="center"/>
            <w:tcMar>
              <w:top w:w="80" w:type="dxa"/>
              <w:start w:w="100" w:type="dxa"/>
              <w:bottom w:w="80" w:type="dxa"/>
              <w:end w:w="100" w:type="dxa"/>
            </w:tcMar>
          </w:tcPr>
          <w:p>
            <w:r>
              <w:t>Reloads/tests can duplicate delivery and grow memory/state corruption over time.</w:t>
            </w:r>
          </w:p>
        </w:tc>
        <w:tc>
          <w:tcPr>
            <w:tcW w:type="dxa" w:w="2016"/>
            <w:vAlign w:val="center"/>
            <w:tcMar>
              <w:top w:w="80" w:type="dxa"/>
              <w:start w:w="100" w:type="dxa"/>
              <w:bottom w:w="80" w:type="dxa"/>
              <w:end w:w="100" w:type="dxa"/>
            </w:tcMar>
            <w:shd w:fill="FDE9E7"/>
          </w:tcPr>
          <w:p>
            <w:pPr>
              <w:jc w:val="center"/>
            </w:pPr>
            <w:r>
              <w:t>High</w:t>
            </w:r>
          </w:p>
        </w:tc>
      </w:tr>
      <w:tr>
        <w:tc>
          <w:tcPr>
            <w:tcW w:type="dxa" w:w="1152"/>
            <w:vAlign w:val="center"/>
            <w:tcMar>
              <w:top w:w="80" w:type="dxa"/>
              <w:start w:w="100" w:type="dxa"/>
              <w:bottom w:w="80" w:type="dxa"/>
              <w:end w:w="100" w:type="dxa"/>
            </w:tcMar>
          </w:tcPr>
          <w:p>
            <w:r>
              <w:t>F4</w:t>
            </w:r>
          </w:p>
        </w:tc>
        <w:tc>
          <w:tcPr>
            <w:tcW w:type="dxa" w:w="3024"/>
            <w:vAlign w:val="center"/>
            <w:tcMar>
              <w:top w:w="80" w:type="dxa"/>
              <w:start w:w="100" w:type="dxa"/>
              <w:bottom w:w="80" w:type="dxa"/>
              <w:end w:w="100" w:type="dxa"/>
            </w:tcMar>
          </w:tcPr>
          <w:p>
            <w:r>
              <w:t>Provider client lifecycle is incomplete</w:t>
            </w:r>
          </w:p>
        </w:tc>
        <w:tc>
          <w:tcPr>
            <w:tcW w:type="dxa" w:w="2880"/>
            <w:vAlign w:val="center"/>
            <w:tcMar>
              <w:top w:w="80" w:type="dxa"/>
              <w:start w:w="100" w:type="dxa"/>
              <w:bottom w:w="80" w:type="dxa"/>
              <w:end w:w="100" w:type="dxa"/>
            </w:tcMar>
          </w:tcPr>
          <w:p>
            <w:r>
              <w:t>Async clients created without a visible close path invite socket/resource leakage.</w:t>
            </w:r>
          </w:p>
        </w:tc>
        <w:tc>
          <w:tcPr>
            <w:tcW w:type="dxa" w:w="2016"/>
            <w:vAlign w:val="center"/>
            <w:tcMar>
              <w:top w:w="80" w:type="dxa"/>
              <w:start w:w="100" w:type="dxa"/>
              <w:bottom w:w="80" w:type="dxa"/>
              <w:end w:w="100" w:type="dxa"/>
            </w:tcMar>
            <w:shd w:fill="FCE4D6"/>
          </w:tcPr>
          <w:p>
            <w:pPr>
              <w:jc w:val="center"/>
            </w:pPr>
            <w:r>
              <w:t>Medium-High</w:t>
            </w:r>
          </w:p>
        </w:tc>
      </w:tr>
      <w:tr>
        <w:tc>
          <w:tcPr>
            <w:tcW w:type="dxa" w:w="1152"/>
            <w:vAlign w:val="center"/>
            <w:tcMar>
              <w:top w:w="80" w:type="dxa"/>
              <w:start w:w="100" w:type="dxa"/>
              <w:bottom w:w="80" w:type="dxa"/>
              <w:end w:w="100" w:type="dxa"/>
            </w:tcMar>
          </w:tcPr>
          <w:p>
            <w:r>
              <w:t>F5</w:t>
            </w:r>
          </w:p>
        </w:tc>
        <w:tc>
          <w:tcPr>
            <w:tcW w:type="dxa" w:w="3024"/>
            <w:vAlign w:val="center"/>
            <w:tcMar>
              <w:top w:w="80" w:type="dxa"/>
              <w:start w:w="100" w:type="dxa"/>
              <w:bottom w:w="80" w:type="dxa"/>
              <w:end w:w="100" w:type="dxa"/>
            </w:tcMar>
          </w:tcPr>
          <w:p>
            <w:r>
              <w:t>Import-time singleton coupling in API</w:t>
            </w:r>
          </w:p>
        </w:tc>
        <w:tc>
          <w:tcPr>
            <w:tcW w:type="dxa" w:w="2880"/>
            <w:vAlign w:val="center"/>
            <w:tcMar>
              <w:top w:w="80" w:type="dxa"/>
              <w:start w:w="100" w:type="dxa"/>
              <w:bottom w:w="80" w:type="dxa"/>
              <w:end w:w="100" w:type="dxa"/>
            </w:tcMar>
          </w:tcPr>
          <w:p>
            <w:r>
              <w:t>Makes isolation, test reliability, and future multi-workspace behavior harder.</w:t>
            </w:r>
          </w:p>
        </w:tc>
        <w:tc>
          <w:tcPr>
            <w:tcW w:type="dxa" w:w="2016"/>
            <w:vAlign w:val="center"/>
            <w:tcMar>
              <w:top w:w="80" w:type="dxa"/>
              <w:start w:w="100" w:type="dxa"/>
              <w:bottom w:w="80" w:type="dxa"/>
              <w:end w:w="100" w:type="dxa"/>
            </w:tcMar>
            <w:shd w:fill="FCE4D6"/>
          </w:tcPr>
          <w:p>
            <w:pPr>
              <w:jc w:val="center"/>
            </w:pPr>
            <w:r>
              <w:t>Medium-High</w:t>
            </w:r>
          </w:p>
        </w:tc>
      </w:tr>
      <w:tr>
        <w:tc>
          <w:tcPr>
            <w:tcW w:type="dxa" w:w="1152"/>
            <w:vAlign w:val="center"/>
            <w:tcMar>
              <w:top w:w="80" w:type="dxa"/>
              <w:start w:w="100" w:type="dxa"/>
              <w:bottom w:w="80" w:type="dxa"/>
              <w:end w:w="100" w:type="dxa"/>
            </w:tcMar>
          </w:tcPr>
          <w:p>
            <w:r>
              <w:t>F6</w:t>
            </w:r>
          </w:p>
        </w:tc>
        <w:tc>
          <w:tcPr>
            <w:tcW w:type="dxa" w:w="3024"/>
            <w:vAlign w:val="center"/>
            <w:tcMar>
              <w:top w:w="80" w:type="dxa"/>
              <w:start w:w="100" w:type="dxa"/>
              <w:bottom w:w="80" w:type="dxa"/>
              <w:end w:w="100" w:type="dxa"/>
            </w:tcMar>
          </w:tcPr>
          <w:p>
            <w:r>
              <w:t>Logging defaults can cross-contaminate runs</w:t>
            </w:r>
          </w:p>
        </w:tc>
        <w:tc>
          <w:tcPr>
            <w:tcW w:type="dxa" w:w="2880"/>
            <w:vAlign w:val="center"/>
            <w:tcMar>
              <w:top w:w="80" w:type="dxa"/>
              <w:start w:w="100" w:type="dxa"/>
              <w:bottom w:w="80" w:type="dxa"/>
              <w:end w:w="100" w:type="dxa"/>
            </w:tcMar>
          </w:tcPr>
          <w:p>
            <w:r>
              <w:t>Fallback to `workspace/default` risks mixing errors and telemetry.</w:t>
            </w:r>
          </w:p>
        </w:tc>
        <w:tc>
          <w:tcPr>
            <w:tcW w:type="dxa" w:w="2016"/>
            <w:vAlign w:val="center"/>
            <w:tcMar>
              <w:top w:w="80" w:type="dxa"/>
              <w:start w:w="100" w:type="dxa"/>
              <w:bottom w:w="80" w:type="dxa"/>
              <w:end w:w="100" w:type="dxa"/>
            </w:tcMar>
            <w:shd w:fill="FFF2CC"/>
          </w:tcPr>
          <w:p>
            <w:pPr>
              <w:jc w:val="center"/>
            </w:pPr>
            <w:r>
              <w:t>Medium</w:t>
            </w:r>
          </w:p>
        </w:tc>
      </w:tr>
      <w:tr>
        <w:tc>
          <w:tcPr>
            <w:tcW w:type="dxa" w:w="1152"/>
            <w:vAlign w:val="center"/>
            <w:tcMar>
              <w:top w:w="80" w:type="dxa"/>
              <w:start w:w="100" w:type="dxa"/>
              <w:bottom w:w="80" w:type="dxa"/>
              <w:end w:w="100" w:type="dxa"/>
            </w:tcMar>
          </w:tcPr>
          <w:p>
            <w:r>
              <w:t>F7</w:t>
            </w:r>
          </w:p>
        </w:tc>
        <w:tc>
          <w:tcPr>
            <w:tcW w:type="dxa" w:w="3024"/>
            <w:vAlign w:val="center"/>
            <w:tcMar>
              <w:top w:w="80" w:type="dxa"/>
              <w:start w:w="100" w:type="dxa"/>
              <w:bottom w:w="80" w:type="dxa"/>
              <w:end w:w="100" w:type="dxa"/>
            </w:tcMar>
          </w:tcPr>
          <w:p>
            <w:r>
              <w:t>Testing policy is stronger than enforcement evidence</w:t>
            </w:r>
          </w:p>
        </w:tc>
        <w:tc>
          <w:tcPr>
            <w:tcW w:type="dxa" w:w="2880"/>
            <w:vAlign w:val="center"/>
            <w:tcMar>
              <w:top w:w="80" w:type="dxa"/>
              <w:start w:w="100" w:type="dxa"/>
              <w:bottom w:w="80" w:type="dxa"/>
              <w:end w:w="100" w:type="dxa"/>
            </w:tcMar>
          </w:tcPr>
          <w:p>
            <w:r>
              <w:t>Policy is good, but the inspected evidence does not show hard gates like coverage or lifecycle checks.</w:t>
            </w:r>
          </w:p>
        </w:tc>
        <w:tc>
          <w:tcPr>
            <w:tcW w:type="dxa" w:w="2016"/>
            <w:vAlign w:val="center"/>
            <w:tcMar>
              <w:top w:w="80" w:type="dxa"/>
              <w:start w:w="100" w:type="dxa"/>
              <w:bottom w:w="80" w:type="dxa"/>
              <w:end w:w="100" w:type="dxa"/>
            </w:tcMar>
            <w:shd w:fill="FFF2CC"/>
          </w:tcPr>
          <w:p>
            <w:pPr>
              <w:jc w:val="center"/>
            </w:pPr>
            <w:r>
              <w:t>Medium</w:t>
            </w:r>
          </w:p>
        </w:tc>
      </w:tr>
    </w:tbl>
    <w:p>
      <w:pPr>
        <w:pStyle w:val="Heading1"/>
      </w:pPr>
      <w:r>
        <w:t>Scope and Method</w:t>
      </w:r>
    </w:p>
    <w:p>
      <w:r>
        <w:t>This review was performed against the live public GitHub repository on March 5, 2026. The environment used for analysis could not clone the repo directly, so the review relied on direct inspection of repository pages and raw file views through GitHub/web access. That means the findings are source-grounded but not execution-validated in this environment. The document therefore separates confirmed source findings from inferred operational risk.</w:t>
      </w:r>
    </w:p>
    <w:p>
      <w:pPr>
        <w:pStyle w:val="Heading1"/>
      </w:pPr>
      <w:r>
        <w:t>What I reviewed</w:t>
      </w:r>
    </w:p>
    <w:p>
      <w:r>
        <w:t>Repository structure; packaging and startup entry points; API setup; logging/event distribution; local model provider code; security and testing documentation; and the broad test/directory topology visible from the repository tree. [S1][S2][S6][S7][S8][S9]</w:t>
      </w:r>
    </w:p>
    <w:p>
      <w:pPr>
        <w:pStyle w:val="Heading1"/>
      </w:pPr>
      <w:r>
        <w:t>What I did not validate here</w:t>
      </w:r>
    </w:p>
    <w:p>
      <w:r>
        <w:t>I did not run the server, execute tests, install dependencies, profile performance, or fuzz the HTTP surface. I also did not inspect every file in the repository. This is a hard, grounded review of critical seams, not an exhaustive line-by-line audit of every module.</w:t>
      </w:r>
    </w:p>
    <w:p>
      <w:pPr>
        <w:pStyle w:val="Heading1"/>
      </w:pPr>
      <w:r>
        <w:t>F1 - Quick-start installer drift is a real product bug, not a paperwork bug</w:t>
      </w:r>
    </w:p>
    <w:p>
      <w:pPr>
        <w:ind w:left="288" w:hanging="259"/>
      </w:pPr>
      <w:r>
        <w:t>• The repo tells new users to install with `pip install -r requirements.txt`, while `requirements.txt` lists only six packages: FastAPI, uvicorn, pydantic, httpx, pytest, and psutil. The actual project dependency set in `pyproject.toml` is substantially larger and includes core runtime dependencies such as `jsonschema`, `ollama`, and `python-dotenv`. [S1][S2][S3]</w:t>
      </w:r>
    </w:p>
    <w:p>
      <w:pPr>
        <w:ind w:left="288" w:hanging="259"/>
      </w:pPr>
      <w:r>
        <w:t>• That mismatch means the documented “happy path” can produce a runtime that imports partially, fails later, or behaves differently depending on which commands the user happened to run. This is one of the fastest ways to destroy trust in a local runtime: installation becomes a lottery.</w:t>
      </w:r>
    </w:p>
    <w:p>
      <w:pPr>
        <w:ind w:left="288" w:hanging="259"/>
      </w:pPr>
      <w:r>
        <w:t>• Brutal verdict: if the installer path is wrong, the repo is lying to operators before the runtime even starts. Fix this before adding more features.</w:t>
      </w:r>
    </w:p>
    <w:p>
      <w:pPr>
        <w:pStyle w:val="Heading1"/>
      </w:pPr>
      <w:r>
        <w:t>F2 - The main server launcher still has prototype-grade operational defaults</w:t>
      </w:r>
    </w:p>
    <w:p>
      <w:pPr>
        <w:ind w:left="288" w:hanging="259"/>
      </w:pPr>
      <w:r>
        <w:t>• The top-level `server.py` starts uvicorn on host `0.0.0.0`, port `8082`, with `reload=True`. [S3]</w:t>
      </w:r>
    </w:p>
    <w:p>
      <w:pPr>
        <w:ind w:left="288" w:hanging="259"/>
      </w:pPr>
      <w:r>
        <w:t>• Binding broadly by default is an aggressive stance for a local-first system. Enabling hot reload by default is worse: reloaders fork/process-hop and can duplicate startup work, subscription registration, file watchers, and background tasks. That is useful in development, not as the default mainline launcher.</w:t>
      </w:r>
    </w:p>
    <w:p>
      <w:pPr>
        <w:ind w:left="288" w:hanging="259"/>
      </w:pPr>
      <w:r>
        <w:t>• This does not mean the API implementation is reckless. In fact, the API code shows deliberate auth posture logging and a fail-closed `/v1/*` model around `X-API-Key`. [S8][S10] The problem is that the entry-point defaults are more casual than the documented security posture. [S6][S8]</w:t>
      </w:r>
    </w:p>
    <w:p>
      <w:pPr>
        <w:pStyle w:val="Heading1"/>
      </w:pPr>
      <w:r>
        <w:t>F3 - Event subscription handling is globally mutable and appears to leak across app lifecycles</w:t>
      </w:r>
    </w:p>
    <w:p>
      <w:pPr>
        <w:ind w:left="288" w:hanging="259"/>
      </w:pPr>
      <w:r>
        <w:t>• The logging module keeps a process-global `_subscribers` list and exposes `subscribe_to_events` / `unsubscribe_from_events`. [S9]</w:t>
      </w:r>
    </w:p>
    <w:p>
      <w:pPr>
        <w:ind w:left="288" w:hanging="259"/>
      </w:pPr>
      <w:r>
        <w:t>• The API lifespan registers a callback through `subscribe_to_events`, but the inspected shutdown path cancels the broadcaster task and does not show a corresponding `unsubscribe_from_events` call. [S8][S9]</w:t>
      </w:r>
    </w:p>
    <w:p>
      <w:pPr>
        <w:ind w:left="288" w:hanging="259"/>
      </w:pPr>
      <w:r>
        <w:t>• That is classic reload/test pollution: each new app lifecycle can append another callback, duplicate event delivery, and grow stale references. Combined with the server launcher’s unconditional reload default, this becomes a high-probability operational bug rather than a theoretical one. [S3][S8][S9]</w:t>
      </w:r>
    </w:p>
    <w:p>
      <w:pPr>
        <w:pStyle w:val="Heading1"/>
      </w:pPr>
      <w:r>
        <w:t>F4 - Provider client lifecycle is unfinished</w:t>
      </w:r>
    </w:p>
    <w:p>
      <w:pPr>
        <w:ind w:left="288" w:hanging="259"/>
      </w:pPr>
      <w:r>
        <w:t>• `LocalModelProvider` constructs either an `httpx.AsyncClient` or an `ollama.AsyncClient`. [S7] The inspected provider exposes `clear_context`, but it is a no-op with a comment that chat completion calls are stateless unless explicit sessions are used. [S7]</w:t>
      </w:r>
    </w:p>
    <w:p>
      <w:pPr>
        <w:ind w:left="288" w:hanging="259"/>
      </w:pPr>
      <w:r>
        <w:t>• Stateless request semantics do not eliminate transport lifecycle responsibilities. In long-lived runtimes, connection pools still need explicit shutdown or ownership rules. In short-lived providers created frequently, lack of closure can become descriptor churn or socket leakage.</w:t>
      </w:r>
    </w:p>
    <w:p>
      <w:pPr>
        <w:ind w:left="288" w:hanging="259"/>
      </w:pPr>
      <w:r>
        <w:t>• This is not proof of a leak by itself, but it is a missing lifecycle contract at exactly the layer where you do not want ambiguity.</w:t>
      </w:r>
    </w:p>
    <w:p>
      <w:pPr>
        <w:pStyle w:val="Heading1"/>
      </w:pPr>
      <w:r>
        <w:t>F5 - The API module is carrying too much import-time state</w:t>
      </w:r>
    </w:p>
    <w:p>
      <w:pPr>
        <w:ind w:left="288" w:hanging="259"/>
      </w:pPr>
      <w:r>
        <w:t>• The API module creates a lazy `_EngineProxy`, but the proxy, project root, stream bus, interaction manager, and extension manager are all module-level state derived from the source tree path. [S8]</w:t>
      </w:r>
    </w:p>
    <w:p>
      <w:pPr>
        <w:ind w:left="288" w:hanging="259"/>
      </w:pPr>
      <w:r>
        <w:t>• That design keeps startup wiring compact, but it also couples tests, process state, workspace resolution, and future multi-tenant concerns into one import boundary. Resetting a proxy is cheaper than resetting a process, but it is still a smell when core runtime dependencies are effectively global singletons.</w:t>
      </w:r>
    </w:p>
    <w:p>
      <w:pPr>
        <w:ind w:left="288" w:hanging="259"/>
      </w:pPr>
      <w:r>
        <w:t>• In practice this raises the cost of precise tests, complicates worker isolation, and makes subtle shared-state bugs more likely as the platform grows.</w:t>
      </w:r>
    </w:p>
    <w:p>
      <w:pPr>
        <w:pStyle w:val="Heading1"/>
      </w:pPr>
      <w:r>
        <w:t>F6 - Logging fallbacks are convenient, but they also hide isolation mistakes</w:t>
      </w:r>
    </w:p>
    <w:p>
      <w:pPr>
        <w:ind w:left="288" w:hanging="259"/>
      </w:pPr>
      <w:r>
        <w:t>• The logging module falls back to `workspace/default` when no workspace is provided, and crash logging does the same. [S9] The top-level `main.py` and `server.py` crash paths call `log_crash(...)` without an explicit workspace. [S3]</w:t>
      </w:r>
    </w:p>
    <w:p>
      <w:pPr>
        <w:ind w:left="288" w:hanging="259"/>
      </w:pPr>
      <w:r>
        <w:t>• That is convenient during bootstrapping, but it means unrelated failures can silently coalesce into a shared fallback area. In local systems this often survives for months because it “works,” while gradually corrupting observability and making incident reconstruction less trustworthy.</w:t>
      </w:r>
    </w:p>
    <w:p>
      <w:pPr>
        <w:ind w:left="288" w:hanging="259"/>
      </w:pPr>
      <w:r>
        <w:t>• If a runtime claims replayability and auditability, hidden default sinks should be treated as exceptions, not ordinary behavior. [S1][S9]</w:t>
      </w:r>
    </w:p>
    <w:p>
      <w:pPr>
        <w:pStyle w:val="Heading1"/>
      </w:pPr>
      <w:r>
        <w:t>F7 - The testing philosophy is stronger than the visible enforcement proof</w:t>
      </w:r>
    </w:p>
    <w:p>
      <w:pPr>
        <w:ind w:left="288" w:hanging="259"/>
      </w:pPr>
      <w:r>
        <w:t>• The repo’s testing policy is genuinely better than average. It emphasizes real behavior over heavy mocks, defines unit/integration/acceptance/live lanes, and specifies determinism and security smoke gates. [S6]</w:t>
      </w:r>
    </w:p>
    <w:p>
      <w:pPr>
        <w:ind w:left="288" w:hanging="259"/>
      </w:pPr>
      <w:r>
        <w:t>• The concern is not the philosophy. The concern is that the visible evidence inspected here does not show hard enforcement of the most failure-prone operational seams identified in this review: installer correctness, subscription lifecycle cleanup, client shutdown, and startup-mode segregation.</w:t>
      </w:r>
    </w:p>
    <w:p>
      <w:pPr>
        <w:ind w:left="288" w:hanging="259"/>
      </w:pPr>
      <w:r>
        <w:t>• Said differently: the policy reads like a repo that wants to be strict; the current source seams still read like a repo that is partly trusting itself.</w:t>
      </w:r>
    </w:p>
    <w:p>
      <w:pPr>
        <w:pStyle w:val="Heading1"/>
      </w:pPr>
      <w:r>
        <w:t>F8 - There is also real strength here, and it should not be ignored</w:t>
      </w:r>
    </w:p>
    <w:p>
      <w:pPr>
        <w:ind w:left="288" w:hanging="259"/>
      </w:pPr>
      <w:r>
        <w:t>• The repository organization is extensive, the test tree is broad, and the docs articulate concrete boundaries around auth, webhook trust, determinism, and runtime gating. [S1][S4][S5][S6]</w:t>
      </w:r>
    </w:p>
    <w:p>
      <w:pPr>
        <w:ind w:left="288" w:hanging="259"/>
      </w:pPr>
      <w:r>
        <w:t>• The API implementation shows deliberate security wiring rather than “security later” vibes: keyed `/v1/*` dependencies, explicit insecure bypass flagging, CORS origin parsing, and posture logging all signal thoughtfulness. [S8][S10]</w:t>
      </w:r>
    </w:p>
    <w:p>
      <w:pPr>
        <w:ind w:left="288" w:hanging="259"/>
      </w:pPr>
      <w:r>
        <w:t>• The LLM provider layer is trying to normalize telemetry and cross-backend behavior instead of hardcoding one path forever. That is good substrate work. [S7] The repo’s problem is operational discipline, not absence of architecture.</w:t>
      </w:r>
    </w:p>
    <w:p>
      <w:pPr>
        <w:pStyle w:val="Heading1"/>
      </w:pPr>
      <w:r>
        <w:t>Architectural Assessment</w:t>
      </w:r>
    </w:p>
    <w:p>
      <w:r>
        <w:t>The repo has a stronger architecture story than many early local-agent projects. The top-level README describes a card lifecycle, guarded workflow execution, and persistent state. The internal tree shows separation across adapters, application logic, interfaces, runtime, platform, and kernel-oriented work. [S1][S4]</w:t>
      </w:r>
    </w:p>
    <w:p>
      <w:r>
        <w:t>That separation matters. It suggests Orket is trying to become a runtime substrate rather than an opinionated CLI script. The difficulty is that runtimes do not fail only in their “important” algorithms. They also fail in reload behavior, install drift, default file sinks, request-client ownership, and singleton scope. That is exactly where this review found the sharpest weaknesses.</w:t>
      </w:r>
    </w:p>
    <w:p>
      <w:pPr>
        <w:pStyle w:val="Heading1"/>
      </w:pPr>
      <w:r>
        <w:t>Security Assessment</w:t>
      </w:r>
    </w:p>
    <w:p>
      <w:r>
        <w:t>The security posture is mixed but encouraging. On the positive side, the docs define fail-closed API auth, webhook signature requirements, and explicit insecure bypass controls. The API code visibly enforces `X-API-Key` for `/v1/*` and logs when insecure bypass is enabled. [S5][S8][S10]</w:t>
      </w:r>
    </w:p>
    <w:p>
      <w:r>
        <w:t>On the negative side, the most user-visible launcher still binds to `0.0.0.0` with reload enabled by default. [S3] That is not a catastrophic vulnerability by itself, but it is the wrong default posture for a system that is trying to make operational guarantees.</w:t>
      </w:r>
    </w:p>
    <w:p>
      <w:pPr>
        <w:pStyle w:val="Heading1"/>
      </w:pPr>
      <w:r>
        <w:t>Reliability and Operability Assessment</w:t>
      </w:r>
    </w:p>
    <w:p>
      <w:r>
        <w:t>This is currently the repo’s weakest area. The combination of global subscriber state, missing visible unsubscribe in API shutdown, default reload mode, and unclear provider-client closure is exactly the kind of reliability debt that causes “weird duplicate events,” file churn, flaky tests, and hard-to-explain long-running instability. [S3][S7][S8][S9]</w:t>
      </w:r>
    </w:p>
    <w:p>
      <w:r>
        <w:t>None of these defects invalidate the project. They do, however, invalidate any claim that the runtime is already operationally tight.</w:t>
      </w:r>
    </w:p>
    <w:p>
      <w:pPr>
        <w:pStyle w:val="Heading1"/>
      </w:pPr>
      <w:r>
        <w:t>Priority Repair Plan</w:t>
      </w:r>
    </w:p>
    <w:tbl>
      <w:tblPr>
        <w:tblW w:type="auto" w:w="0"/>
        <w:jc w:val="center"/>
        <w:tblLayout w:type="fixed"/>
        <w:tblLook w:firstColumn="1" w:firstRow="1" w:lastColumn="0" w:lastRow="0" w:noHBand="0" w:noVBand="1" w:val="04A0"/>
      </w:tblPr>
      <w:tblGrid>
        <w:gridCol w:w="1008"/>
        <w:gridCol w:w="2880"/>
        <w:gridCol w:w="3744"/>
        <w:gridCol w:w="1440"/>
      </w:tblGrid>
      <w:tr>
        <w:tc>
          <w:tcPr>
            <w:tcW w:type="dxa" w:w="2484"/>
            <w:shd w:fill="244061"/>
          </w:tcPr>
          <w:p>
            <w:pPr>
              <w:jc w:val="center"/>
            </w:pPr>
            <w:r>
              <w:rPr>
                <w:b/>
                <w:color w:val="FFFFFF"/>
              </w:rPr>
              <w:t>Phase</w:t>
            </w:r>
          </w:p>
        </w:tc>
        <w:tc>
          <w:tcPr>
            <w:tcW w:type="dxa" w:w="2484"/>
            <w:shd w:fill="244061"/>
          </w:tcPr>
          <w:p>
            <w:pPr>
              <w:jc w:val="center"/>
            </w:pPr>
            <w:r>
              <w:rPr>
                <w:b/>
                <w:color w:val="FFFFFF"/>
              </w:rPr>
              <w:t>Action</w:t>
            </w:r>
          </w:p>
        </w:tc>
        <w:tc>
          <w:tcPr>
            <w:tcW w:type="dxa" w:w="2484"/>
            <w:shd w:fill="244061"/>
          </w:tcPr>
          <w:p>
            <w:pPr>
              <w:jc w:val="center"/>
            </w:pPr>
            <w:r>
              <w:rPr>
                <w:b/>
                <w:color w:val="FFFFFF"/>
              </w:rPr>
              <w:t>Definition of done</w:t>
            </w:r>
          </w:p>
        </w:tc>
        <w:tc>
          <w:tcPr>
            <w:tcW w:type="dxa" w:w="2484"/>
            <w:shd w:fill="244061"/>
          </w:tcPr>
          <w:p>
            <w:pPr>
              <w:jc w:val="center"/>
            </w:pPr>
            <w:r>
              <w:rPr>
                <w:b/>
                <w:color w:val="FFFFFF"/>
              </w:rPr>
              <w:t>Priority</w:t>
            </w:r>
          </w:p>
        </w:tc>
      </w:tr>
      <w:tr>
        <w:tc>
          <w:tcPr>
            <w:tcW w:type="dxa" w:w="1008"/>
            <w:tcMar>
              <w:top w:w="80" w:type="dxa"/>
              <w:start w:w="100" w:type="dxa"/>
              <w:bottom w:w="80" w:type="dxa"/>
              <w:end w:w="100" w:type="dxa"/>
            </w:tcMar>
            <w:vAlign w:val="center"/>
          </w:tcPr>
          <w:p>
            <w:r>
              <w:t>1</w:t>
            </w:r>
          </w:p>
        </w:tc>
        <w:tc>
          <w:tcPr>
            <w:tcW w:type="dxa" w:w="2880"/>
            <w:tcMar>
              <w:top w:w="80" w:type="dxa"/>
              <w:start w:w="100" w:type="dxa"/>
              <w:bottom w:w="80" w:type="dxa"/>
              <w:end w:w="100" w:type="dxa"/>
            </w:tcMar>
            <w:vAlign w:val="center"/>
          </w:tcPr>
          <w:p>
            <w:r>
              <w:t>Make one install path authoritative</w:t>
            </w:r>
          </w:p>
        </w:tc>
        <w:tc>
          <w:tcPr>
            <w:tcW w:type="dxa" w:w="3744"/>
            <w:tcMar>
              <w:top w:w="80" w:type="dxa"/>
              <w:start w:w="100" w:type="dxa"/>
              <w:bottom w:w="80" w:type="dxa"/>
              <w:end w:w="100" w:type="dxa"/>
            </w:tcMar>
            <w:vAlign w:val="center"/>
          </w:tcPr>
          <w:p>
            <w:r>
              <w:t>README install instructions and shipped requirements resolve to the same dependency set; fresh install succeeds from scratch.</w:t>
            </w:r>
          </w:p>
        </w:tc>
        <w:tc>
          <w:tcPr>
            <w:tcW w:type="dxa" w:w="1440"/>
            <w:tcMar>
              <w:top w:w="80" w:type="dxa"/>
              <w:start w:w="100" w:type="dxa"/>
              <w:bottom w:w="80" w:type="dxa"/>
              <w:end w:w="100" w:type="dxa"/>
            </w:tcMar>
            <w:vAlign w:val="center"/>
            <w:shd w:fill="E2F0D9"/>
          </w:tcPr>
          <w:p>
            <w:pPr>
              <w:jc w:val="center"/>
            </w:pPr>
            <w:r>
              <w:t>P0</w:t>
            </w:r>
          </w:p>
        </w:tc>
      </w:tr>
      <w:tr>
        <w:tc>
          <w:tcPr>
            <w:tcW w:type="dxa" w:w="1008"/>
            <w:tcMar>
              <w:top w:w="80" w:type="dxa"/>
              <w:start w:w="100" w:type="dxa"/>
              <w:bottom w:w="80" w:type="dxa"/>
              <w:end w:w="100" w:type="dxa"/>
            </w:tcMar>
            <w:vAlign w:val="center"/>
          </w:tcPr>
          <w:p>
            <w:r>
              <w:t>1</w:t>
            </w:r>
          </w:p>
        </w:tc>
        <w:tc>
          <w:tcPr>
            <w:tcW w:type="dxa" w:w="2880"/>
            <w:tcMar>
              <w:top w:w="80" w:type="dxa"/>
              <w:start w:w="100" w:type="dxa"/>
              <w:bottom w:w="80" w:type="dxa"/>
              <w:end w:w="100" w:type="dxa"/>
            </w:tcMar>
            <w:vAlign w:val="center"/>
          </w:tcPr>
          <w:p>
            <w:r>
              <w:t>Split dev server from runtime server</w:t>
            </w:r>
          </w:p>
        </w:tc>
        <w:tc>
          <w:tcPr>
            <w:tcW w:type="dxa" w:w="3744"/>
            <w:tcMar>
              <w:top w:w="80" w:type="dxa"/>
              <w:start w:w="100" w:type="dxa"/>
              <w:bottom w:w="80" w:type="dxa"/>
              <w:end w:w="100" w:type="dxa"/>
            </w:tcMar>
            <w:vAlign w:val="center"/>
          </w:tcPr>
          <w:p>
            <w:r>
              <w:t>No unconditional reload in the primary launcher; bind address defaults are environment-specific and documented.</w:t>
            </w:r>
          </w:p>
        </w:tc>
        <w:tc>
          <w:tcPr>
            <w:tcW w:type="dxa" w:w="1440"/>
            <w:tcMar>
              <w:top w:w="80" w:type="dxa"/>
              <w:start w:w="100" w:type="dxa"/>
              <w:bottom w:w="80" w:type="dxa"/>
              <w:end w:w="100" w:type="dxa"/>
            </w:tcMar>
            <w:vAlign w:val="center"/>
            <w:shd w:fill="E2F0D9"/>
          </w:tcPr>
          <w:p>
            <w:pPr>
              <w:jc w:val="center"/>
            </w:pPr>
            <w:r>
              <w:t>P0</w:t>
            </w:r>
          </w:p>
        </w:tc>
      </w:tr>
      <w:tr>
        <w:tc>
          <w:tcPr>
            <w:tcW w:type="dxa" w:w="1008"/>
            <w:tcMar>
              <w:top w:w="80" w:type="dxa"/>
              <w:start w:w="100" w:type="dxa"/>
              <w:bottom w:w="80" w:type="dxa"/>
              <w:end w:w="100" w:type="dxa"/>
            </w:tcMar>
            <w:vAlign w:val="center"/>
          </w:tcPr>
          <w:p>
            <w:r>
              <w:t>1</w:t>
            </w:r>
          </w:p>
        </w:tc>
        <w:tc>
          <w:tcPr>
            <w:tcW w:type="dxa" w:w="2880"/>
            <w:tcMar>
              <w:top w:w="80" w:type="dxa"/>
              <w:start w:w="100" w:type="dxa"/>
              <w:bottom w:w="80" w:type="dxa"/>
              <w:end w:w="100" w:type="dxa"/>
            </w:tcMar>
            <w:vAlign w:val="center"/>
          </w:tcPr>
          <w:p>
            <w:r>
              <w:t>Fix subscriber lifecycle</w:t>
            </w:r>
          </w:p>
        </w:tc>
        <w:tc>
          <w:tcPr>
            <w:tcW w:type="dxa" w:w="3744"/>
            <w:tcMar>
              <w:top w:w="80" w:type="dxa"/>
              <w:start w:w="100" w:type="dxa"/>
              <w:bottom w:w="80" w:type="dxa"/>
              <w:end w:w="100" w:type="dxa"/>
            </w:tcMar>
            <w:vAlign w:val="center"/>
          </w:tcPr>
          <w:p>
            <w:r>
              <w:t>API startup registers exactly once; shutdown unsubscribes; regression test proves no duplicate delivery across restart/reload cycles.</w:t>
            </w:r>
          </w:p>
        </w:tc>
        <w:tc>
          <w:tcPr>
            <w:tcW w:type="dxa" w:w="1440"/>
            <w:tcMar>
              <w:top w:w="80" w:type="dxa"/>
              <w:start w:w="100" w:type="dxa"/>
              <w:bottom w:w="80" w:type="dxa"/>
              <w:end w:w="100" w:type="dxa"/>
            </w:tcMar>
            <w:vAlign w:val="center"/>
            <w:shd w:fill="E2F0D9"/>
          </w:tcPr>
          <w:p>
            <w:pPr>
              <w:jc w:val="center"/>
            </w:pPr>
            <w:r>
              <w:t>P0</w:t>
            </w:r>
          </w:p>
        </w:tc>
      </w:tr>
      <w:tr>
        <w:tc>
          <w:tcPr>
            <w:tcW w:type="dxa" w:w="1008"/>
            <w:tcMar>
              <w:top w:w="80" w:type="dxa"/>
              <w:start w:w="100" w:type="dxa"/>
              <w:bottom w:w="80" w:type="dxa"/>
              <w:end w:w="100" w:type="dxa"/>
            </w:tcMar>
            <w:vAlign w:val="center"/>
          </w:tcPr>
          <w:p>
            <w:r>
              <w:t>2</w:t>
            </w:r>
          </w:p>
        </w:tc>
        <w:tc>
          <w:tcPr>
            <w:tcW w:type="dxa" w:w="2880"/>
            <w:tcMar>
              <w:top w:w="80" w:type="dxa"/>
              <w:start w:w="100" w:type="dxa"/>
              <w:bottom w:w="80" w:type="dxa"/>
              <w:end w:w="100" w:type="dxa"/>
            </w:tcMar>
            <w:vAlign w:val="center"/>
          </w:tcPr>
          <w:p>
            <w:r>
              <w:t>Add explicit provider close contract</w:t>
            </w:r>
          </w:p>
        </w:tc>
        <w:tc>
          <w:tcPr>
            <w:tcW w:type="dxa" w:w="3744"/>
            <w:tcMar>
              <w:top w:w="80" w:type="dxa"/>
              <w:start w:w="100" w:type="dxa"/>
              <w:bottom w:w="80" w:type="dxa"/>
              <w:end w:w="100" w:type="dxa"/>
            </w:tcMar>
            <w:vAlign w:val="center"/>
          </w:tcPr>
          <w:p>
            <w:r>
              <w:t>Provider or owning runtime closes network clients deterministically; tests cover repeated create/destroy cycles.</w:t>
            </w:r>
          </w:p>
        </w:tc>
        <w:tc>
          <w:tcPr>
            <w:tcW w:type="dxa" w:w="1440"/>
            <w:tcMar>
              <w:top w:w="80" w:type="dxa"/>
              <w:start w:w="100" w:type="dxa"/>
              <w:bottom w:w="80" w:type="dxa"/>
              <w:end w:w="100" w:type="dxa"/>
            </w:tcMar>
            <w:vAlign w:val="center"/>
            <w:shd w:fill="FFF2CC"/>
          </w:tcPr>
          <w:p>
            <w:pPr>
              <w:jc w:val="center"/>
            </w:pPr>
            <w:r>
              <w:t>P1</w:t>
            </w:r>
          </w:p>
        </w:tc>
      </w:tr>
      <w:tr>
        <w:tc>
          <w:tcPr>
            <w:tcW w:type="dxa" w:w="1008"/>
            <w:tcMar>
              <w:top w:w="80" w:type="dxa"/>
              <w:start w:w="100" w:type="dxa"/>
              <w:bottom w:w="80" w:type="dxa"/>
              <w:end w:w="100" w:type="dxa"/>
            </w:tcMar>
            <w:vAlign w:val="center"/>
          </w:tcPr>
          <w:p>
            <w:r>
              <w:t>2</w:t>
            </w:r>
          </w:p>
        </w:tc>
        <w:tc>
          <w:tcPr>
            <w:tcW w:type="dxa" w:w="2880"/>
            <w:tcMar>
              <w:top w:w="80" w:type="dxa"/>
              <w:start w:w="100" w:type="dxa"/>
              <w:bottom w:w="80" w:type="dxa"/>
              <w:end w:w="100" w:type="dxa"/>
            </w:tcMar>
            <w:vAlign w:val="center"/>
          </w:tcPr>
          <w:p>
            <w:r>
              <w:t>Reduce module-level singleton scope</w:t>
            </w:r>
          </w:p>
        </w:tc>
        <w:tc>
          <w:tcPr>
            <w:tcW w:type="dxa" w:w="3744"/>
            <w:tcMar>
              <w:top w:w="80" w:type="dxa"/>
              <w:start w:w="100" w:type="dxa"/>
              <w:bottom w:w="80" w:type="dxa"/>
              <w:end w:w="100" w:type="dxa"/>
            </w:tcMar>
            <w:vAlign w:val="center"/>
          </w:tcPr>
          <w:p>
            <w:r>
              <w:t>App factory owns engine/bus/managers or injects them cleanly; tests can build isolated instances.</w:t>
            </w:r>
          </w:p>
        </w:tc>
        <w:tc>
          <w:tcPr>
            <w:tcW w:type="dxa" w:w="1440"/>
            <w:tcMar>
              <w:top w:w="80" w:type="dxa"/>
              <w:start w:w="100" w:type="dxa"/>
              <w:bottom w:w="80" w:type="dxa"/>
              <w:end w:w="100" w:type="dxa"/>
            </w:tcMar>
            <w:vAlign w:val="center"/>
            <w:shd w:fill="FFF2CC"/>
          </w:tcPr>
          <w:p>
            <w:pPr>
              <w:jc w:val="center"/>
            </w:pPr>
            <w:r>
              <w:t>P1</w:t>
            </w:r>
          </w:p>
        </w:tc>
      </w:tr>
      <w:tr>
        <w:tc>
          <w:tcPr>
            <w:tcW w:type="dxa" w:w="1008"/>
            <w:tcMar>
              <w:top w:w="80" w:type="dxa"/>
              <w:start w:w="100" w:type="dxa"/>
              <w:bottom w:w="80" w:type="dxa"/>
              <w:end w:w="100" w:type="dxa"/>
            </w:tcMar>
            <w:vAlign w:val="center"/>
          </w:tcPr>
          <w:p>
            <w:r>
              <w:t>2</w:t>
            </w:r>
          </w:p>
        </w:tc>
        <w:tc>
          <w:tcPr>
            <w:tcW w:type="dxa" w:w="2880"/>
            <w:tcMar>
              <w:top w:w="80" w:type="dxa"/>
              <w:start w:w="100" w:type="dxa"/>
              <w:bottom w:w="80" w:type="dxa"/>
              <w:end w:w="100" w:type="dxa"/>
            </w:tcMar>
            <w:vAlign w:val="center"/>
          </w:tcPr>
          <w:p>
            <w:r>
              <w:t>Remove silent fallback workspaces where possible</w:t>
            </w:r>
          </w:p>
        </w:tc>
        <w:tc>
          <w:tcPr>
            <w:tcW w:type="dxa" w:w="3744"/>
            <w:tcMar>
              <w:top w:w="80" w:type="dxa"/>
              <w:start w:w="100" w:type="dxa"/>
              <w:bottom w:w="80" w:type="dxa"/>
              <w:end w:w="100" w:type="dxa"/>
            </w:tcMar>
            <w:vAlign w:val="center"/>
          </w:tcPr>
          <w:p>
            <w:r>
              <w:t>Crashes and logs route to explicit workspace/session contexts or fail loudly when missing.</w:t>
            </w:r>
          </w:p>
        </w:tc>
        <w:tc>
          <w:tcPr>
            <w:tcW w:type="dxa" w:w="1440"/>
            <w:tcMar>
              <w:top w:w="80" w:type="dxa"/>
              <w:start w:w="100" w:type="dxa"/>
              <w:bottom w:w="80" w:type="dxa"/>
              <w:end w:w="100" w:type="dxa"/>
            </w:tcMar>
            <w:vAlign w:val="center"/>
            <w:shd w:fill="FFF2CC"/>
          </w:tcPr>
          <w:p>
            <w:pPr>
              <w:jc w:val="center"/>
            </w:pPr>
            <w:r>
              <w:t>P1</w:t>
            </w:r>
          </w:p>
        </w:tc>
      </w:tr>
      <w:tr>
        <w:tc>
          <w:tcPr>
            <w:tcW w:type="dxa" w:w="1008"/>
            <w:tcMar>
              <w:top w:w="80" w:type="dxa"/>
              <w:start w:w="100" w:type="dxa"/>
              <w:bottom w:w="80" w:type="dxa"/>
              <w:end w:w="100" w:type="dxa"/>
            </w:tcMar>
            <w:vAlign w:val="center"/>
          </w:tcPr>
          <w:p>
            <w:r>
              <w:t>3</w:t>
            </w:r>
          </w:p>
        </w:tc>
        <w:tc>
          <w:tcPr>
            <w:tcW w:type="dxa" w:w="2880"/>
            <w:tcMar>
              <w:top w:w="80" w:type="dxa"/>
              <w:start w:w="100" w:type="dxa"/>
              <w:bottom w:w="80" w:type="dxa"/>
              <w:end w:w="100" w:type="dxa"/>
            </w:tcMar>
            <w:vAlign w:val="center"/>
          </w:tcPr>
          <w:p>
            <w:r>
              <w:t>Convert policy claims into gates</w:t>
            </w:r>
          </w:p>
        </w:tc>
        <w:tc>
          <w:tcPr>
            <w:tcW w:type="dxa" w:w="3744"/>
            <w:tcMar>
              <w:top w:w="80" w:type="dxa"/>
              <w:start w:w="100" w:type="dxa"/>
              <w:bottom w:w="80" w:type="dxa"/>
              <w:end w:w="100" w:type="dxa"/>
            </w:tcMar>
            <w:vAlign w:val="center"/>
          </w:tcPr>
          <w:p>
            <w:r>
              <w:t>Lifecycle, install, and server-mode tests join CI lanes so the docs stop being merely aspirational.</w:t>
            </w:r>
          </w:p>
        </w:tc>
        <w:tc>
          <w:tcPr>
            <w:tcW w:type="dxa" w:w="1440"/>
            <w:tcMar>
              <w:top w:w="80" w:type="dxa"/>
              <w:start w:w="100" w:type="dxa"/>
              <w:bottom w:w="80" w:type="dxa"/>
              <w:end w:w="100" w:type="dxa"/>
            </w:tcMar>
            <w:vAlign w:val="center"/>
            <w:shd w:fill="DDEBF7"/>
          </w:tcPr>
          <w:p>
            <w:pPr>
              <w:jc w:val="center"/>
            </w:pPr>
            <w:r>
              <w:t>P2</w:t>
            </w:r>
          </w:p>
        </w:tc>
      </w:tr>
    </w:tbl>
    <w:p>
      <w:pPr>
        <w:pStyle w:val="Heading1"/>
      </w:pPr>
      <w:r>
        <w:t>Final Verdict</w:t>
      </w:r>
    </w:p>
    <w:p>
      <w:r>
        <w:t>Orket looks like a project that is evolving from “interesting system” into “serious runtime,” but it is not finished making that transition.</w:t>
      </w:r>
    </w:p>
    <w:p>
      <w:r>
        <w:t>The architecture is more mature than the repo’s rough edges might suggest. The danger is that those rough edges are not cosmetic. They sit exactly at the boundary where users decide whether the system is dependable: installation, startup, lifecycle cleanup, logging isolation, and long-running behavior.</w:t>
      </w:r>
    </w:p>
    <w:p>
      <w:r>
        <w:t>Brutally stated: the repo is good enough to be worth hardening, and still sloppy enough in a few key seams to punish anyone who trusts it too early.</w:t>
      </w:r>
    </w:p>
    <w:p>
      <w:pPr>
        <w:pStyle w:val="Heading1"/>
      </w:pPr>
      <w:r>
        <w:t>Sources Inspected</w:t>
      </w:r>
    </w:p>
    <w:p>
      <w:pPr/>
      <w:r>
        <w:rPr>
          <w:b/>
        </w:rPr>
        <w:t xml:space="preserve">S1: </w:t>
      </w:r>
      <w:r>
        <w:t>Repository landing page and README summary (repo structure, lifecycle, quick start). GitHub repo page and README snapshot reviewed March 5, 2026.</w:t>
      </w:r>
    </w:p>
    <w:p>
      <w:pPr/>
      <w:r>
        <w:rPr>
          <w:b/>
        </w:rPr>
        <w:t xml:space="preserve">S2: </w:t>
      </w:r>
      <w:r>
        <w:t>`pyproject.toml` project metadata and dependency declarations.</w:t>
      </w:r>
    </w:p>
    <w:p>
      <w:pPr/>
      <w:r>
        <w:rPr>
          <w:b/>
        </w:rPr>
        <w:t xml:space="preserve">S3: </w:t>
      </w:r>
      <w:r>
        <w:t>Top-level `requirements.txt`, `main.py`, and `server.py` raw file views.</w:t>
      </w:r>
    </w:p>
    <w:p>
      <w:pPr/>
      <w:r>
        <w:rPr>
          <w:b/>
        </w:rPr>
        <w:t xml:space="preserve">S4: </w:t>
      </w:r>
      <w:r>
        <w:t>`orket/` and `tests/` tree listings showing broad module and test topology.</w:t>
      </w:r>
    </w:p>
    <w:p>
      <w:pPr/>
      <w:r>
        <w:rPr>
          <w:b/>
        </w:rPr>
        <w:t xml:space="preserve">S5: </w:t>
      </w:r>
      <w:r>
        <w:t>`docs/SECURITY.md`.</w:t>
      </w:r>
    </w:p>
    <w:p>
      <w:pPr/>
      <w:r>
        <w:rPr>
          <w:b/>
        </w:rPr>
        <w:t xml:space="preserve">S6: </w:t>
      </w:r>
      <w:r>
        <w:t>`docs/TESTING_POLICY.md`.</w:t>
      </w:r>
    </w:p>
    <w:p>
      <w:pPr/>
      <w:r>
        <w:rPr>
          <w:b/>
        </w:rPr>
        <w:t xml:space="preserve">S7: </w:t>
      </w:r>
      <w:r>
        <w:t>`orket/adapters/llm/local_model_provider.py` and `openai_compat_runtime.py`.</w:t>
      </w:r>
    </w:p>
    <w:p>
      <w:pPr/>
      <w:r>
        <w:rPr>
          <w:b/>
        </w:rPr>
        <w:t xml:space="preserve">S8: </w:t>
      </w:r>
      <w:r>
        <w:t>`orket/interfaces/api.py`.</w:t>
      </w:r>
    </w:p>
    <w:p>
      <w:pPr/>
      <w:r>
        <w:rPr>
          <w:b/>
        </w:rPr>
        <w:t xml:space="preserve">S9: </w:t>
      </w:r>
      <w:r>
        <w:t>`orket/logging.py`.</w:t>
      </w:r>
    </w:p>
    <w:p>
      <w:pPr/>
      <w:r>
        <w:rPr>
          <w:b/>
        </w:rPr>
        <w:t xml:space="preserve">S10: </w:t>
      </w:r>
      <w:r>
        <w:t>API auth and posture-related lines in `orket/interfaces/api.py` and security policy text.</w:t>
      </w:r>
    </w:p>
    <w:p>
      <w:r>
        <w:rPr>
          <w:b/>
        </w:rPr>
        <w:t xml:space="preserve">Citation note: </w:t>
      </w:r>
      <w:r>
        <w:t>Bracketed source tags [S1]-[S10] in this document map to the source list above. They are intended to make the reasoning auditable inside the document even though this deliverable is a DOCX rather than a web page.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E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