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62D4A"/>
        </w:rPr>
        <w:t>Orket</w:t>
        <w:br/>
        <w:t>Implementation Plan</w:t>
      </w:r>
    </w:p>
    <w:p>
      <w:pPr>
        <w:pStyle w:val="Subtitle"/>
        <w:jc w:val="center"/>
      </w:pPr>
      <w:r>
        <w:rPr>
          <w:i/>
        </w:rPr>
        <w:t>Remediation plan derived from the brutal and deep code review</w:t>
        <w:br/>
        <w:t>Prepared March 5, 2026</w:t>
      </w:r>
    </w:p>
    <w:tbl>
      <w:tblPr>
        <w:tblW w:type="auto" w:w="0"/>
        <w:jc w:val="center"/>
        <w:tblLayout w:type="fixed"/>
        <w:tblLook w:firstColumn="1" w:firstRow="1" w:lastColumn="0" w:lastRow="0" w:noHBand="0" w:noVBand="1" w:val="04A0"/>
      </w:tblPr>
      <w:tblGrid>
        <w:gridCol w:w="9936"/>
      </w:tblGrid>
      <w:tr>
        <w:tc>
          <w:tcPr>
            <w:tcW w:type="dxa" w:w="8928"/>
            <w:shd w:fill="EEF3F8"/>
            <w:tcMar>
              <w:top w:w="120" w:type="dxa"/>
              <w:start w:w="120" w:type="dxa"/>
              <w:bottom w:w="120" w:type="dxa"/>
              <w:end w:w="120" w:type="dxa"/>
            </w:tcMar>
          </w:tcPr>
          <w:p>
            <w:pPr>
              <w:jc w:val="left"/>
            </w:pPr>
            <w:r>
              <w:rPr>
                <w:b/>
                <w:color w:val="162D4A"/>
              </w:rPr>
              <w:t xml:space="preserve">Objective. </w:t>
            </w:r>
            <w:r>
              <w:t>Convert the review findings into a concrete hardening program that closes the identified operational seams without destabilizing the architecture that already exists.</w:t>
            </w:r>
          </w:p>
          <w:p>
            <w:r>
              <w:rPr>
                <w:b/>
                <w:color w:val="162D4A"/>
              </w:rPr>
              <w:t xml:space="preserve">Primary target. </w:t>
            </w:r>
            <w:r>
              <w:t>Move Orket from prototype-leaning runtime behavior to disciplined, testable, production-candidate behavior at the installation, startup, lifecycle, logging, and reliability boundaries.</w:t>
            </w:r>
          </w:p>
        </w:tc>
      </w:tr>
    </w:tbl>
    <w:p/>
    <w:p>
      <w:pPr>
        <w:pStyle w:val="Heading1"/>
      </w:pPr>
      <w:r>
        <w:t>Program Summary</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944"/>
            <w:shd w:fill="D9E6F2"/>
            <w:tcMar>
              <w:top w:w="80" w:type="dxa"/>
              <w:start w:w="90" w:type="dxa"/>
              <w:bottom w:w="80" w:type="dxa"/>
              <w:end w:w="90" w:type="dxa"/>
            </w:tcMar>
          </w:tcPr>
          <w:p>
            <w:pPr>
              <w:jc w:val="center"/>
            </w:pPr>
            <w:r>
              <w:rPr>
                <w:b/>
                <w:color w:val="162D4A"/>
              </w:rPr>
              <w:t>Workstream</w:t>
            </w:r>
          </w:p>
        </w:tc>
        <w:tc>
          <w:tcPr>
            <w:tcW w:type="dxa" w:w="3168"/>
            <w:shd w:fill="D9E6F2"/>
            <w:tcMar>
              <w:top w:w="80" w:type="dxa"/>
              <w:start w:w="90" w:type="dxa"/>
              <w:bottom w:w="80" w:type="dxa"/>
              <w:end w:w="90" w:type="dxa"/>
            </w:tcMar>
          </w:tcPr>
          <w:p>
            <w:pPr>
              <w:jc w:val="center"/>
            </w:pPr>
            <w:r>
              <w:rPr>
                <w:b/>
                <w:color w:val="162D4A"/>
              </w:rPr>
              <w:t>Scope</w:t>
            </w:r>
          </w:p>
        </w:tc>
        <w:tc>
          <w:tcPr>
            <w:tcW w:type="dxa" w:w="1656"/>
            <w:shd w:fill="D9E6F2"/>
            <w:tcMar>
              <w:top w:w="80" w:type="dxa"/>
              <w:start w:w="90" w:type="dxa"/>
              <w:bottom w:w="80" w:type="dxa"/>
              <w:end w:w="90" w:type="dxa"/>
            </w:tcMar>
          </w:tcPr>
          <w:p>
            <w:pPr>
              <w:jc w:val="center"/>
            </w:pPr>
            <w:r>
              <w:rPr>
                <w:b/>
                <w:color w:val="162D4A"/>
              </w:rPr>
              <w:t>Priority</w:t>
            </w:r>
          </w:p>
        </w:tc>
        <w:tc>
          <w:tcPr>
            <w:tcW w:type="dxa" w:w="2160"/>
            <w:shd w:fill="D9E6F2"/>
            <w:tcMar>
              <w:top w:w="80" w:type="dxa"/>
              <w:start w:w="90" w:type="dxa"/>
              <w:bottom w:w="80" w:type="dxa"/>
              <w:end w:w="90" w:type="dxa"/>
            </w:tcMar>
          </w:tcPr>
          <w:p>
            <w:pPr>
              <w:jc w:val="center"/>
            </w:pPr>
            <w:r>
              <w:rPr>
                <w:b/>
                <w:color w:val="162D4A"/>
              </w:rPr>
              <w:t>Target Gate</w:t>
            </w:r>
          </w:p>
        </w:tc>
      </w:tr>
      <w:tr>
        <w:tc>
          <w:tcPr>
            <w:tcW w:type="dxa" w:w="1944"/>
            <w:tcMar>
              <w:top w:w="80" w:type="dxa"/>
              <w:start w:w="90" w:type="dxa"/>
              <w:bottom w:w="80" w:type="dxa"/>
              <w:end w:w="90" w:type="dxa"/>
            </w:tcMar>
          </w:tcPr>
          <w:p>
            <w:pPr>
              <w:jc w:val="center"/>
            </w:pPr>
            <w:r>
              <w:t>WS1</w:t>
            </w:r>
          </w:p>
        </w:tc>
        <w:tc>
          <w:tcPr>
            <w:tcW w:type="dxa" w:w="3168"/>
            <w:tcMar>
              <w:top w:w="80" w:type="dxa"/>
              <w:start w:w="90" w:type="dxa"/>
              <w:bottom w:w="80" w:type="dxa"/>
              <w:end w:w="90" w:type="dxa"/>
            </w:tcMar>
          </w:tcPr>
          <w:p>
            <w:r>
              <w:t>Install + packaging truth</w:t>
            </w:r>
          </w:p>
        </w:tc>
        <w:tc>
          <w:tcPr>
            <w:tcW w:type="dxa" w:w="1656"/>
            <w:tcMar>
              <w:top w:w="80" w:type="dxa"/>
              <w:start w:w="90" w:type="dxa"/>
              <w:bottom w:w="80" w:type="dxa"/>
              <w:end w:w="90" w:type="dxa"/>
            </w:tcMar>
            <w:shd w:fill="FFF1F0"/>
          </w:tcPr>
          <w:p>
            <w:pPr>
              <w:jc w:val="center"/>
            </w:pPr>
            <w:r>
              <w:t>P0</w:t>
            </w:r>
          </w:p>
        </w:tc>
        <w:tc>
          <w:tcPr>
            <w:tcW w:type="dxa" w:w="2160"/>
            <w:tcMar>
              <w:top w:w="80" w:type="dxa"/>
              <w:start w:w="90" w:type="dxa"/>
              <w:bottom w:w="80" w:type="dxa"/>
              <w:end w:w="90" w:type="dxa"/>
            </w:tcMar>
          </w:tcPr>
          <w:p>
            <w:r>
              <w:t>No drift between docs and runtime</w:t>
            </w:r>
          </w:p>
        </w:tc>
      </w:tr>
      <w:tr>
        <w:tc>
          <w:tcPr>
            <w:tcW w:type="dxa" w:w="1944"/>
            <w:tcMar>
              <w:top w:w="80" w:type="dxa"/>
              <w:start w:w="90" w:type="dxa"/>
              <w:bottom w:w="80" w:type="dxa"/>
              <w:end w:w="90" w:type="dxa"/>
            </w:tcMar>
          </w:tcPr>
          <w:p>
            <w:pPr>
              <w:jc w:val="center"/>
            </w:pPr>
            <w:r>
              <w:t>WS2</w:t>
            </w:r>
          </w:p>
        </w:tc>
        <w:tc>
          <w:tcPr>
            <w:tcW w:type="dxa" w:w="3168"/>
            <w:tcMar>
              <w:top w:w="80" w:type="dxa"/>
              <w:start w:w="90" w:type="dxa"/>
              <w:bottom w:w="80" w:type="dxa"/>
              <w:end w:w="90" w:type="dxa"/>
            </w:tcMar>
          </w:tcPr>
          <w:p>
            <w:r>
              <w:t>Startup and network posture</w:t>
            </w:r>
          </w:p>
        </w:tc>
        <w:tc>
          <w:tcPr>
            <w:tcW w:type="dxa" w:w="1656"/>
            <w:tcMar>
              <w:top w:w="80" w:type="dxa"/>
              <w:start w:w="90" w:type="dxa"/>
              <w:bottom w:w="80" w:type="dxa"/>
              <w:end w:w="90" w:type="dxa"/>
            </w:tcMar>
            <w:shd w:fill="FFF1F0"/>
          </w:tcPr>
          <w:p>
            <w:pPr>
              <w:jc w:val="center"/>
            </w:pPr>
            <w:r>
              <w:t>P0</w:t>
            </w:r>
          </w:p>
        </w:tc>
        <w:tc>
          <w:tcPr>
            <w:tcW w:type="dxa" w:w="2160"/>
            <w:tcMar>
              <w:top w:w="80" w:type="dxa"/>
              <w:start w:w="90" w:type="dxa"/>
              <w:bottom w:w="80" w:type="dxa"/>
              <w:end w:w="90" w:type="dxa"/>
            </w:tcMar>
          </w:tcPr>
          <w:p>
            <w:r>
              <w:t>Safe defaults, explicit dev mode</w:t>
            </w:r>
          </w:p>
        </w:tc>
      </w:tr>
      <w:tr>
        <w:tc>
          <w:tcPr>
            <w:tcW w:type="dxa" w:w="1944"/>
            <w:tcMar>
              <w:top w:w="80" w:type="dxa"/>
              <w:start w:w="90" w:type="dxa"/>
              <w:bottom w:w="80" w:type="dxa"/>
              <w:end w:w="90" w:type="dxa"/>
            </w:tcMar>
          </w:tcPr>
          <w:p>
            <w:pPr>
              <w:jc w:val="center"/>
            </w:pPr>
            <w:r>
              <w:t>WS3</w:t>
            </w:r>
          </w:p>
        </w:tc>
        <w:tc>
          <w:tcPr>
            <w:tcW w:type="dxa" w:w="3168"/>
            <w:tcMar>
              <w:top w:w="80" w:type="dxa"/>
              <w:start w:w="90" w:type="dxa"/>
              <w:bottom w:w="80" w:type="dxa"/>
              <w:end w:w="90" w:type="dxa"/>
            </w:tcMar>
          </w:tcPr>
          <w:p>
            <w:r>
              <w:t>Lifecycle and state cleanup</w:t>
            </w:r>
          </w:p>
        </w:tc>
        <w:tc>
          <w:tcPr>
            <w:tcW w:type="dxa" w:w="1656"/>
            <w:tcMar>
              <w:top w:w="80" w:type="dxa"/>
              <w:start w:w="90" w:type="dxa"/>
              <w:bottom w:w="80" w:type="dxa"/>
              <w:end w:w="90" w:type="dxa"/>
            </w:tcMar>
            <w:shd w:fill="FFF1F0"/>
          </w:tcPr>
          <w:p>
            <w:pPr>
              <w:jc w:val="center"/>
            </w:pPr>
            <w:r>
              <w:t>P0</w:t>
            </w:r>
          </w:p>
        </w:tc>
        <w:tc>
          <w:tcPr>
            <w:tcW w:type="dxa" w:w="2160"/>
            <w:tcMar>
              <w:top w:w="80" w:type="dxa"/>
              <w:start w:w="90" w:type="dxa"/>
              <w:bottom w:w="80" w:type="dxa"/>
              <w:end w:w="90" w:type="dxa"/>
            </w:tcMar>
          </w:tcPr>
          <w:p>
            <w:r>
              <w:t>No reload/test subscriber leaks</w:t>
            </w:r>
          </w:p>
        </w:tc>
      </w:tr>
      <w:tr>
        <w:tc>
          <w:tcPr>
            <w:tcW w:type="dxa" w:w="1944"/>
            <w:tcMar>
              <w:top w:w="80" w:type="dxa"/>
              <w:start w:w="90" w:type="dxa"/>
              <w:bottom w:w="80" w:type="dxa"/>
              <w:end w:w="90" w:type="dxa"/>
            </w:tcMar>
          </w:tcPr>
          <w:p>
            <w:pPr>
              <w:jc w:val="center"/>
            </w:pPr>
            <w:r>
              <w:t>WS4</w:t>
            </w:r>
          </w:p>
        </w:tc>
        <w:tc>
          <w:tcPr>
            <w:tcW w:type="dxa" w:w="3168"/>
            <w:tcMar>
              <w:top w:w="80" w:type="dxa"/>
              <w:start w:w="90" w:type="dxa"/>
              <w:bottom w:w="80" w:type="dxa"/>
              <w:end w:w="90" w:type="dxa"/>
            </w:tcMar>
          </w:tcPr>
          <w:p>
            <w:r>
              <w:t>Reliability, logging, and proof</w:t>
            </w:r>
          </w:p>
        </w:tc>
        <w:tc>
          <w:tcPr>
            <w:tcW w:type="dxa" w:w="1656"/>
            <w:tcMar>
              <w:top w:w="80" w:type="dxa"/>
              <w:start w:w="90" w:type="dxa"/>
              <w:bottom w:w="80" w:type="dxa"/>
              <w:end w:w="90" w:type="dxa"/>
            </w:tcMar>
          </w:tcPr>
          <w:p>
            <w:pPr>
              <w:jc w:val="center"/>
            </w:pPr>
            <w:r>
              <w:t>P1</w:t>
            </w:r>
          </w:p>
        </w:tc>
        <w:tc>
          <w:tcPr>
            <w:tcW w:type="dxa" w:w="2160"/>
            <w:tcMar>
              <w:top w:w="80" w:type="dxa"/>
              <w:start w:w="90" w:type="dxa"/>
              <w:bottom w:w="80" w:type="dxa"/>
              <w:end w:w="90" w:type="dxa"/>
            </w:tcMar>
          </w:tcPr>
          <w:p>
            <w:r>
              <w:t>Deterministic observability</w:t>
            </w:r>
          </w:p>
        </w:tc>
      </w:tr>
    </w:tbl>
    <w:p>
      <w:r>
        <w:br w:type="page"/>
      </w:r>
    </w:p>
    <w:p>
      <w:pPr>
        <w:pStyle w:val="Heading1"/>
      </w:pPr>
      <w:r>
        <w:t>1. Executive Approach</w:t>
      </w:r>
    </w:p>
    <w:p>
      <w:r>
        <w:t>This plan is intentionally biased toward boring correctness rather than feature growth. The review findings do not indicate that Orket needs a new architecture. They indicate that several operational seams still behave like an earlier prototype stage. The right response is to harden those seams first, then prove the hardening through automated gates.</w:t>
      </w:r>
    </w:p>
    <w:p>
      <w:pPr>
        <w:pStyle w:val="Heading1"/>
      </w:pPr>
      <w:r>
        <w:t>2. Program Principles</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shd w:fill="D9E6F2"/>
            <w:tcMar>
              <w:top w:w="80" w:type="dxa"/>
              <w:start w:w="90" w:type="dxa"/>
              <w:bottom w:w="80" w:type="dxa"/>
              <w:end w:w="90" w:type="dxa"/>
            </w:tcMar>
          </w:tcPr>
          <w:p>
            <w:r>
              <w:rPr>
                <w:b/>
                <w:color w:val="162D4A"/>
              </w:rPr>
              <w:t>Principle</w:t>
            </w:r>
          </w:p>
        </w:tc>
        <w:tc>
          <w:tcPr>
            <w:tcW w:type="dxa" w:w="6768"/>
            <w:shd w:fill="D9E6F2"/>
            <w:tcMar>
              <w:top w:w="80" w:type="dxa"/>
              <w:start w:w="90" w:type="dxa"/>
              <w:bottom w:w="80" w:type="dxa"/>
              <w:end w:w="90" w:type="dxa"/>
            </w:tcMar>
          </w:tcPr>
          <w:p>
            <w:r>
              <w:rPr>
                <w:b/>
                <w:color w:val="162D4A"/>
              </w:rPr>
              <w:t>Implementation meaning</w:t>
            </w:r>
          </w:p>
        </w:tc>
      </w:tr>
      <w:tr>
        <w:tc>
          <w:tcPr>
            <w:tcW w:type="dxa" w:w="4968"/>
            <w:tcMar>
              <w:top w:w="80" w:type="dxa"/>
              <w:start w:w="90" w:type="dxa"/>
              <w:bottom w:w="80" w:type="dxa"/>
              <w:end w:w="90" w:type="dxa"/>
            </w:tcMar>
          </w:tcPr>
          <w:p>
            <w:r>
              <w:t>Truth before convenience</w:t>
            </w:r>
          </w:p>
        </w:tc>
        <w:tc>
          <w:tcPr>
            <w:tcW w:type="dxa" w:w="4968"/>
            <w:tcMar>
              <w:top w:w="80" w:type="dxa"/>
              <w:start w:w="90" w:type="dxa"/>
              <w:bottom w:w="80" w:type="dxa"/>
              <w:end w:w="90" w:type="dxa"/>
            </w:tcMar>
          </w:tcPr>
          <w:p>
            <w:r>
              <w:t>The documented install path, dependency graph, and runtime behavior must match exactly. No 'it usually works' paths remain.</w:t>
            </w:r>
          </w:p>
        </w:tc>
      </w:tr>
      <w:tr>
        <w:tc>
          <w:tcPr>
            <w:tcW w:type="dxa" w:w="4968"/>
            <w:tcMar>
              <w:top w:w="80" w:type="dxa"/>
              <w:start w:w="90" w:type="dxa"/>
              <w:bottom w:w="80" w:type="dxa"/>
              <w:end w:w="90" w:type="dxa"/>
            </w:tcMar>
          </w:tcPr>
          <w:p>
            <w:r>
              <w:t>Safe by default, explicit in development</w:t>
            </w:r>
          </w:p>
        </w:tc>
        <w:tc>
          <w:tcPr>
            <w:tcW w:type="dxa" w:w="4968"/>
            <w:tcMar>
              <w:top w:w="80" w:type="dxa"/>
              <w:start w:w="90" w:type="dxa"/>
              <w:bottom w:w="80" w:type="dxa"/>
              <w:end w:w="90" w:type="dxa"/>
            </w:tcMar>
          </w:tcPr>
          <w:p>
            <w:r>
              <w:t>Broad host binding, hot reload, and insecure bypass modes must require deliberate opt-in.</w:t>
            </w:r>
          </w:p>
        </w:tc>
      </w:tr>
      <w:tr>
        <w:tc>
          <w:tcPr>
            <w:tcW w:type="dxa" w:w="4968"/>
            <w:tcMar>
              <w:top w:w="80" w:type="dxa"/>
              <w:start w:w="90" w:type="dxa"/>
              <w:bottom w:w="80" w:type="dxa"/>
              <w:end w:w="90" w:type="dxa"/>
            </w:tcMar>
          </w:tcPr>
          <w:p>
            <w:r>
              <w:t>Ownership at lifecycle boundaries</w:t>
            </w:r>
          </w:p>
        </w:tc>
        <w:tc>
          <w:tcPr>
            <w:tcW w:type="dxa" w:w="4968"/>
            <w:tcMar>
              <w:top w:w="80" w:type="dxa"/>
              <w:start w:w="90" w:type="dxa"/>
              <w:bottom w:w="80" w:type="dxa"/>
              <w:end w:w="90" w:type="dxa"/>
            </w:tcMar>
          </w:tcPr>
          <w:p>
            <w:r>
              <w:t>Every subscriber, background task, and network client must have a visible owner and a visible shutdown path.</w:t>
            </w:r>
          </w:p>
        </w:tc>
      </w:tr>
      <w:tr>
        <w:tc>
          <w:tcPr>
            <w:tcW w:type="dxa" w:w="4968"/>
            <w:tcMar>
              <w:top w:w="80" w:type="dxa"/>
              <w:start w:w="90" w:type="dxa"/>
              <w:bottom w:w="80" w:type="dxa"/>
              <w:end w:w="90" w:type="dxa"/>
            </w:tcMar>
          </w:tcPr>
          <w:p>
            <w:r>
              <w:t>Observability without ambiguity</w:t>
            </w:r>
          </w:p>
        </w:tc>
        <w:tc>
          <w:tcPr>
            <w:tcW w:type="dxa" w:w="4968"/>
            <w:tcMar>
              <w:top w:w="80" w:type="dxa"/>
              <w:start w:w="90" w:type="dxa"/>
              <w:bottom w:w="80" w:type="dxa"/>
              <w:end w:w="90" w:type="dxa"/>
            </w:tcMar>
          </w:tcPr>
          <w:p>
            <w:r>
              <w:t>Fallback sinks and implicit workspace defaults must be reduced or made explicit so audit trails remain trustworthy.</w:t>
            </w:r>
          </w:p>
        </w:tc>
      </w:tr>
      <w:tr>
        <w:tc>
          <w:tcPr>
            <w:tcW w:type="dxa" w:w="4968"/>
            <w:tcMar>
              <w:top w:w="80" w:type="dxa"/>
              <w:start w:w="90" w:type="dxa"/>
              <w:bottom w:w="80" w:type="dxa"/>
              <w:end w:w="90" w:type="dxa"/>
            </w:tcMar>
          </w:tcPr>
          <w:p>
            <w:r>
              <w:t>Proof over intent</w:t>
            </w:r>
          </w:p>
        </w:tc>
        <w:tc>
          <w:tcPr>
            <w:tcW w:type="dxa" w:w="4968"/>
            <w:tcMar>
              <w:top w:w="80" w:type="dxa"/>
              <w:start w:w="90" w:type="dxa"/>
              <w:bottom w:w="80" w:type="dxa"/>
              <w:end w:w="90" w:type="dxa"/>
            </w:tcMar>
          </w:tcPr>
          <w:p>
            <w:r>
              <w:t>Any policy or security statement that matters operationally needs an enforcement test, not just a documentation statement.</w:t>
            </w:r>
          </w:p>
        </w:tc>
      </w:tr>
    </w:tbl>
    <w:p>
      <w:pPr>
        <w:pStyle w:val="Heading1"/>
      </w:pPr>
      <w:r>
        <w:t>3. Findings-to-Workstream Map</w:t>
      </w:r>
    </w:p>
    <w:p>
      <w:r>
        <w:t>Each reviewed finding is mapped below to a remediation owner lane. P0 items block any claim of production-candidate readiness; P1 items should land before broader promotion.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152"/>
            <w:shd w:fill="D9E6F2"/>
            <w:tcMar>
              <w:top w:w="80" w:type="dxa"/>
              <w:start w:w="90" w:type="dxa"/>
              <w:bottom w:w="80" w:type="dxa"/>
              <w:end w:w="90" w:type="dxa"/>
            </w:tcMar>
          </w:tcPr>
          <w:p>
            <w:r>
              <w:rPr>
                <w:b/>
                <w:color w:val="162D4A"/>
              </w:rPr>
              <w:t>Finding</w:t>
            </w:r>
          </w:p>
        </w:tc>
        <w:tc>
          <w:tcPr>
            <w:tcW w:type="dxa" w:w="4608"/>
            <w:shd w:fill="D9E6F2"/>
            <w:tcMar>
              <w:top w:w="80" w:type="dxa"/>
              <w:start w:w="90" w:type="dxa"/>
              <w:bottom w:w="80" w:type="dxa"/>
              <w:end w:w="90" w:type="dxa"/>
            </w:tcMar>
          </w:tcPr>
          <w:p>
            <w:r>
              <w:rPr>
                <w:b/>
                <w:color w:val="162D4A"/>
              </w:rPr>
              <w:t>Issue</w:t>
            </w:r>
          </w:p>
        </w:tc>
        <w:tc>
          <w:tcPr>
            <w:tcW w:type="dxa" w:w="1152"/>
            <w:shd w:fill="D9E6F2"/>
            <w:tcMar>
              <w:top w:w="80" w:type="dxa"/>
              <w:start w:w="90" w:type="dxa"/>
              <w:bottom w:w="80" w:type="dxa"/>
              <w:end w:w="90" w:type="dxa"/>
            </w:tcMar>
          </w:tcPr>
          <w:p>
            <w:r>
              <w:rPr>
                <w:b/>
                <w:color w:val="162D4A"/>
              </w:rPr>
              <w:t>Priority</w:t>
            </w:r>
          </w:p>
        </w:tc>
        <w:tc>
          <w:tcPr>
            <w:tcW w:type="dxa" w:w="3024"/>
            <w:shd w:fill="D9E6F2"/>
            <w:tcMar>
              <w:top w:w="80" w:type="dxa"/>
              <w:start w:w="90" w:type="dxa"/>
              <w:bottom w:w="80" w:type="dxa"/>
              <w:end w:w="90" w:type="dxa"/>
            </w:tcMar>
          </w:tcPr>
          <w:p>
            <w:r>
              <w:rPr>
                <w:b/>
                <w:color w:val="162D4A"/>
              </w:rPr>
              <w:t>Workstream</w:t>
            </w:r>
          </w:p>
        </w:tc>
      </w:tr>
      <w:tr>
        <w:tc>
          <w:tcPr>
            <w:tcW w:type="dxa" w:w="2484"/>
            <w:tcMar>
              <w:top w:w="80" w:type="dxa"/>
              <w:start w:w="90" w:type="dxa"/>
              <w:bottom w:w="80" w:type="dxa"/>
              <w:end w:w="90" w:type="dxa"/>
            </w:tcMar>
          </w:tcPr>
          <w:p>
            <w:pPr>
              <w:jc w:val="center"/>
            </w:pPr>
            <w:r>
              <w:t>F1</w:t>
            </w:r>
          </w:p>
        </w:tc>
        <w:tc>
          <w:tcPr>
            <w:tcW w:type="dxa" w:w="2484"/>
            <w:tcMar>
              <w:top w:w="80" w:type="dxa"/>
              <w:start w:w="90" w:type="dxa"/>
              <w:bottom w:w="80" w:type="dxa"/>
              <w:end w:w="90" w:type="dxa"/>
            </w:tcMar>
          </w:tcPr>
          <w:p>
            <w:r>
              <w:t>Quick-start installer drift</w:t>
            </w:r>
          </w:p>
        </w:tc>
        <w:tc>
          <w:tcPr>
            <w:tcW w:type="dxa" w:w="2484"/>
            <w:tcMar>
              <w:top w:w="80" w:type="dxa"/>
              <w:start w:w="90" w:type="dxa"/>
              <w:bottom w:w="80" w:type="dxa"/>
              <w:end w:w="90" w:type="dxa"/>
            </w:tcMar>
            <w:shd w:fill="FFF1F0"/>
          </w:tcPr>
          <w:p>
            <w:pPr>
              <w:jc w:val="center"/>
            </w:pPr>
            <w:r>
              <w:t>P0</w:t>
            </w:r>
          </w:p>
        </w:tc>
        <w:tc>
          <w:tcPr>
            <w:tcW w:type="dxa" w:w="2484"/>
            <w:tcMar>
              <w:top w:w="80" w:type="dxa"/>
              <w:start w:w="90" w:type="dxa"/>
              <w:bottom w:w="80" w:type="dxa"/>
              <w:end w:w="90" w:type="dxa"/>
            </w:tcMar>
          </w:tcPr>
          <w:p>
            <w:pPr>
              <w:jc w:val="center"/>
            </w:pPr>
            <w:r>
              <w:t>WS1</w:t>
            </w:r>
          </w:p>
        </w:tc>
      </w:tr>
      <w:tr>
        <w:tc>
          <w:tcPr>
            <w:tcW w:type="dxa" w:w="2484"/>
            <w:tcMar>
              <w:top w:w="80" w:type="dxa"/>
              <w:start w:w="90" w:type="dxa"/>
              <w:bottom w:w="80" w:type="dxa"/>
              <w:end w:w="90" w:type="dxa"/>
            </w:tcMar>
          </w:tcPr>
          <w:p>
            <w:pPr>
              <w:jc w:val="center"/>
            </w:pPr>
            <w:r>
              <w:t>F2</w:t>
            </w:r>
          </w:p>
        </w:tc>
        <w:tc>
          <w:tcPr>
            <w:tcW w:type="dxa" w:w="2484"/>
            <w:tcMar>
              <w:top w:w="80" w:type="dxa"/>
              <w:start w:w="90" w:type="dxa"/>
              <w:bottom w:w="80" w:type="dxa"/>
              <w:end w:w="90" w:type="dxa"/>
            </w:tcMar>
          </w:tcPr>
          <w:p>
            <w:r>
              <w:t>Prototype-grade launcher defaults</w:t>
            </w:r>
          </w:p>
        </w:tc>
        <w:tc>
          <w:tcPr>
            <w:tcW w:type="dxa" w:w="2484"/>
            <w:tcMar>
              <w:top w:w="80" w:type="dxa"/>
              <w:start w:w="90" w:type="dxa"/>
              <w:bottom w:w="80" w:type="dxa"/>
              <w:end w:w="90" w:type="dxa"/>
            </w:tcMar>
            <w:shd w:fill="FFF1F0"/>
          </w:tcPr>
          <w:p>
            <w:pPr>
              <w:jc w:val="center"/>
            </w:pPr>
            <w:r>
              <w:t>P0</w:t>
            </w:r>
          </w:p>
        </w:tc>
        <w:tc>
          <w:tcPr>
            <w:tcW w:type="dxa" w:w="2484"/>
            <w:tcMar>
              <w:top w:w="80" w:type="dxa"/>
              <w:start w:w="90" w:type="dxa"/>
              <w:bottom w:w="80" w:type="dxa"/>
              <w:end w:w="90" w:type="dxa"/>
            </w:tcMar>
          </w:tcPr>
          <w:p>
            <w:pPr>
              <w:jc w:val="center"/>
            </w:pPr>
            <w:r>
              <w:t>WS2</w:t>
            </w:r>
          </w:p>
        </w:tc>
      </w:tr>
      <w:tr>
        <w:tc>
          <w:tcPr>
            <w:tcW w:type="dxa" w:w="2484"/>
            <w:tcMar>
              <w:top w:w="80" w:type="dxa"/>
              <w:start w:w="90" w:type="dxa"/>
              <w:bottom w:w="80" w:type="dxa"/>
              <w:end w:w="90" w:type="dxa"/>
            </w:tcMar>
          </w:tcPr>
          <w:p>
            <w:pPr>
              <w:jc w:val="center"/>
            </w:pPr>
            <w:r>
              <w:t>F3</w:t>
            </w:r>
          </w:p>
        </w:tc>
        <w:tc>
          <w:tcPr>
            <w:tcW w:type="dxa" w:w="2484"/>
            <w:tcMar>
              <w:top w:w="80" w:type="dxa"/>
              <w:start w:w="90" w:type="dxa"/>
              <w:bottom w:w="80" w:type="dxa"/>
              <w:end w:w="90" w:type="dxa"/>
            </w:tcMar>
          </w:tcPr>
          <w:p>
            <w:r>
              <w:t>Global subscriber leakage risk</w:t>
            </w:r>
          </w:p>
        </w:tc>
        <w:tc>
          <w:tcPr>
            <w:tcW w:type="dxa" w:w="2484"/>
            <w:tcMar>
              <w:top w:w="80" w:type="dxa"/>
              <w:start w:w="90" w:type="dxa"/>
              <w:bottom w:w="80" w:type="dxa"/>
              <w:end w:w="90" w:type="dxa"/>
            </w:tcMar>
            <w:shd w:fill="FFF1F0"/>
          </w:tcPr>
          <w:p>
            <w:pPr>
              <w:jc w:val="center"/>
            </w:pPr>
            <w:r>
              <w:t>P0</w:t>
            </w:r>
          </w:p>
        </w:tc>
        <w:tc>
          <w:tcPr>
            <w:tcW w:type="dxa" w:w="2484"/>
            <w:tcMar>
              <w:top w:w="80" w:type="dxa"/>
              <w:start w:w="90" w:type="dxa"/>
              <w:bottom w:w="80" w:type="dxa"/>
              <w:end w:w="90" w:type="dxa"/>
            </w:tcMar>
          </w:tcPr>
          <w:p>
            <w:pPr>
              <w:jc w:val="center"/>
            </w:pPr>
            <w:r>
              <w:t>WS3</w:t>
            </w:r>
          </w:p>
        </w:tc>
      </w:tr>
      <w:tr>
        <w:tc>
          <w:tcPr>
            <w:tcW w:type="dxa" w:w="2484"/>
            <w:tcMar>
              <w:top w:w="80" w:type="dxa"/>
              <w:start w:w="90" w:type="dxa"/>
              <w:bottom w:w="80" w:type="dxa"/>
              <w:end w:w="90" w:type="dxa"/>
            </w:tcMar>
          </w:tcPr>
          <w:p>
            <w:pPr>
              <w:jc w:val="center"/>
            </w:pPr>
            <w:r>
              <w:t>F4</w:t>
            </w:r>
          </w:p>
        </w:tc>
        <w:tc>
          <w:tcPr>
            <w:tcW w:type="dxa" w:w="2484"/>
            <w:tcMar>
              <w:top w:w="80" w:type="dxa"/>
              <w:start w:w="90" w:type="dxa"/>
              <w:bottom w:w="80" w:type="dxa"/>
              <w:end w:w="90" w:type="dxa"/>
            </w:tcMar>
          </w:tcPr>
          <w:p>
            <w:r>
              <w:t>Provider client lifecycle unfinished</w:t>
            </w:r>
          </w:p>
        </w:tc>
        <w:tc>
          <w:tcPr>
            <w:tcW w:type="dxa" w:w="2484"/>
            <w:tcMar>
              <w:top w:w="80" w:type="dxa"/>
              <w:start w:w="90" w:type="dxa"/>
              <w:bottom w:w="80" w:type="dxa"/>
              <w:end w:w="90" w:type="dxa"/>
            </w:tcMar>
            <w:shd w:fill="FFF1F0"/>
          </w:tcPr>
          <w:p>
            <w:pPr>
              <w:jc w:val="center"/>
            </w:pPr>
            <w:r>
              <w:t>P0</w:t>
            </w:r>
          </w:p>
        </w:tc>
        <w:tc>
          <w:tcPr>
            <w:tcW w:type="dxa" w:w="2484"/>
            <w:tcMar>
              <w:top w:w="80" w:type="dxa"/>
              <w:start w:w="90" w:type="dxa"/>
              <w:bottom w:w="80" w:type="dxa"/>
              <w:end w:w="90" w:type="dxa"/>
            </w:tcMar>
          </w:tcPr>
          <w:p>
            <w:pPr>
              <w:jc w:val="center"/>
            </w:pPr>
            <w:r>
              <w:t>WS3</w:t>
            </w:r>
          </w:p>
        </w:tc>
      </w:tr>
      <w:tr>
        <w:tc>
          <w:tcPr>
            <w:tcW w:type="dxa" w:w="2484"/>
            <w:tcMar>
              <w:top w:w="80" w:type="dxa"/>
              <w:start w:w="90" w:type="dxa"/>
              <w:bottom w:w="80" w:type="dxa"/>
              <w:end w:w="90" w:type="dxa"/>
            </w:tcMar>
          </w:tcPr>
          <w:p>
            <w:pPr>
              <w:jc w:val="center"/>
            </w:pPr>
            <w:r>
              <w:t>F5</w:t>
            </w:r>
          </w:p>
        </w:tc>
        <w:tc>
          <w:tcPr>
            <w:tcW w:type="dxa" w:w="2484"/>
            <w:tcMar>
              <w:top w:w="80" w:type="dxa"/>
              <w:start w:w="90" w:type="dxa"/>
              <w:bottom w:w="80" w:type="dxa"/>
              <w:end w:w="90" w:type="dxa"/>
            </w:tcMar>
          </w:tcPr>
          <w:p>
            <w:r>
              <w:t>Too much import-time API state</w:t>
            </w:r>
          </w:p>
        </w:tc>
        <w:tc>
          <w:tcPr>
            <w:tcW w:type="dxa" w:w="2484"/>
            <w:tcMar>
              <w:top w:w="80" w:type="dxa"/>
              <w:start w:w="90" w:type="dxa"/>
              <w:bottom w:w="80" w:type="dxa"/>
              <w:end w:w="90" w:type="dxa"/>
            </w:tcMar>
          </w:tcPr>
          <w:p>
            <w:pPr>
              <w:jc w:val="center"/>
            </w:pPr>
            <w:r>
              <w:t>P1</w:t>
            </w:r>
          </w:p>
        </w:tc>
        <w:tc>
          <w:tcPr>
            <w:tcW w:type="dxa" w:w="2484"/>
            <w:tcMar>
              <w:top w:w="80" w:type="dxa"/>
              <w:start w:w="90" w:type="dxa"/>
              <w:bottom w:w="80" w:type="dxa"/>
              <w:end w:w="90" w:type="dxa"/>
            </w:tcMar>
          </w:tcPr>
          <w:p>
            <w:pPr>
              <w:jc w:val="center"/>
            </w:pPr>
            <w:r>
              <w:t>WS3 / WS4</w:t>
            </w:r>
          </w:p>
        </w:tc>
      </w:tr>
      <w:tr>
        <w:tc>
          <w:tcPr>
            <w:tcW w:type="dxa" w:w="2484"/>
            <w:tcMar>
              <w:top w:w="80" w:type="dxa"/>
              <w:start w:w="90" w:type="dxa"/>
              <w:bottom w:w="80" w:type="dxa"/>
              <w:end w:w="90" w:type="dxa"/>
            </w:tcMar>
          </w:tcPr>
          <w:p>
            <w:pPr>
              <w:jc w:val="center"/>
            </w:pPr>
            <w:r>
              <w:t>F6</w:t>
            </w:r>
          </w:p>
        </w:tc>
        <w:tc>
          <w:tcPr>
            <w:tcW w:type="dxa" w:w="2484"/>
            <w:tcMar>
              <w:top w:w="80" w:type="dxa"/>
              <w:start w:w="90" w:type="dxa"/>
              <w:bottom w:w="80" w:type="dxa"/>
              <w:end w:w="90" w:type="dxa"/>
            </w:tcMar>
          </w:tcPr>
          <w:p>
            <w:r>
              <w:t>Fallback logging hides isolation mistakes</w:t>
            </w:r>
          </w:p>
        </w:tc>
        <w:tc>
          <w:tcPr>
            <w:tcW w:type="dxa" w:w="2484"/>
            <w:tcMar>
              <w:top w:w="80" w:type="dxa"/>
              <w:start w:w="90" w:type="dxa"/>
              <w:bottom w:w="80" w:type="dxa"/>
              <w:end w:w="90" w:type="dxa"/>
            </w:tcMar>
          </w:tcPr>
          <w:p>
            <w:pPr>
              <w:jc w:val="center"/>
            </w:pPr>
            <w:r>
              <w:t>P1</w:t>
            </w:r>
          </w:p>
        </w:tc>
        <w:tc>
          <w:tcPr>
            <w:tcW w:type="dxa" w:w="2484"/>
            <w:tcMar>
              <w:top w:w="80" w:type="dxa"/>
              <w:start w:w="90" w:type="dxa"/>
              <w:bottom w:w="80" w:type="dxa"/>
              <w:end w:w="90" w:type="dxa"/>
            </w:tcMar>
          </w:tcPr>
          <w:p>
            <w:pPr>
              <w:jc w:val="center"/>
            </w:pPr>
            <w:r>
              <w:t>WS4</w:t>
            </w:r>
          </w:p>
        </w:tc>
      </w:tr>
      <w:tr>
        <w:tc>
          <w:tcPr>
            <w:tcW w:type="dxa" w:w="2484"/>
            <w:tcMar>
              <w:top w:w="80" w:type="dxa"/>
              <w:start w:w="90" w:type="dxa"/>
              <w:bottom w:w="80" w:type="dxa"/>
              <w:end w:w="90" w:type="dxa"/>
            </w:tcMar>
          </w:tcPr>
          <w:p>
            <w:pPr>
              <w:jc w:val="center"/>
            </w:pPr>
            <w:r>
              <w:t>F7</w:t>
            </w:r>
          </w:p>
        </w:tc>
        <w:tc>
          <w:tcPr>
            <w:tcW w:type="dxa" w:w="2484"/>
            <w:tcMar>
              <w:top w:w="80" w:type="dxa"/>
              <w:start w:w="90" w:type="dxa"/>
              <w:bottom w:w="80" w:type="dxa"/>
              <w:end w:w="90" w:type="dxa"/>
            </w:tcMar>
          </w:tcPr>
          <w:p>
            <w:r>
              <w:t>Testing philosophy stronger than enforcement proof</w:t>
            </w:r>
          </w:p>
        </w:tc>
        <w:tc>
          <w:tcPr>
            <w:tcW w:type="dxa" w:w="2484"/>
            <w:tcMar>
              <w:top w:w="80" w:type="dxa"/>
              <w:start w:w="90" w:type="dxa"/>
              <w:bottom w:w="80" w:type="dxa"/>
              <w:end w:w="90" w:type="dxa"/>
            </w:tcMar>
            <w:shd w:fill="FFF1F0"/>
          </w:tcPr>
          <w:p>
            <w:pPr>
              <w:jc w:val="center"/>
            </w:pPr>
            <w:r>
              <w:t>P0</w:t>
            </w:r>
          </w:p>
        </w:tc>
        <w:tc>
          <w:tcPr>
            <w:tcW w:type="dxa" w:w="2484"/>
            <w:tcMar>
              <w:top w:w="80" w:type="dxa"/>
              <w:start w:w="90" w:type="dxa"/>
              <w:bottom w:w="80" w:type="dxa"/>
              <w:end w:w="90" w:type="dxa"/>
            </w:tcMar>
          </w:tcPr>
          <w:p>
            <w:pPr>
              <w:jc w:val="center"/>
            </w:pPr>
            <w:r>
              <w:t>WS4</w:t>
            </w:r>
          </w:p>
        </w:tc>
      </w:tr>
      <w:tr>
        <w:tc>
          <w:tcPr>
            <w:tcW w:type="dxa" w:w="2484"/>
            <w:tcMar>
              <w:top w:w="80" w:type="dxa"/>
              <w:start w:w="90" w:type="dxa"/>
              <w:bottom w:w="80" w:type="dxa"/>
              <w:end w:w="90" w:type="dxa"/>
            </w:tcMar>
          </w:tcPr>
          <w:p>
            <w:pPr>
              <w:jc w:val="center"/>
            </w:pPr>
            <w:r>
              <w:t>F8</w:t>
            </w:r>
          </w:p>
        </w:tc>
        <w:tc>
          <w:tcPr>
            <w:tcW w:type="dxa" w:w="2484"/>
            <w:tcMar>
              <w:top w:w="80" w:type="dxa"/>
              <w:start w:w="90" w:type="dxa"/>
              <w:bottom w:w="80" w:type="dxa"/>
              <w:end w:w="90" w:type="dxa"/>
            </w:tcMar>
          </w:tcPr>
          <w:p>
            <w:r>
              <w:t>Architectural strengths to preserve</w:t>
            </w:r>
          </w:p>
        </w:tc>
        <w:tc>
          <w:tcPr>
            <w:tcW w:type="dxa" w:w="2484"/>
            <w:tcMar>
              <w:top w:w="80" w:type="dxa"/>
              <w:start w:w="90" w:type="dxa"/>
              <w:bottom w:w="80" w:type="dxa"/>
              <w:end w:w="90" w:type="dxa"/>
            </w:tcMar>
            <w:shd w:fill="EEF8F1"/>
          </w:tcPr>
          <w:p>
            <w:pPr>
              <w:jc w:val="center"/>
            </w:pPr>
            <w:r>
              <w:t>Guardrail</w:t>
            </w:r>
          </w:p>
        </w:tc>
        <w:tc>
          <w:tcPr>
            <w:tcW w:type="dxa" w:w="2484"/>
            <w:tcMar>
              <w:top w:w="80" w:type="dxa"/>
              <w:start w:w="90" w:type="dxa"/>
              <w:bottom w:w="80" w:type="dxa"/>
              <w:end w:w="90" w:type="dxa"/>
            </w:tcMar>
          </w:tcPr>
          <w:p>
            <w:pPr>
              <w:jc w:val="center"/>
            </w:pPr>
            <w:r>
              <w:t>All</w:t>
            </w:r>
          </w:p>
        </w:tc>
      </w:tr>
    </w:tbl>
    <w:p>
      <w:r>
        <w:br w:type="page"/>
      </w:r>
    </w:p>
    <w:p>
      <w:pPr>
        <w:pStyle w:val="Heading1"/>
      </w:pPr>
      <w:r>
        <w:t>4. Phased Delivery Plan</w:t>
      </w:r>
    </w:p>
    <w:p>
      <w:r>
        <w:t>The sequence below is designed to reduce blast radius. Start by making runtime truth observable and documented, then tighten defaults, then eliminate lifecycle leaks, then lock in proof.</w:t>
      </w:r>
    </w:p>
    <w:p>
      <w:pPr>
        <w:pStyle w:val="Heading2"/>
      </w:pPr>
      <w:r>
        <w:t>Phase 0 — Freeze and Baseline (2-4 days)</w:t>
      </w:r>
    </w:p>
    <w:tbl>
      <w:tblPr>
        <w:tblW w:type="auto" w:w="0"/>
        <w:jc w:val="center"/>
        <w:tblLayout w:type="fixed"/>
        <w:tblLook w:firstColumn="1" w:firstRow="1" w:lastColumn="0" w:lastRow="0" w:noHBand="0" w:noVBand="1" w:val="04A0"/>
      </w:tblPr>
      <w:tblGrid>
        <w:gridCol w:w="9936"/>
      </w:tblGrid>
      <w:tr>
        <w:tc>
          <w:tcPr>
            <w:tcW w:type="dxa" w:w="9216"/>
            <w:shd w:fill="FFF7E8"/>
            <w:tcMar>
              <w:top w:w="120" w:type="dxa"/>
              <w:start w:w="120" w:type="dxa"/>
              <w:bottom w:w="120" w:type="dxa"/>
              <w:end w:w="120" w:type="dxa"/>
            </w:tcMar>
          </w:tcPr>
          <w:p>
            <w:pPr>
              <w:spacing w:after="40"/>
              <w:ind w:left="216"/>
            </w:pPr>
            <w:r>
              <w:rPr>
                <w:sz w:val="20"/>
              </w:rPr>
              <w:t>• Declare a temporary feature freeze for any changes touching server startup, logging, provider creation, or dependency installation.</w:t>
            </w:r>
          </w:p>
          <w:p>
            <w:pPr>
              <w:spacing w:after="40"/>
              <w:ind w:left="216"/>
            </w:pPr>
            <w:r>
              <w:rPr>
                <w:sz w:val="20"/>
              </w:rPr>
              <w:t>• Capture current install commands, startup commands, environment variables, and known dev workflows in one baseline note.</w:t>
            </w:r>
          </w:p>
          <w:p>
            <w:pPr>
              <w:spacing w:after="40"/>
              <w:ind w:left="216"/>
            </w:pPr>
            <w:r>
              <w:rPr>
                <w:sz w:val="20"/>
              </w:rPr>
              <w:t>• Create a small 'hardening dashboard' in the repo: open items, acceptance gates, and pass/fail state.</w:t>
            </w:r>
          </w:p>
          <w:p>
            <w:pPr>
              <w:spacing w:after="40"/>
              <w:ind w:left="216"/>
            </w:pPr>
            <w:r>
              <w:rPr>
                <w:sz w:val="20"/>
              </w:rPr>
              <w:t>• Add smoke CI job that performs fresh install from documented commands and imports the main runtime surfaces.</w:t>
            </w:r>
          </w:p>
        </w:tc>
      </w:tr>
    </w:tbl>
    <w:p/>
    <w:p>
      <w:pPr>
        <w:pStyle w:val="Heading2"/>
      </w:pPr>
      <w:r>
        <w:t>Phase 1 — Installation and Packaging Truth (2-3 days)</w:t>
      </w:r>
    </w:p>
    <w:tbl>
      <w:tblPr>
        <w:tblW w:type="auto" w:w="0"/>
        <w:jc w:val="center"/>
        <w:tblLayout w:type="fixed"/>
        <w:tblLook w:firstColumn="1" w:firstRow="1" w:lastColumn="0" w:lastRow="0" w:noHBand="0" w:noVBand="1" w:val="04A0"/>
      </w:tblPr>
      <w:tblGrid>
        <w:gridCol w:w="9936"/>
      </w:tblGrid>
      <w:tr>
        <w:tc>
          <w:tcPr>
            <w:tcW w:type="dxa" w:w="9216"/>
            <w:shd w:fill="EEF3F8"/>
            <w:tcMar>
              <w:top w:w="120" w:type="dxa"/>
              <w:start w:w="120" w:type="dxa"/>
              <w:bottom w:w="120" w:type="dxa"/>
              <w:end w:w="120" w:type="dxa"/>
            </w:tcMar>
          </w:tcPr>
          <w:p>
            <w:pPr>
              <w:spacing w:after="40"/>
              <w:ind w:left="216"/>
            </w:pPr>
            <w:r>
              <w:rPr>
                <w:sz w:val="20"/>
              </w:rPr>
              <w:t>• Choose one canonical install story: either pyproject-managed install or requirements-managed install, not both as competing truths.</w:t>
            </w:r>
          </w:p>
          <w:p>
            <w:pPr>
              <w:spacing w:after="40"/>
              <w:ind w:left="216"/>
            </w:pPr>
            <w:r>
              <w:rPr>
                <w:sz w:val="20"/>
              </w:rPr>
              <w:t>• Regenerate any derived requirements artifacts from the canonical source.</w:t>
            </w:r>
          </w:p>
          <w:p>
            <w:pPr>
              <w:spacing w:after="40"/>
              <w:ind w:left="216"/>
            </w:pPr>
            <w:r>
              <w:rPr>
                <w:sz w:val="20"/>
              </w:rPr>
              <w:t>• Rewrite README quick start so a new operator reaches the same dependency graph used by the runtime and tests.</w:t>
            </w:r>
          </w:p>
          <w:p>
            <w:pPr>
              <w:spacing w:after="40"/>
              <w:ind w:left="216"/>
            </w:pPr>
            <w:r>
              <w:rPr>
                <w:sz w:val="20"/>
              </w:rPr>
              <w:t>• Add CI enforcement that fails on drift between the declared dependency source and public install docs.</w:t>
            </w:r>
          </w:p>
        </w:tc>
      </w:tr>
    </w:tbl>
    <w:p/>
    <w:p>
      <w:pPr>
        <w:pStyle w:val="Heading2"/>
      </w:pPr>
      <w:r>
        <w:t>Phase 2 — Startup and Exposure Hardening (2-4 days)</w:t>
      </w:r>
    </w:p>
    <w:tbl>
      <w:tblPr>
        <w:tblW w:type="auto" w:w="0"/>
        <w:jc w:val="center"/>
        <w:tblLayout w:type="fixed"/>
        <w:tblLook w:firstColumn="1" w:firstRow="1" w:lastColumn="0" w:lastRow="0" w:noHBand="0" w:noVBand="1" w:val="04A0"/>
      </w:tblPr>
      <w:tblGrid>
        <w:gridCol w:w="9936"/>
      </w:tblGrid>
      <w:tr>
        <w:tc>
          <w:tcPr>
            <w:tcW w:type="dxa" w:w="9216"/>
            <w:shd w:fill="F7F9FC"/>
            <w:tcMar>
              <w:top w:w="120" w:type="dxa"/>
              <w:start w:w="120" w:type="dxa"/>
              <w:bottom w:w="120" w:type="dxa"/>
              <w:end w:w="120" w:type="dxa"/>
            </w:tcMar>
          </w:tcPr>
          <w:p>
            <w:pPr>
              <w:spacing w:after="40"/>
              <w:ind w:left="216"/>
            </w:pPr>
            <w:r>
              <w:rPr>
                <w:sz w:val="20"/>
              </w:rPr>
              <w:t>• Split development launcher behavior from production-candidate launcher behavior.</w:t>
            </w:r>
          </w:p>
          <w:p>
            <w:pPr>
              <w:spacing w:after="40"/>
              <w:ind w:left="216"/>
            </w:pPr>
            <w:r>
              <w:rPr>
                <w:sz w:val="20"/>
              </w:rPr>
              <w:t>• Default host binding to loopback unless explicit env/config requests broader exposure.</w:t>
            </w:r>
          </w:p>
          <w:p>
            <w:pPr>
              <w:spacing w:after="40"/>
              <w:ind w:left="216"/>
            </w:pPr>
            <w:r>
              <w:rPr>
                <w:sz w:val="20"/>
              </w:rPr>
              <w:t>• Default reload off; provide a dedicated dev entry point or explicit DEV_MODE toggle for reload workflows.</w:t>
            </w:r>
          </w:p>
          <w:p>
            <w:pPr>
              <w:spacing w:after="40"/>
              <w:ind w:left="216"/>
            </w:pPr>
            <w:r>
              <w:rPr>
                <w:sz w:val="20"/>
              </w:rPr>
              <w:t>• Add tests that assert default binding, default reload posture, and insecure-mode warnings.</w:t>
            </w:r>
          </w:p>
        </w:tc>
      </w:tr>
    </w:tbl>
    <w:p/>
    <w:p>
      <w:pPr>
        <w:pStyle w:val="Heading2"/>
      </w:pPr>
      <w:r>
        <w:t>Phase 3 — Lifecycle Ownership and Cleanup (4-6 days)</w:t>
      </w:r>
    </w:p>
    <w:tbl>
      <w:tblPr>
        <w:tblW w:type="auto" w:w="0"/>
        <w:jc w:val="center"/>
        <w:tblLayout w:type="fixed"/>
        <w:tblLook w:firstColumn="1" w:firstRow="1" w:lastColumn="0" w:lastRow="0" w:noHBand="0" w:noVBand="1" w:val="04A0"/>
      </w:tblPr>
      <w:tblGrid>
        <w:gridCol w:w="9936"/>
      </w:tblGrid>
      <w:tr>
        <w:tc>
          <w:tcPr>
            <w:tcW w:type="dxa" w:w="9216"/>
            <w:shd w:fill="EEF3F8"/>
            <w:tcMar>
              <w:top w:w="120" w:type="dxa"/>
              <w:start w:w="120" w:type="dxa"/>
              <w:bottom w:w="120" w:type="dxa"/>
              <w:end w:w="120" w:type="dxa"/>
            </w:tcMar>
          </w:tcPr>
          <w:p>
            <w:pPr>
              <w:spacing w:after="40"/>
              <w:ind w:left="216"/>
            </w:pPr>
            <w:r>
              <w:rPr>
                <w:sz w:val="20"/>
              </w:rPr>
              <w:t>• Refactor subscriber registration to be app-owned or context-owned rather than process-global mutable state.</w:t>
            </w:r>
          </w:p>
          <w:p>
            <w:pPr>
              <w:spacing w:after="40"/>
              <w:ind w:left="216"/>
            </w:pPr>
            <w:r>
              <w:rPr>
                <w:sz w:val="20"/>
              </w:rPr>
              <w:t>• Guarantee subscribe/unsubscribe symmetry in API lifespan tests, including reload-like repeated startup/shutdown cycles.</w:t>
            </w:r>
          </w:p>
          <w:p>
            <w:pPr>
              <w:spacing w:after="40"/>
              <w:ind w:left="216"/>
            </w:pPr>
            <w:r>
              <w:rPr>
                <w:sz w:val="20"/>
              </w:rPr>
              <w:t>• Define client ownership for httpx and ollama adapters and provide explicit close/async-close paths.</w:t>
            </w:r>
          </w:p>
          <w:p>
            <w:pPr>
              <w:spacing w:after="40"/>
              <w:ind w:left="216"/>
            </w:pPr>
            <w:r>
              <w:rPr>
                <w:sz w:val="20"/>
              </w:rPr>
              <w:t>• Reduce import-time state by moving more wiring into startup factories or dependency injection seams.</w:t>
            </w:r>
          </w:p>
        </w:tc>
      </w:tr>
    </w:tbl>
    <w:p/>
    <w:p>
      <w:pPr>
        <w:pStyle w:val="Heading2"/>
      </w:pPr>
      <w:r>
        <w:t>Phase 4 — Logging Isolation and Reliability Proof (3-5 days)</w:t>
      </w:r>
    </w:p>
    <w:tbl>
      <w:tblPr>
        <w:tblW w:type="auto" w:w="0"/>
        <w:jc w:val="center"/>
        <w:tblLayout w:type="fixed"/>
        <w:tblLook w:firstColumn="1" w:firstRow="1" w:lastColumn="0" w:lastRow="0" w:noHBand="0" w:noVBand="1" w:val="04A0"/>
      </w:tblPr>
      <w:tblGrid>
        <w:gridCol w:w="9936"/>
      </w:tblGrid>
      <w:tr>
        <w:tc>
          <w:tcPr>
            <w:tcW w:type="dxa" w:w="9216"/>
            <w:shd w:fill="F7F9FC"/>
            <w:tcMar>
              <w:top w:w="120" w:type="dxa"/>
              <w:start w:w="120" w:type="dxa"/>
              <w:bottom w:w="120" w:type="dxa"/>
              <w:end w:w="120" w:type="dxa"/>
            </w:tcMar>
          </w:tcPr>
          <w:p>
            <w:pPr>
              <w:spacing w:after="40"/>
              <w:ind w:left="216"/>
            </w:pPr>
            <w:r>
              <w:rPr>
                <w:sz w:val="20"/>
              </w:rPr>
              <w:t>• Eliminate silent shared fallback sinks for crash and event logging in normal operation.</w:t>
            </w:r>
          </w:p>
          <w:p>
            <w:pPr>
              <w:spacing w:after="40"/>
              <w:ind w:left="216"/>
            </w:pPr>
            <w:r>
              <w:rPr>
                <w:sz w:val="20"/>
              </w:rPr>
              <w:t>• Require explicit workspace identity or emit clearly classified bootstrap-only records.</w:t>
            </w:r>
          </w:p>
          <w:p>
            <w:pPr>
              <w:spacing w:after="40"/>
              <w:ind w:left="216"/>
            </w:pPr>
            <w:r>
              <w:rPr>
                <w:sz w:val="20"/>
              </w:rPr>
              <w:t>• Add repeat-run tests that prove no duplicate event delivery, no stale subscribers, and no file sink collisions.</w:t>
            </w:r>
          </w:p>
          <w:p>
            <w:pPr>
              <w:spacing w:after="40"/>
              <w:ind w:left="216"/>
            </w:pPr>
            <w:r>
              <w:rPr>
                <w:sz w:val="20"/>
              </w:rPr>
              <w:t>• Publish a production-candidate readiness checklist that must pass before any broader rollout claim.</w:t>
            </w:r>
          </w:p>
        </w:tc>
      </w:tr>
    </w:tbl>
    <w:p/>
    <w:p>
      <w:pPr>
        <w:pStyle w:val="Heading1"/>
      </w:pPr>
      <w:r>
        <w:t>5. Workstream WS1 — Install and Packaging Truth</w:t>
      </w:r>
    </w:p>
    <w:p>
      <w:pPr>
        <w:pStyle w:val="Heading2"/>
      </w:pPr>
      <w:r>
        <w:t>Problem</w:t>
      </w:r>
    </w:p>
    <w:p>
      <w:r>
        <w:t>The repository currently presents a public installation path that can diverge from the real runtime dependency graph. That creates operator mistrust before execution even begins.</w:t>
      </w:r>
    </w:p>
    <w:p>
      <w:pPr>
        <w:pStyle w:val="Heading2"/>
      </w:pPr>
      <w:r>
        <w:t>Actions</w:t>
      </w:r>
    </w:p>
    <w:p>
      <w:r>
        <w:t>1) Select canonical source of truth for dependencies.</w:t>
      </w:r>
    </w:p>
    <w:p>
      <w:r>
        <w:t>2) Align README, scripts, and setup docs.</w:t>
      </w:r>
    </w:p>
    <w:p>
      <w:r>
        <w:t>3) Remove or clearly mark any convenience files that are not authoritative.</w:t>
      </w:r>
    </w:p>
    <w:p>
      <w:r>
        <w:t>4) Add import-smoke CI from a clean environment.</w:t>
      </w:r>
    </w:p>
    <w:p>
      <w:r>
        <w:t>5) Add dependency drift check in CI.</w:t>
      </w:r>
    </w:p>
    <w:p>
      <w:pPr>
        <w:pStyle w:val="Heading2"/>
      </w:pPr>
      <w:r>
        <w:t>Acceptance criteria</w:t>
      </w:r>
    </w:p>
    <w:p>
      <w:r>
        <w:t>A clean machine following only the public quick start reaches a working import/runtime baseline. CI fails if public install docs drift from canonical metadata.</w:t>
      </w:r>
    </w:p>
    <w:p>
      <w:pPr>
        <w:pStyle w:val="Heading1"/>
      </w:pPr>
      <w:r>
        <w:t>6. Workstream WS2 — Startup and Network Posture</w:t>
      </w:r>
    </w:p>
    <w:p>
      <w:pPr>
        <w:pStyle w:val="Heading2"/>
      </w:pPr>
      <w:r>
        <w:t>Problem</w:t>
      </w:r>
    </w:p>
    <w:p>
      <w:r>
        <w:t>Current top-level launcher defaults are too permissive and too development-oriented for a local-first runtime that wants disciplined posture.</w:t>
      </w:r>
    </w:p>
    <w:p>
      <w:pPr>
        <w:pStyle w:val="Heading2"/>
      </w:pPr>
      <w:r>
        <w:t>Actions</w:t>
      </w:r>
    </w:p>
    <w:p>
      <w:r>
        <w:t>1) Create separate dev and production-candidate launch commands.</w:t>
      </w:r>
    </w:p>
    <w:p>
      <w:r>
        <w:t>2) Default to loopback host binding and reload disabled.</w:t>
      </w:r>
    </w:p>
    <w:p>
      <w:r>
        <w:t>3) Make broad binding and reload opt-in via explicit flags or environment.</w:t>
      </w:r>
    </w:p>
    <w:p>
      <w:r>
        <w:t>4) Emit conspicuous logs when insecure or dev-only settings are active.</w:t>
      </w:r>
    </w:p>
    <w:p>
      <w:pPr>
        <w:pStyle w:val="Heading2"/>
      </w:pPr>
      <w:r>
        <w:t>Acceptance criteria</w:t>
      </w:r>
    </w:p>
    <w:p>
      <w:r>
        <w:t>Default startup is local-only, non-reloading, and explicit about posture. Dedicated tests verify defaults and opt-in paths.</w:t>
      </w:r>
    </w:p>
    <w:p>
      <w:pPr>
        <w:pStyle w:val="Heading1"/>
      </w:pPr>
      <w:r>
        <w:t>7. Workstream WS3 — Lifecycle Ownership, Cleanup, and State Reduction</w:t>
      </w:r>
    </w:p>
    <w:p>
      <w:pPr>
        <w:pStyle w:val="Heading2"/>
      </w:pPr>
      <w:r>
        <w:t>Problem</w:t>
      </w:r>
    </w:p>
    <w:p>
      <w:r>
        <w:t>Global mutable subscribers, unfinished provider shutdown contracts, and heavy import-time state create leak, duplication, and test-isolation risk.</w:t>
      </w:r>
    </w:p>
    <w:p>
      <w:pPr>
        <w:pStyle w:val="Heading2"/>
      </w:pPr>
      <w:r>
        <w:t>Actions</w:t>
      </w:r>
    </w:p>
    <w:p>
      <w:r>
        <w:t>1) Replace process-global subscriber list with app-owned registry or scoped event bus.</w:t>
      </w:r>
    </w:p>
    <w:p>
      <w:r>
        <w:t>2) Ensure every subscribe has unsubscribe/cleanup symmetry.</w:t>
      </w:r>
    </w:p>
    <w:p>
      <w:r>
        <w:t>3) Add async close paths for provider-owned clients and document ownership semantics.</w:t>
      </w:r>
    </w:p>
    <w:p>
      <w:r>
        <w:t>4) Move more stateful setup into startup factories to reduce import-time coupling.</w:t>
      </w:r>
    </w:p>
    <w:p>
      <w:r>
        <w:t>5) Add repeated startup/shutdown tests and leak detection assertions.</w:t>
      </w:r>
    </w:p>
    <w:p>
      <w:pPr>
        <w:pStyle w:val="Heading2"/>
      </w:pPr>
      <w:r>
        <w:t>Acceptance criteria</w:t>
      </w:r>
    </w:p>
    <w:p>
      <w:r>
        <w:t>Multiple startup/shutdown cycles do not duplicate subscribers, retain stale callbacks, or leave client resources open. Core runtime surfaces can be instantiated in tests without process-global residue.</w:t>
      </w:r>
    </w:p>
    <w:p>
      <w:pPr>
        <w:pStyle w:val="Heading1"/>
      </w:pPr>
      <w:r>
        <w:t>8. Workstream WS4 — Logging Isolation, Enforcement, and Proof</w:t>
      </w:r>
    </w:p>
    <w:p>
      <w:pPr>
        <w:pStyle w:val="Heading2"/>
      </w:pPr>
      <w:r>
        <w:t>Problem</w:t>
      </w:r>
    </w:p>
    <w:p>
      <w:r>
        <w:t>Fallback logging behavior and policy-only testing language can mask the exact classes of failures the review identified.</w:t>
      </w:r>
    </w:p>
    <w:p>
      <w:pPr>
        <w:pStyle w:val="Heading2"/>
      </w:pPr>
      <w:r>
        <w:t>Actions</w:t>
      </w:r>
    </w:p>
    <w:p>
      <w:r>
        <w:t>1) Restrict default workspace fallback to bootstrap-only cases or remove it.</w:t>
      </w:r>
    </w:p>
    <w:p>
      <w:r>
        <w:t>2) Tag every fallback record with reason and severity.</w:t>
      </w:r>
    </w:p>
    <w:p>
      <w:r>
        <w:t>3) Add deterministic tests for logging sink selection, duplicate event prevention, and crash-path isolation.</w:t>
      </w:r>
    </w:p>
    <w:p>
      <w:r>
        <w:t>4) Promote high-risk seams into mandatory CI gates.</w:t>
      </w:r>
    </w:p>
    <w:p>
      <w:r>
        <w:t>5) Publish an operator-facing readiness checklist.</w:t>
      </w:r>
    </w:p>
    <w:p>
      <w:pPr>
        <w:pStyle w:val="Heading2"/>
      </w:pPr>
      <w:r>
        <w:t>Acceptance criteria</w:t>
      </w:r>
    </w:p>
    <w:p>
      <w:r>
        <w:t>Observability is attributable to the correct workspace or explicitly classified as bootstrap/fallback. CI proves the hardening promises that docs now make.</w:t>
      </w:r>
    </w:p>
    <w:p>
      <w:r>
        <w:br w:type="page"/>
      </w:r>
    </w:p>
    <w:p>
      <w:pPr>
        <w:pStyle w:val="Heading1"/>
      </w:pPr>
      <w:r>
        <w:t>9. Acceptance Matrix</w:t>
      </w:r>
    </w:p>
    <w:p>
      <w:r>
        <w:t>This matrix turns the plan into objective stop/go gates.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3168"/>
            <w:shd w:fill="D9E6F2"/>
            <w:tcMar>
              <w:top w:w="80" w:type="dxa"/>
              <w:start w:w="90" w:type="dxa"/>
              <w:bottom w:w="80" w:type="dxa"/>
              <w:end w:w="90" w:type="dxa"/>
            </w:tcMar>
          </w:tcPr>
          <w:p>
            <w:r>
              <w:rPr>
                <w:b/>
                <w:color w:val="162D4A"/>
              </w:rPr>
              <w:t>Gate</w:t>
            </w:r>
          </w:p>
        </w:tc>
        <w:tc>
          <w:tcPr>
            <w:tcW w:type="dxa" w:w="2448"/>
            <w:shd w:fill="D9E6F2"/>
            <w:tcMar>
              <w:top w:w="80" w:type="dxa"/>
              <w:start w:w="90" w:type="dxa"/>
              <w:bottom w:w="80" w:type="dxa"/>
              <w:end w:w="90" w:type="dxa"/>
            </w:tcMar>
          </w:tcPr>
          <w:p>
            <w:r>
              <w:rPr>
                <w:b/>
                <w:color w:val="162D4A"/>
              </w:rPr>
              <w:t>Proof required</w:t>
            </w:r>
          </w:p>
        </w:tc>
        <w:tc>
          <w:tcPr>
            <w:tcW w:type="dxa" w:w="1728"/>
            <w:shd w:fill="D9E6F2"/>
            <w:tcMar>
              <w:top w:w="80" w:type="dxa"/>
              <w:start w:w="90" w:type="dxa"/>
              <w:bottom w:w="80" w:type="dxa"/>
              <w:end w:w="90" w:type="dxa"/>
            </w:tcMar>
          </w:tcPr>
          <w:p>
            <w:r>
              <w:rPr>
                <w:b/>
                <w:color w:val="162D4A"/>
              </w:rPr>
              <w:t>Priority</w:t>
            </w:r>
          </w:p>
        </w:tc>
        <w:tc>
          <w:tcPr>
            <w:tcW w:type="dxa" w:w="2304"/>
            <w:shd w:fill="D9E6F2"/>
            <w:tcMar>
              <w:top w:w="80" w:type="dxa"/>
              <w:start w:w="90" w:type="dxa"/>
              <w:bottom w:w="80" w:type="dxa"/>
              <w:end w:w="90" w:type="dxa"/>
            </w:tcMar>
          </w:tcPr>
          <w:p>
            <w:r>
              <w:rPr>
                <w:b/>
                <w:color w:val="162D4A"/>
              </w:rPr>
              <w:t>Blocks promotion</w:t>
            </w:r>
          </w:p>
        </w:tc>
      </w:tr>
      <w:tr>
        <w:tc>
          <w:tcPr>
            <w:tcW w:type="dxa" w:w="2484"/>
            <w:tcMar>
              <w:top w:w="80" w:type="dxa"/>
              <w:start w:w="90" w:type="dxa"/>
              <w:bottom w:w="80" w:type="dxa"/>
              <w:end w:w="90" w:type="dxa"/>
            </w:tcMar>
          </w:tcPr>
          <w:p>
            <w:r>
              <w:t>Fresh install from public docs succeeds</w:t>
            </w:r>
          </w:p>
        </w:tc>
        <w:tc>
          <w:tcPr>
            <w:tcW w:type="dxa" w:w="2484"/>
            <w:tcMar>
              <w:top w:w="80" w:type="dxa"/>
              <w:start w:w="90" w:type="dxa"/>
              <w:bottom w:w="80" w:type="dxa"/>
              <w:end w:w="90" w:type="dxa"/>
            </w:tcMar>
          </w:tcPr>
          <w:p>
            <w:r>
              <w:t>CI job + import smoke</w:t>
            </w:r>
          </w:p>
        </w:tc>
        <w:tc>
          <w:tcPr>
            <w:tcW w:type="dxa" w:w="2484"/>
            <w:tcMar>
              <w:top w:w="80" w:type="dxa"/>
              <w:start w:w="90" w:type="dxa"/>
              <w:bottom w:w="80" w:type="dxa"/>
              <w:end w:w="90" w:type="dxa"/>
            </w:tcMar>
            <w:shd w:fill="FFF1F0"/>
          </w:tcPr>
          <w:p>
            <w:pPr>
              <w:jc w:val="center"/>
            </w:pPr>
            <w:r>
              <w:t>P0</w:t>
            </w:r>
          </w:p>
        </w:tc>
        <w:tc>
          <w:tcPr>
            <w:tcW w:type="dxa" w:w="2484"/>
            <w:tcMar>
              <w:top w:w="80" w:type="dxa"/>
              <w:start w:w="90" w:type="dxa"/>
              <w:bottom w:w="80" w:type="dxa"/>
              <w:end w:w="90" w:type="dxa"/>
            </w:tcMar>
          </w:tcPr>
          <w:p>
            <w:pPr>
              <w:jc w:val="center"/>
            </w:pPr>
            <w:r>
              <w:t>Yes</w:t>
            </w:r>
          </w:p>
        </w:tc>
      </w:tr>
      <w:tr>
        <w:tc>
          <w:tcPr>
            <w:tcW w:type="dxa" w:w="2484"/>
            <w:tcMar>
              <w:top w:w="80" w:type="dxa"/>
              <w:start w:w="90" w:type="dxa"/>
              <w:bottom w:w="80" w:type="dxa"/>
              <w:end w:w="90" w:type="dxa"/>
            </w:tcMar>
          </w:tcPr>
          <w:p>
            <w:r>
              <w:t>Default launcher is loopback + reload off</w:t>
            </w:r>
          </w:p>
        </w:tc>
        <w:tc>
          <w:tcPr>
            <w:tcW w:type="dxa" w:w="2484"/>
            <w:tcMar>
              <w:top w:w="80" w:type="dxa"/>
              <w:start w:w="90" w:type="dxa"/>
              <w:bottom w:w="80" w:type="dxa"/>
              <w:end w:w="90" w:type="dxa"/>
            </w:tcMar>
          </w:tcPr>
          <w:p>
            <w:r>
              <w:t>Config/unit tests</w:t>
            </w:r>
          </w:p>
        </w:tc>
        <w:tc>
          <w:tcPr>
            <w:tcW w:type="dxa" w:w="2484"/>
            <w:tcMar>
              <w:top w:w="80" w:type="dxa"/>
              <w:start w:w="90" w:type="dxa"/>
              <w:bottom w:w="80" w:type="dxa"/>
              <w:end w:w="90" w:type="dxa"/>
            </w:tcMar>
            <w:shd w:fill="FFF1F0"/>
          </w:tcPr>
          <w:p>
            <w:pPr>
              <w:jc w:val="center"/>
            </w:pPr>
            <w:r>
              <w:t>P0</w:t>
            </w:r>
          </w:p>
        </w:tc>
        <w:tc>
          <w:tcPr>
            <w:tcW w:type="dxa" w:w="2484"/>
            <w:tcMar>
              <w:top w:w="80" w:type="dxa"/>
              <w:start w:w="90" w:type="dxa"/>
              <w:bottom w:w="80" w:type="dxa"/>
              <w:end w:w="90" w:type="dxa"/>
            </w:tcMar>
          </w:tcPr>
          <w:p>
            <w:pPr>
              <w:jc w:val="center"/>
            </w:pPr>
            <w:r>
              <w:t>Yes</w:t>
            </w:r>
          </w:p>
        </w:tc>
      </w:tr>
      <w:tr>
        <w:tc>
          <w:tcPr>
            <w:tcW w:type="dxa" w:w="2484"/>
            <w:tcMar>
              <w:top w:w="80" w:type="dxa"/>
              <w:start w:w="90" w:type="dxa"/>
              <w:bottom w:w="80" w:type="dxa"/>
              <w:end w:w="90" w:type="dxa"/>
            </w:tcMar>
          </w:tcPr>
          <w:p>
            <w:r>
              <w:t>Repeated app lifecycle leaves no duplicate subscribers</w:t>
            </w:r>
          </w:p>
        </w:tc>
        <w:tc>
          <w:tcPr>
            <w:tcW w:type="dxa" w:w="2484"/>
            <w:tcMar>
              <w:top w:w="80" w:type="dxa"/>
              <w:start w:w="90" w:type="dxa"/>
              <w:bottom w:w="80" w:type="dxa"/>
              <w:end w:w="90" w:type="dxa"/>
            </w:tcMar>
          </w:tcPr>
          <w:p>
            <w:r>
              <w:t>Lifecycle integration test</w:t>
            </w:r>
          </w:p>
        </w:tc>
        <w:tc>
          <w:tcPr>
            <w:tcW w:type="dxa" w:w="2484"/>
            <w:tcMar>
              <w:top w:w="80" w:type="dxa"/>
              <w:start w:w="90" w:type="dxa"/>
              <w:bottom w:w="80" w:type="dxa"/>
              <w:end w:w="90" w:type="dxa"/>
            </w:tcMar>
            <w:shd w:fill="FFF1F0"/>
          </w:tcPr>
          <w:p>
            <w:pPr>
              <w:jc w:val="center"/>
            </w:pPr>
            <w:r>
              <w:t>P0</w:t>
            </w:r>
          </w:p>
        </w:tc>
        <w:tc>
          <w:tcPr>
            <w:tcW w:type="dxa" w:w="2484"/>
            <w:tcMar>
              <w:top w:w="80" w:type="dxa"/>
              <w:start w:w="90" w:type="dxa"/>
              <w:bottom w:w="80" w:type="dxa"/>
              <w:end w:w="90" w:type="dxa"/>
            </w:tcMar>
          </w:tcPr>
          <w:p>
            <w:pPr>
              <w:jc w:val="center"/>
            </w:pPr>
            <w:r>
              <w:t>Yes</w:t>
            </w:r>
          </w:p>
        </w:tc>
      </w:tr>
      <w:tr>
        <w:tc>
          <w:tcPr>
            <w:tcW w:type="dxa" w:w="2484"/>
            <w:tcMar>
              <w:top w:w="80" w:type="dxa"/>
              <w:start w:w="90" w:type="dxa"/>
              <w:bottom w:w="80" w:type="dxa"/>
              <w:end w:w="90" w:type="dxa"/>
            </w:tcMar>
          </w:tcPr>
          <w:p>
            <w:r>
              <w:t>Provider clients have explicit close path</w:t>
            </w:r>
          </w:p>
        </w:tc>
        <w:tc>
          <w:tcPr>
            <w:tcW w:type="dxa" w:w="2484"/>
            <w:tcMar>
              <w:top w:w="80" w:type="dxa"/>
              <w:start w:w="90" w:type="dxa"/>
              <w:bottom w:w="80" w:type="dxa"/>
              <w:end w:w="90" w:type="dxa"/>
            </w:tcMar>
          </w:tcPr>
          <w:p>
            <w:r>
              <w:t>Unit/integration test</w:t>
            </w:r>
          </w:p>
        </w:tc>
        <w:tc>
          <w:tcPr>
            <w:tcW w:type="dxa" w:w="2484"/>
            <w:tcMar>
              <w:top w:w="80" w:type="dxa"/>
              <w:start w:w="90" w:type="dxa"/>
              <w:bottom w:w="80" w:type="dxa"/>
              <w:end w:w="90" w:type="dxa"/>
            </w:tcMar>
            <w:shd w:fill="FFF1F0"/>
          </w:tcPr>
          <w:p>
            <w:pPr>
              <w:jc w:val="center"/>
            </w:pPr>
            <w:r>
              <w:t>P0</w:t>
            </w:r>
          </w:p>
        </w:tc>
        <w:tc>
          <w:tcPr>
            <w:tcW w:type="dxa" w:w="2484"/>
            <w:tcMar>
              <w:top w:w="80" w:type="dxa"/>
              <w:start w:w="90" w:type="dxa"/>
              <w:bottom w:w="80" w:type="dxa"/>
              <w:end w:w="90" w:type="dxa"/>
            </w:tcMar>
          </w:tcPr>
          <w:p>
            <w:pPr>
              <w:jc w:val="center"/>
            </w:pPr>
            <w:r>
              <w:t>Yes</w:t>
            </w:r>
          </w:p>
        </w:tc>
      </w:tr>
      <w:tr>
        <w:tc>
          <w:tcPr>
            <w:tcW w:type="dxa" w:w="2484"/>
            <w:tcMar>
              <w:top w:w="80" w:type="dxa"/>
              <w:start w:w="90" w:type="dxa"/>
              <w:bottom w:w="80" w:type="dxa"/>
              <w:end w:w="90" w:type="dxa"/>
            </w:tcMar>
          </w:tcPr>
          <w:p>
            <w:r>
              <w:t>Fallback logging no longer hides workspace ambiguity</w:t>
            </w:r>
          </w:p>
        </w:tc>
        <w:tc>
          <w:tcPr>
            <w:tcW w:type="dxa" w:w="2484"/>
            <w:tcMar>
              <w:top w:w="80" w:type="dxa"/>
              <w:start w:w="90" w:type="dxa"/>
              <w:bottom w:w="80" w:type="dxa"/>
              <w:end w:w="90" w:type="dxa"/>
            </w:tcMar>
          </w:tcPr>
          <w:p>
            <w:r>
              <w:t>Reliability test</w:t>
            </w:r>
          </w:p>
        </w:tc>
        <w:tc>
          <w:tcPr>
            <w:tcW w:type="dxa" w:w="2484"/>
            <w:tcMar>
              <w:top w:w="80" w:type="dxa"/>
              <w:start w:w="90" w:type="dxa"/>
              <w:bottom w:w="80" w:type="dxa"/>
              <w:end w:w="90" w:type="dxa"/>
            </w:tcMar>
          </w:tcPr>
          <w:p>
            <w:pPr>
              <w:jc w:val="center"/>
            </w:pPr>
            <w:r>
              <w:t>P1</w:t>
            </w:r>
          </w:p>
        </w:tc>
        <w:tc>
          <w:tcPr>
            <w:tcW w:type="dxa" w:w="2484"/>
            <w:tcMar>
              <w:top w:w="80" w:type="dxa"/>
              <w:start w:w="90" w:type="dxa"/>
              <w:bottom w:w="80" w:type="dxa"/>
              <w:end w:w="90" w:type="dxa"/>
            </w:tcMar>
          </w:tcPr>
          <w:p>
            <w:pPr>
              <w:jc w:val="center"/>
            </w:pPr>
            <w:r>
              <w:t>Yes</w:t>
            </w:r>
          </w:p>
        </w:tc>
      </w:tr>
      <w:tr>
        <w:tc>
          <w:tcPr>
            <w:tcW w:type="dxa" w:w="2484"/>
            <w:tcMar>
              <w:top w:w="80" w:type="dxa"/>
              <w:start w:w="90" w:type="dxa"/>
              <w:bottom w:w="80" w:type="dxa"/>
              <w:end w:w="90" w:type="dxa"/>
            </w:tcMar>
          </w:tcPr>
          <w:p>
            <w:r>
              <w:t>Import-time global state reduced or isolated</w:t>
            </w:r>
          </w:p>
        </w:tc>
        <w:tc>
          <w:tcPr>
            <w:tcW w:type="dxa" w:w="2484"/>
            <w:tcMar>
              <w:top w:w="80" w:type="dxa"/>
              <w:start w:w="90" w:type="dxa"/>
              <w:bottom w:w="80" w:type="dxa"/>
              <w:end w:w="90" w:type="dxa"/>
            </w:tcMar>
          </w:tcPr>
          <w:p>
            <w:r>
              <w:t>Architecture test / fixture</w:t>
            </w:r>
          </w:p>
        </w:tc>
        <w:tc>
          <w:tcPr>
            <w:tcW w:type="dxa" w:w="2484"/>
            <w:tcMar>
              <w:top w:w="80" w:type="dxa"/>
              <w:start w:w="90" w:type="dxa"/>
              <w:bottom w:w="80" w:type="dxa"/>
              <w:end w:w="90" w:type="dxa"/>
            </w:tcMar>
          </w:tcPr>
          <w:p>
            <w:pPr>
              <w:jc w:val="center"/>
            </w:pPr>
            <w:r>
              <w:t>P1</w:t>
            </w:r>
          </w:p>
        </w:tc>
        <w:tc>
          <w:tcPr>
            <w:tcW w:type="dxa" w:w="2484"/>
            <w:tcMar>
              <w:top w:w="80" w:type="dxa"/>
              <w:start w:w="90" w:type="dxa"/>
              <w:bottom w:w="80" w:type="dxa"/>
              <w:end w:w="90" w:type="dxa"/>
            </w:tcMar>
          </w:tcPr>
          <w:p>
            <w:pPr>
              <w:jc w:val="center"/>
            </w:pPr>
            <w:r>
              <w:t>No</w:t>
            </w:r>
          </w:p>
        </w:tc>
      </w:tr>
      <w:tr>
        <w:tc>
          <w:tcPr>
            <w:tcW w:type="dxa" w:w="2484"/>
            <w:tcMar>
              <w:top w:w="80" w:type="dxa"/>
              <w:start w:w="90" w:type="dxa"/>
              <w:bottom w:w="80" w:type="dxa"/>
              <w:end w:w="90" w:type="dxa"/>
            </w:tcMar>
          </w:tcPr>
          <w:p>
            <w:r>
              <w:t>Readiness checklist published and passing</w:t>
            </w:r>
          </w:p>
        </w:tc>
        <w:tc>
          <w:tcPr>
            <w:tcW w:type="dxa" w:w="2484"/>
            <w:tcMar>
              <w:top w:w="80" w:type="dxa"/>
              <w:start w:w="90" w:type="dxa"/>
              <w:bottom w:w="80" w:type="dxa"/>
              <w:end w:w="90" w:type="dxa"/>
            </w:tcMar>
          </w:tcPr>
          <w:p>
            <w:r>
              <w:t>Repo artifact + CI evidence</w:t>
            </w:r>
          </w:p>
        </w:tc>
        <w:tc>
          <w:tcPr>
            <w:tcW w:type="dxa" w:w="2484"/>
            <w:tcMar>
              <w:top w:w="80" w:type="dxa"/>
              <w:start w:w="90" w:type="dxa"/>
              <w:bottom w:w="80" w:type="dxa"/>
              <w:end w:w="90" w:type="dxa"/>
            </w:tcMar>
          </w:tcPr>
          <w:p>
            <w:pPr>
              <w:jc w:val="center"/>
            </w:pPr>
            <w:r>
              <w:t>P1</w:t>
            </w:r>
          </w:p>
        </w:tc>
        <w:tc>
          <w:tcPr>
            <w:tcW w:type="dxa" w:w="2484"/>
            <w:tcMar>
              <w:top w:w="80" w:type="dxa"/>
              <w:start w:w="90" w:type="dxa"/>
              <w:bottom w:w="80" w:type="dxa"/>
              <w:end w:w="90" w:type="dxa"/>
            </w:tcMar>
          </w:tcPr>
          <w:p>
            <w:pPr>
              <w:jc w:val="center"/>
            </w:pPr>
            <w:r>
              <w:t>Yes</w:t>
            </w:r>
          </w:p>
        </w:tc>
      </w:tr>
    </w:tbl>
    <w:p>
      <w:pPr>
        <w:pStyle w:val="Heading1"/>
      </w:pPr>
      <w:r>
        <w:t>10. Test Additions Required</w:t>
      </w:r>
    </w:p>
    <w:p>
      <w:r>
        <w:t>• Installer truth test: create a clean environment from the documented command path and verify import of main entry points plus one smoke execution path.</w:t>
      </w:r>
    </w:p>
    <w:p>
      <w:r>
        <w:t>• Launcher default test: assert host, port, reload, and security-related environment handling under default configuration.</w:t>
      </w:r>
    </w:p>
    <w:p>
      <w:r>
        <w:t>• Lifecycle repetition test: start and stop the API app multiple times in one process and assert subscriber counts, task cleanup, and event delivery cardinality.</w:t>
      </w:r>
    </w:p>
    <w:p>
      <w:r>
        <w:t>• Provider ownership test: create and destroy provider instances repeatedly; verify explicit shutdown path is called and transport clients are not orphaned.</w:t>
      </w:r>
    </w:p>
    <w:p>
      <w:r>
        <w:t>• Workspace logging isolation test: trigger crash and non-crash events from multiple workspaces and assert sink separation or explicit bootstrap tagging.</w:t>
      </w:r>
    </w:p>
    <w:p>
      <w:r>
        <w:t>• Regression proof test: a CI-required suite containing all the above, treated as readiness gates rather than optional long-tail tests.</w:t>
      </w:r>
    </w:p>
    <w:p>
      <w:pPr>
        <w:pStyle w:val="Heading1"/>
      </w:pPr>
      <w:r>
        <w:t>11. Risks and Change-Control Notes</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shd w:fill="D9E6F2"/>
            <w:tcMar>
              <w:top w:w="80" w:type="dxa"/>
              <w:start w:w="90" w:type="dxa"/>
              <w:bottom w:w="80" w:type="dxa"/>
              <w:end w:w="90" w:type="dxa"/>
            </w:tcMar>
          </w:tcPr>
          <w:p>
            <w:r>
              <w:rPr>
                <w:b/>
                <w:color w:val="162D4A"/>
              </w:rPr>
              <w:t>Risk</w:t>
            </w:r>
          </w:p>
        </w:tc>
        <w:tc>
          <w:tcPr>
            <w:tcW w:type="dxa" w:w="7200"/>
            <w:shd w:fill="D9E6F2"/>
            <w:tcMar>
              <w:top w:w="80" w:type="dxa"/>
              <w:start w:w="90" w:type="dxa"/>
              <w:bottom w:w="80" w:type="dxa"/>
              <w:end w:w="90" w:type="dxa"/>
            </w:tcMar>
          </w:tcPr>
          <w:p>
            <w:r>
              <w:rPr>
                <w:b/>
                <w:color w:val="162D4A"/>
              </w:rPr>
              <w:t>Control</w:t>
            </w:r>
          </w:p>
        </w:tc>
      </w:tr>
      <w:tr>
        <w:tc>
          <w:tcPr>
            <w:tcW w:type="dxa" w:w="4968"/>
            <w:tcMar>
              <w:top w:w="80" w:type="dxa"/>
              <w:start w:w="90" w:type="dxa"/>
              <w:bottom w:w="80" w:type="dxa"/>
              <w:end w:w="90" w:type="dxa"/>
            </w:tcMar>
          </w:tcPr>
          <w:p>
            <w:r>
              <w:t>Over-refactoring risk</w:t>
            </w:r>
          </w:p>
        </w:tc>
        <w:tc>
          <w:tcPr>
            <w:tcW w:type="dxa" w:w="4968"/>
            <w:tcMar>
              <w:top w:w="80" w:type="dxa"/>
              <w:start w:w="90" w:type="dxa"/>
              <w:bottom w:w="80" w:type="dxa"/>
              <w:end w:w="90" w:type="dxa"/>
            </w:tcMar>
          </w:tcPr>
          <w:p>
            <w:r>
              <w:t>Do not rewrite the architecture while fixing the seams. Most required changes are boundary ownership and default-behavior changes, not core model redesign.</w:t>
            </w:r>
          </w:p>
        </w:tc>
      </w:tr>
      <w:tr>
        <w:tc>
          <w:tcPr>
            <w:tcW w:type="dxa" w:w="4968"/>
            <w:tcMar>
              <w:top w:w="80" w:type="dxa"/>
              <w:start w:w="90" w:type="dxa"/>
              <w:bottom w:w="80" w:type="dxa"/>
              <w:end w:w="90" w:type="dxa"/>
            </w:tcMar>
          </w:tcPr>
          <w:p>
            <w:r>
              <w:t>False confidence risk</w:t>
            </w:r>
          </w:p>
        </w:tc>
        <w:tc>
          <w:tcPr>
            <w:tcW w:type="dxa" w:w="4968"/>
            <w:tcMar>
              <w:top w:w="80" w:type="dxa"/>
              <w:start w:w="90" w:type="dxa"/>
              <w:bottom w:w="80" w:type="dxa"/>
              <w:end w:w="90" w:type="dxa"/>
            </w:tcMar>
          </w:tcPr>
          <w:p>
            <w:r>
              <w:t>Documentation cleanup alone is not closure. Every meaningful claim in this plan needs a failing test first or a new proof gate.</w:t>
            </w:r>
          </w:p>
        </w:tc>
      </w:tr>
      <w:tr>
        <w:tc>
          <w:tcPr>
            <w:tcW w:type="dxa" w:w="4968"/>
            <w:tcMar>
              <w:top w:w="80" w:type="dxa"/>
              <w:start w:w="90" w:type="dxa"/>
              <w:bottom w:w="80" w:type="dxa"/>
              <w:end w:w="90" w:type="dxa"/>
            </w:tcMar>
          </w:tcPr>
          <w:p>
            <w:r>
              <w:t>Feature-pressure risk</w:t>
            </w:r>
          </w:p>
        </w:tc>
        <w:tc>
          <w:tcPr>
            <w:tcW w:type="dxa" w:w="4968"/>
            <w:tcMar>
              <w:top w:w="80" w:type="dxa"/>
              <w:start w:w="90" w:type="dxa"/>
              <w:bottom w:w="80" w:type="dxa"/>
              <w:end w:w="90" w:type="dxa"/>
            </w:tcMar>
          </w:tcPr>
          <w:p>
            <w:r>
              <w:t>New capabilities introduced during this workstream will blur causality and delay stabilization. Hold feature growth until P0 seams are closed.</w:t>
            </w:r>
          </w:p>
        </w:tc>
      </w:tr>
      <w:tr>
        <w:tc>
          <w:tcPr>
            <w:tcW w:type="dxa" w:w="4968"/>
            <w:tcMar>
              <w:top w:w="80" w:type="dxa"/>
              <w:start w:w="90" w:type="dxa"/>
              <w:bottom w:w="80" w:type="dxa"/>
              <w:end w:w="90" w:type="dxa"/>
            </w:tcMar>
          </w:tcPr>
          <w:p>
            <w:r>
              <w:t>Compatibility risk</w:t>
            </w:r>
          </w:p>
        </w:tc>
        <w:tc>
          <w:tcPr>
            <w:tcW w:type="dxa" w:w="4968"/>
            <w:tcMar>
              <w:top w:w="80" w:type="dxa"/>
              <w:start w:w="90" w:type="dxa"/>
              <w:bottom w:w="80" w:type="dxa"/>
              <w:end w:w="90" w:type="dxa"/>
            </w:tcMar>
          </w:tcPr>
          <w:p>
            <w:r>
              <w:t>If operators already rely on broad binding, reload defaults, or fallback workspaces, preserve them only as explicit legacy modes with warnings, not as silent defaults.</w:t>
            </w:r>
          </w:p>
        </w:tc>
      </w:tr>
    </w:tbl>
    <w:p>
      <w:pPr>
        <w:pStyle w:val="Heading1"/>
      </w:pPr>
      <w:r>
        <w:t>12. Recommended Order of Execution</w:t>
      </w:r>
    </w:p>
    <w:p>
      <w:r>
        <w:t>Recommended order: WS1 -&gt; WS2 -&gt; WS3 -&gt; WS4. That order removes trust-destroying operator drift first, then locks safe defaults, then fixes lifecycle ownership, and finally makes the resulting behavior provable and auditable.</w:t>
      </w:r>
    </w:p>
    <w:p>
      <w:r>
        <w:t>Do not advertise production readiness until all P0 gates pass and the P1 observability gates are either complete or explicitly deferred with documented risk acceptance.</w:t>
      </w:r>
    </w:p>
    <w:p>
      <w:r>
        <w:t>The architecture already appears worth preserving. The implementation plan is therefore a hardening program, not a rebuild.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8"/>
      </w:rPr>
      <w:t xml:space="preserve">Orket remediation plan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2D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62D4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62D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62D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