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Rule="exact" w:line="560"/>
        <w:jc w:val="center"/>
      </w:pPr>
      <w:r>
        <w:rPr>
          <w:rFonts w:ascii="黑体" w:hAnsi="黑体" w:eastAsia="黑体" w:cs="黑体"/>
          <w:b w:val="0"/>
          <w:sz w:val="36"/>
        </w:rPr>
        <w:t>青海海东智算中心节能降碳与综合节能大模型合作备忘录</w:t>
      </w:r>
    </w:p>
    <w:p>
      <w:pPr>
        <w:spacing w:before="0" w:after="200" w:lineRule="exact" w:line="440"/>
        <w:jc w:val="center"/>
      </w:pPr>
      <w:r>
        <w:rPr>
          <w:rFonts w:ascii="楷体_GB2312" w:hAnsi="楷体_GB2312" w:eastAsia="楷体_GB2312" w:cs="楷体_GB2312"/>
          <w:b w:val="0"/>
          <w:sz w:val="28"/>
        </w:rPr>
        <w:t>（三方合作协商备忘录 · 原则安排 · 讨论稿）</w:t>
      </w:r>
    </w:p>
    <w:p>
      <w:pPr>
        <w:spacing w:before="0" w:after="0" w:lineRule="exact" w:line="480"/>
        <w:jc w:val="center"/>
      </w:pPr>
      <w:r>
        <w:rPr>
          <w:rFonts w:ascii="仿宋_GB2312" w:hAnsi="仿宋_GB2312" w:eastAsia="仿宋_GB2312" w:cs="仿宋_GB2312"/>
          <w:b w:val="0"/>
          <w:sz w:val="32"/>
        </w:rPr>
        <w:t>南方电网综合能源股份有限公司</w:t>
      </w:r>
    </w:p>
    <w:p>
      <w:pPr>
        <w:spacing w:before="0" w:after="0" w:lineRule="exact" w:line="480"/>
        <w:jc w:val="center"/>
      </w:pPr>
      <w:r>
        <w:rPr>
          <w:rFonts w:ascii="仿宋_GB2312" w:hAnsi="仿宋_GB2312" w:eastAsia="仿宋_GB2312" w:cs="仿宋_GB2312"/>
          <w:b w:val="0"/>
          <w:sz w:val="32"/>
        </w:rPr>
        <w:t>广州恒运</w:t>
      </w:r>
    </w:p>
    <w:p>
      <w:pPr>
        <w:spacing w:before="0" w:after="0" w:lineRule="exact" w:line="480"/>
        <w:jc w:val="center"/>
      </w:pPr>
      <w:r>
        <w:rPr>
          <w:rFonts w:ascii="仿宋_GB2312" w:hAnsi="仿宋_GB2312" w:eastAsia="仿宋_GB2312" w:cs="仿宋_GB2312"/>
          <w:b w:val="0"/>
          <w:sz w:val="32"/>
        </w:rPr>
        <w:t>青海超算芯科技有限公司</w:t>
      </w:r>
    </w:p>
    <w:p>
      <w:pPr>
        <w:spacing w:before="120" w:after="320" w:lineRule="exact" w:line="440"/>
        <w:jc w:val="center"/>
      </w:pPr>
      <w:r>
        <w:rPr>
          <w:rFonts w:ascii="仿宋_GB2312" w:hAnsi="仿宋_GB2312" w:eastAsia="仿宋_GB2312" w:cs="仿宋_GB2312"/>
          <w:b w:val="0"/>
          <w:sz w:val="24"/>
        </w:rPr>
        <w:t>二〇二六年九月八日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本备忘录用于锁定三方共同开发综合节能大模型、开展节能降碳场景合作的原则安排，并把南网能源数据安全和生产数据接入要求写入合作界面。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本备忘录确认：大模型和Token是旁路合作，不进入五年闭口保底，也不用于补金租缺口。分成比例、数据权、模型权属和训练经费另签专项协议。本备忘录不构成投资承诺，也不改变南网能源直投五类设备、按闭口服务费回收的既有安排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一、目的和效力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各方同意，在青海海东工业互联共享算力池项目（项目主体为青海超算芯科技有限公司，或以其为载体新设的项目公司，以下称SPV）上，共建算力运营团队和算力大模型团队，围绕节能降耗重点项目训练综合节能大模型，并探索将低谷或自留算力做成节能场景产品。运营团队负责上架和回款，大模型团队负责模型与场景。两层工作均不替代闭口保底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本备忘录是协商文本，用于统一口径和推进专项协议，不构成已生效的投资、金租或股权安排。对本备忘录未尽事项，以随后签署的数据合作协议、模型开发协议和Token分成协议为准。本备忘录与五类设备投资、金融租赁、股权转让文件冲突时，投资、金租和股权文件优先；涉及南网能源数据、生产监控和生成式人工智能训练的，以南网能源现行数据安全和生产数据接入制度优先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二、合作各方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甲方为南方电网综合能源股份有限公司（以下称南网能源）。南网能源直投并持有储能、机柜、空调、动环和电源五类设备，收取闭口服务费，并按合同参与租赁超额分成；不登记为SPV控股股东。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乙方为广州恒运（全称及统一社会信用代码待书面确认，以下称恒运）。恒运为SPV拟登记受让80%股权的一方，主导SPV经营，参与建设和运营。本备忘录项下乙方仅为恒运一家。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丙方为青海超算芯科技有限公司（以下称超算芯），提供项目主体和属地条件。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原股东青海恒芯能源有限公司拟留股不超过20%；陕西大合九嵩信息科技有限公司拟退出。上述两家原股东不作为本备忘录签署方。落地股东（含恒芯留股等）可不超过20%，具体以随后股权文件为准。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三、合作内容</w:t>
      </w:r>
    </w:p>
    <w:p>
      <w:pPr>
        <w:spacing w:before="200" w:after="80" w:lineRule="exact" w:line="580"/>
        <w:jc w:val="left"/>
      </w:pPr>
      <w:r>
        <w:rPr>
          <w:rFonts w:ascii="楷体_GB2312" w:hAnsi="楷体_GB2312" w:eastAsia="楷体_GB2312" w:cs="楷体_GB2312"/>
          <w:b w:val="0"/>
          <w:sz w:val="32"/>
        </w:rPr>
        <w:t>（一）节能降碳场景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合作聚焦综合能源和算力设施的节能降碳。场景由南网能源提出或确认。本备忘录不承诺节能量、碳减排量、Token销量和单价。</w:t>
      </w:r>
    </w:p>
    <w:p>
      <w:pPr>
        <w:spacing w:before="200" w:after="80" w:lineRule="exact" w:line="580"/>
        <w:jc w:val="left"/>
      </w:pPr>
      <w:r>
        <w:rPr>
          <w:rFonts w:ascii="楷体_GB2312" w:hAnsi="楷体_GB2312" w:eastAsia="楷体_GB2312" w:cs="楷体_GB2312"/>
          <w:b w:val="0"/>
          <w:sz w:val="32"/>
        </w:rPr>
        <w:t>（二）综合节能大模型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综合节能大模型是技术载体，不替代五类设备投资回报。训练、评测须单独立项。未分级、未授权、未脱敏的数据不得直接用于训练。未通过南网能源数据安全技术管控审查前，不得对接业务系统或对外服务。</w:t>
      </w:r>
    </w:p>
    <w:p>
      <w:pPr>
        <w:spacing w:before="200" w:after="80" w:lineRule="exact" w:line="580"/>
        <w:jc w:val="left"/>
      </w:pPr>
      <w:r>
        <w:rPr>
          <w:rFonts w:ascii="楷体_GB2312" w:hAnsi="楷体_GB2312" w:eastAsia="楷体_GB2312" w:cs="楷体_GB2312"/>
          <w:b w:val="0"/>
          <w:sz w:val="32"/>
        </w:rPr>
        <w:t>（三）算力使用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可以使用低谷或自留算力，但须服从客户租约和金租资产优先。Token对外销售走旁路账户，不进入监管账户保底瀑布，不得用于弥补金租或闭口缺口。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四、与闭口服务和金租的边界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项目回收依靠五年闭口可用性服务费，并与上架率脱钩。监管账户支付顺序为：金租、闭口服务费、租赁超额分成，剩余归SPV股东。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南网能源不为SPV金租债务提供担保、增信、差额补足或回购。节能收益、Token收入和模型成果，不得解释为金租或闭口的备用还款来源。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五、数据与信息安全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各方适用《中华人民共和国网络安全法》《中华人民共和国数据安全法》《中华人民共和国个人信息保护法》等现行法律，并执行南网能源《数据安全管理细则（2026版）》（Q/CSG-E2153001-2026）和《生产数据接入及质量管理业务指导书》（Q/CSG-E2154002-2026）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启成平台不是默认训练库，不得默认开放接入。确需使用启成数据的，须分类分级、最小必要、书面授权。增量监控优先采用自建系统。发生安全事件的，须立即通知南网能源数字化管理部门及本备忘录各方。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六、成果归属和收益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本备忘录不预定著作权、专利、数据权、Token权和分成比例，上述事项由专项协议单列。Token收入和模型收入不进入保底支付顺序。股权分红与本合作项下分成不是同一笔款项，不得混同结算。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七、下一步和待书面确认事项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各方签署后三十日内，提交数据合作协议、模型开发协议和Token分成协议提纲。未完成分类分级和上线审查的，不得正式训练，不得对外宣传已具备产品。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待书面确认事项列于表4。表列事项均保持待书面确认状态，本稿不编造具体数字、名单或比例。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八、有效期、签署和其他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本备忘录自三方盖章之日起生效，有效期十二个月，或至专项协议生效之日止，以较早者为准。任何一方可提前十五日书面通知终止磋商；保密和数据安全义务在终止后继续有效三年。本备忘录一式三份，三方各执一份。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九、签署栏</w:t>
      </w:r>
    </w:p>
    <w:p>
      <w:pPr>
        <w:spacing w:before="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以下签署栏留空，待正式签署时填写。未盖章前，本稿仅为协商讨论稿。</w:t>
      </w:r>
    </w:p>
    <w:p>
      <w:pPr>
        <w:spacing w:before="240" w:after="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甲方</w:t>
      </w:r>
    </w:p>
    <w:p>
      <w:pPr>
        <w:spacing w:before="0" w:after="0" w:lineRule="exact" w:line="58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南方电网综合能源股份有限公司（盖章）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授权代表：____________________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职务：____________________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日期：____________________</w:t>
      </w:r>
    </w:p>
    <w:p>
      <w:pPr>
        <w:spacing w:before="320" w:after="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乙方</w:t>
      </w:r>
    </w:p>
    <w:p>
      <w:pPr>
        <w:spacing w:before="0" w:after="0" w:lineRule="exact" w:line="58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广州恒运（全称待书面确认）（盖章）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授权代表：____________________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职务：____________________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日期：____________________</w:t>
      </w:r>
    </w:p>
    <w:p>
      <w:pPr>
        <w:spacing w:before="320" w:after="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丙方</w:t>
      </w:r>
    </w:p>
    <w:p>
      <w:pPr>
        <w:spacing w:before="0" w:after="0" w:lineRule="exact" w:line="58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青海超算芯科技有限公司（盖章）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授权代表：____________________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职务：____________________</w:t>
      </w:r>
    </w:p>
    <w:p>
      <w:pPr>
        <w:spacing w:before="80" w:after="40" w:lineRule="exact" w:line="580"/>
        <w:jc w:val="left"/>
      </w:pPr>
      <w:r>
        <w:rPr>
          <w:rFonts w:ascii="仿宋_GB2312" w:hAnsi="仿宋_GB2312" w:eastAsia="仿宋_GB2312" w:cs="仿宋_GB2312"/>
          <w:b w:val="0"/>
          <w:sz w:val="32"/>
        </w:rPr>
        <w:t>日期：____________________</w:t>
      </w:r>
    </w:p>
    <w:p>
      <w:pPr>
        <w:spacing w:before="320" w:after="120" w:lineRule="exact" w:line="580"/>
        <w:jc w:val="left"/>
      </w:pPr>
      <w:r>
        <w:rPr>
          <w:rFonts w:ascii="黑体" w:hAnsi="黑体" w:eastAsia="黑体" w:cs="黑体"/>
          <w:b w:val="0"/>
          <w:sz w:val="32"/>
        </w:rPr>
        <w:t>附表</w:t>
      </w:r>
    </w:p>
    <w:p>
      <w:pPr>
        <w:spacing w:before="240" w:after="120" w:lineRule="exact" w:line="400"/>
        <w:jc w:val="center"/>
      </w:pPr>
      <w:r>
        <w:rPr>
          <w:rFonts w:ascii="黑体" w:hAnsi="黑体" w:eastAsia="黑体" w:cs="黑体"/>
          <w:b w:val="0"/>
          <w:sz w:val="24"/>
        </w:rPr>
        <w:t>表1 各方分工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8844" w:type="dxa"/>
      </w:tblPr>
      <w:tblGrid>
        <w:gridCol w:w="1587"/>
        <w:gridCol w:w="2381"/>
        <w:gridCol w:w="4875"/>
      </w:tblGrid>
      <w:tr>
        <w:trPr>
          <w:tblHeader w:val="true"/>
        </w:trPr>
        <w:tc>
          <w:tcPr>
            <w:tcW w:type="dxa" w:w="1587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主体</w:t>
            </w:r>
          </w:p>
        </w:tc>
        <w:tc>
          <w:tcPr>
            <w:tcW w:type="dxa" w:w="2381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身份</w:t>
            </w:r>
          </w:p>
        </w:tc>
        <w:tc>
          <w:tcPr>
            <w:tcW w:type="dxa" w:w="4876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主要职责</w:t>
            </w:r>
          </w:p>
        </w:tc>
      </w:tr>
      <w:tr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南网能源</w:t>
            </w:r>
          </w:p>
        </w:tc>
        <w:tc>
          <w:tcPr>
            <w:tcW w:type="dxa" w:w="238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五类设备投资方，不控股</w:t>
            </w:r>
          </w:p>
        </w:tc>
        <w:tc>
          <w:tcPr>
            <w:tcW w:type="dxa" w:w="4876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提出场景和数据安全要求；审核训练数据分级；对涉及公司数据或接入系统的模型与平台行使上线审查</w:t>
            </w:r>
          </w:p>
        </w:tc>
      </w:tr>
      <w:tr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广州恒运</w:t>
            </w:r>
          </w:p>
        </w:tc>
        <w:tc>
          <w:tcPr>
            <w:tcW w:type="dxa" w:w="238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拟受让SPV 80%股权</w:t>
            </w:r>
          </w:p>
        </w:tc>
        <w:tc>
          <w:tcPr>
            <w:tcW w:type="dxa" w:w="4876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主导经营和客户交付；与超算芯落实算力调度、回款和现场条件；按专项协议分担模型编制和经费</w:t>
            </w:r>
          </w:p>
        </w:tc>
      </w:tr>
      <w:tr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超算芯</w:t>
            </w:r>
          </w:p>
        </w:tc>
        <w:tc>
          <w:tcPr>
            <w:tcW w:type="dxa" w:w="238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项目SPV或载体</w:t>
            </w:r>
          </w:p>
        </w:tc>
        <w:tc>
          <w:tcPr>
            <w:tcW w:type="dxa" w:w="4876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提供主体、机房和属地条件；配合数据不出境、分区存储和访问控制；不把租户或客户数据视为已获授权</w:t>
            </w:r>
          </w:p>
        </w:tc>
      </w:tr>
      <w:tr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运营团队</w:t>
            </w:r>
          </w:p>
        </w:tc>
        <w:tc>
          <w:tcPr>
            <w:tcW w:type="dxa" w:w="238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三方共建</w:t>
            </w:r>
          </w:p>
        </w:tc>
        <w:tc>
          <w:tcPr>
            <w:tcW w:type="dxa" w:w="4876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上架、可用性调度、客户交付和回款；费用可随闭口服务费核定，不另开保底分成</w:t>
            </w:r>
          </w:p>
        </w:tc>
      </w:tr>
      <w:tr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大模型团队</w:t>
            </w:r>
          </w:p>
        </w:tc>
        <w:tc>
          <w:tcPr>
            <w:tcW w:type="dxa" w:w="2381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三方共建</w:t>
            </w:r>
          </w:p>
        </w:tc>
        <w:tc>
          <w:tcPr>
            <w:tcW w:type="dxa" w:w="4876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围绕节能降耗训练综合节能大模型；编制经费、数据权、模型权属单列</w:t>
            </w:r>
          </w:p>
        </w:tc>
      </w:tr>
    </w:tbl>
    <w:p>
      <w:pPr>
        <w:spacing w:before="240" w:after="120" w:lineRule="exact" w:line="400"/>
        <w:jc w:val="center"/>
      </w:pPr>
      <w:r>
        <w:rPr>
          <w:rFonts w:ascii="黑体" w:hAnsi="黑体" w:eastAsia="黑体" w:cs="黑体"/>
          <w:b w:val="0"/>
          <w:sz w:val="24"/>
        </w:rPr>
        <w:t>表2 与闭口边界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8844" w:type="dxa"/>
      </w:tblPr>
      <w:tblGrid>
        <w:gridCol w:w="2721"/>
        <w:gridCol w:w="2154"/>
        <w:gridCol w:w="3968"/>
      </w:tblGrid>
      <w:tr>
        <w:trPr>
          <w:tblHeader w:val="true"/>
        </w:trPr>
        <w:tc>
          <w:tcPr>
            <w:tcW w:type="dxa" w:w="2721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项目</w:t>
            </w:r>
          </w:p>
        </w:tc>
        <w:tc>
          <w:tcPr>
            <w:tcW w:type="dxa" w:w="2154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是否进入闭口/保底</w:t>
            </w:r>
          </w:p>
        </w:tc>
        <w:tc>
          <w:tcPr>
            <w:tcW w:type="dxa" w:w="3969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口径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五类设备可用性服务费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进入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保底与上架脱钩，优于分红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底座运维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可随闭口另核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对照清能智算维保口径，青海适用性待核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运营团队日常费用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可随闭口另核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不上架不另开保底分成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大模型编制、训练、评测经费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不进入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专项协议列支，不挤占7500万元设备款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Token和模型分成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不进入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旁路结算条款待谈，不纳入投资回报测算</w:t>
            </w:r>
          </w:p>
        </w:tc>
      </w:tr>
      <w:tr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金租租金及缺口</w:t>
            </w:r>
          </w:p>
        </w:tc>
        <w:tc>
          <w:tcPr>
            <w:tcW w:type="dxa" w:w="2154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不适用</w:t>
            </w:r>
          </w:p>
        </w:tc>
        <w:tc>
          <w:tcPr>
            <w:tcW w:type="dxa" w:w="3969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本合作不顶、不补、不担保</w:t>
            </w:r>
          </w:p>
        </w:tc>
      </w:tr>
    </w:tbl>
    <w:p>
      <w:pPr>
        <w:spacing w:before="240" w:after="120" w:lineRule="exact" w:line="400"/>
        <w:jc w:val="center"/>
      </w:pPr>
      <w:r>
        <w:rPr>
          <w:rFonts w:ascii="黑体" w:hAnsi="黑体" w:eastAsia="黑体" w:cs="黑体"/>
          <w:b w:val="0"/>
          <w:sz w:val="24"/>
        </w:rPr>
        <w:t>表3 安全要求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8844" w:type="dxa"/>
      </w:tblPr>
      <w:tblGrid>
        <w:gridCol w:w="2267"/>
        <w:gridCol w:w="3514"/>
        <w:gridCol w:w="3061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要求</w:t>
            </w:r>
          </w:p>
        </w:tc>
        <w:tc>
          <w:tcPr>
            <w:tcW w:type="dxa" w:w="3515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执行要点</w:t>
            </w:r>
          </w:p>
        </w:tc>
        <w:tc>
          <w:tcPr>
            <w:tcW w:type="dxa" w:w="3061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制度来源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分类分级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训练、接入前须完成分类分级；未分级数据不得直接训练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南网能源《数据安全管理细则（2026版）》（Q/CSG-E2153001-2026）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三同步与一票否决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安全措施与建设、上线、运行同步；未通过审查不得上线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生成式人工智能单独管理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训练、评测、对外服务单列管理，不并入默认业务系统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Q/CSG-E2153001-2026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目的限制、最小必要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按授权目的使用，不得超范围训练或对外提供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《中华人民共和国数据安全法》《中华人民共和国个人信息保护法》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访问控制及人员管理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按岗位授权，控制人员范围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Q/CSG-E2153001-2026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加密、备份、销毁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按制度实施加密、备份和到期销毁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境内存储，默认不出境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默认境内存储、不出境；出境须另循法定和公司程序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留痕审计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访问、训练、导出须留痕，可供审计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生产数据与启成接入必要性评估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启成平台不是默认训练库；生产数据与启成均须作接入必要性评估，确需使用须书面授权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Q/CSG-E2153001-2026、《生产数据接入及质量管理业务指导书》（Q/CSG-E2154002-2026）</w:t>
            </w:r>
          </w:p>
        </w:tc>
      </w:tr>
      <w:tr>
        <w:tc>
          <w:tcPr>
            <w:tcW w:type="dxa" w:w="2268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数据质量闭环</w:t>
            </w:r>
          </w:p>
        </w:tc>
        <w:tc>
          <w:tcPr>
            <w:tcW w:type="dxa" w:w="3515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接入数据须可校验、可追溯、可纠正</w:t>
            </w:r>
          </w:p>
        </w:tc>
        <w:tc>
          <w:tcPr>
            <w:tcW w:type="dxa" w:w="3061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Q/CSG-E2154002-2026</w:t>
            </w:r>
          </w:p>
        </w:tc>
      </w:tr>
    </w:tbl>
    <w:p>
      <w:pPr>
        <w:spacing w:before="240" w:after="120" w:lineRule="exact" w:line="400"/>
        <w:jc w:val="center"/>
      </w:pPr>
      <w:r>
        <w:rPr>
          <w:rFonts w:ascii="黑体" w:hAnsi="黑体" w:eastAsia="黑体" w:cs="黑体"/>
          <w:b w:val="0"/>
          <w:sz w:val="24"/>
        </w:rPr>
        <w:t>表4 待书面确认事项（不编造）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w="8844" w:type="dxa"/>
      </w:tblPr>
      <w:tblGrid>
        <w:gridCol w:w="793"/>
        <w:gridCol w:w="2721"/>
        <w:gridCol w:w="1587"/>
        <w:gridCol w:w="3741"/>
      </w:tblGrid>
      <w:tr>
        <w:trPr>
          <w:tblHeader w:val="true"/>
        </w:trPr>
        <w:tc>
          <w:tcPr>
            <w:tcW w:type="dxa" w:w="794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序号</w:t>
            </w:r>
          </w:p>
        </w:tc>
        <w:tc>
          <w:tcPr>
            <w:tcW w:type="dxa" w:w="2721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事项</w:t>
            </w:r>
          </w:p>
        </w:tc>
        <w:tc>
          <w:tcPr>
            <w:tcW w:type="dxa" w:w="1587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本稿状态</w:t>
            </w:r>
          </w:p>
        </w:tc>
        <w:tc>
          <w:tcPr>
            <w:tcW w:type="dxa" w:w="3742"/>
            <w:vAlign w:val="center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  <w:shd w:val="clear" w:color="auto" w:fill="F2F2F2"/>
          </w:tcPr>
          <w:p>
            <w:pPr>
              <w:spacing w:before="60" w:after="60" w:line="240" w:lineRule="auto"/>
              <w:jc w:val="center"/>
            </w:pPr>
            <w:r/>
            <w:r>
              <w:rPr>
                <w:rFonts w:ascii="黑体" w:hAnsi="黑体" w:eastAsia="黑体" w:cs="黑体"/>
                <w:b/>
                <w:sz w:val="21"/>
              </w:rPr>
              <w:t>说明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1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广州恒运全称、统一社会信用代码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签署页暂用“广州恒运”，不编造全称或代码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2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场景清单、试点范围及验收标准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场景须由南网能源提出或确认，本稿不列具体场景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3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训练数据清单及分级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未完成分类分级不得正式训练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4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启成接入或免接入结论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启成不是默认训练库，不得默认开放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5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模型权属、数据权、Token分成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不预定比例，另签专项协议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6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大模型编制、训练、评测经费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专项协议列支，不挤占7500万元设备款</w:t>
            </w:r>
          </w:p>
        </w:tc>
      </w:tr>
      <w:tr>
        <w:tc>
          <w:tcPr>
            <w:tcW w:type="dxa" w:w="794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7</w:t>
            </w:r>
          </w:p>
        </w:tc>
        <w:tc>
          <w:tcPr>
            <w:tcW w:type="dxa" w:w="2721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金租融资比例、闭口年费、超额分成</w:t>
            </w:r>
          </w:p>
        </w:tc>
        <w:tc>
          <w:tcPr>
            <w:tcW w:type="dxa" w:w="1587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待书面确认</w:t>
            </w:r>
          </w:p>
        </w:tc>
        <w:tc>
          <w:tcPr>
            <w:tcW w:type="dxa" w:w="3742"/>
            <w:vAlign w:val="center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60" w:after="60" w:line="240" w:lineRule="auto"/>
              <w:jc w:val="left"/>
            </w:pPr>
            <w:r/>
            <w:r>
              <w:rPr>
                <w:rFonts w:ascii="仿宋_GB2312" w:hAnsi="仿宋_GB2312" w:eastAsia="仿宋_GB2312" w:cs="仿宋_GB2312"/>
                <w:b w:val="0"/>
                <w:sz w:val="21"/>
              </w:rPr>
              <w:t>不属于本备忘录锁定范围</w:t>
            </w:r>
          </w:p>
        </w:tc>
      </w:tr>
    </w:tbl>
    <w:p>
      <w:pPr>
        <w:spacing w:before="240" w:after="0" w:lineRule="exact" w:line="580"/>
        <w:ind w:firstLine="640"/>
        <w:jc w:val="both"/>
      </w:pPr>
      <w:r>
        <w:rPr>
          <w:rFonts w:ascii="仿宋_GB2312" w:hAnsi="仿宋_GB2312" w:eastAsia="仿宋_GB2312" w:cs="仿宋_GB2312"/>
          <w:b w:val="0"/>
          <w:sz w:val="32"/>
        </w:rPr>
        <w:t>说明：表4所列事项均待书面确认，不得以本讨论稿代替确认。本稿法律合规表述建议墨律过目，不替代法务审查。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4"/>
      </w:rPr>
      <w:t xml:space="preserve">— </w:t>
    </w:r>
    <w:r>
      <w:rPr>
        <w:rFonts w:ascii="宋体" w:hAnsi="宋体" w:eastAsia="宋体" w:cs="宋体"/>
        <w:b w:val="0"/>
        <w:sz w:val="24"/>
      </w:rPr>
      <w:fldChar w:fldCharType="begin"/>
      <w:instrText xml:space="preserve">PAGE</w:instrText>
      <w:fldChar w:fldCharType="end"/>
    </w:r>
    <w:r>
      <w:rPr>
        <w:rFonts w:ascii="宋体" w:hAnsi="宋体" w:eastAsia="宋体" w:cs="宋体"/>
        <w:b w:val="0"/>
        <w:sz w:val="24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000000"/>
      </w:pBdr>
    </w:pPr>
    <w:r>
      <w:rPr>
        <w:rFonts w:ascii="宋体" w:hAnsi="宋体" w:eastAsia="宋体" w:cs="宋体"/>
        <w:b w:val="0"/>
        <w:sz w:val="21"/>
      </w:rPr>
      <w:t>青海海东智算中心节能降碳与综合节能大模型合作备忘录（讨论稿）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 w:cs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青海海东智算中心节能降碳与综合节能大模型合作备忘录</dc:title>
  <dc:subject>三方合作协商备忘录（原则安排）讨论稿</dc:subject>
  <dc:creator>文秘 · Grok 4.6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协商备忘录</cp:category>
</cp:coreProperties>
</file>