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方正小标宋简体"/>
          <w:b w:val="0"/>
          <w:sz w:val="40"/>
        </w:rPr>
        <w:t>中国电信佛山数据中心（南海里水）项目两高审查意见</w:t>
      </w:r>
    </w:p>
    <w:p>
      <w:pPr>
        <w:spacing w:before="0" w:after="240"/>
        <w:jc w:val="center"/>
      </w:pPr>
      <w:r>
        <w:rPr>
          <w:rFonts w:ascii="Times New Roman" w:hAnsi="Times New Roman" w:eastAsia="楷体"/>
          <w:b w:val="0"/>
          <w:sz w:val="24"/>
        </w:rPr>
        <w:t>（二〇二六年九月二日 两高专项审查用）</w:t>
      </w:r>
    </w:p>
    <w:p>
      <w:pPr>
        <w:spacing w:before="0" w:after="0"/>
        <w:ind w:firstLine="480"/>
      </w:pPr>
      <w:r>
        <w:rPr>
          <w:rFonts w:ascii="Times New Roman" w:hAnsi="Times New Roman" w:eastAsia="仿宋"/>
          <w:b w:val="0"/>
          <w:sz w:val="24"/>
        </w:rPr>
        <w:t>结论：中国电信佛山数据中心（南海里水）项目两高建设报告评审终稿（2026年8月，172页，申报主体为中国电信股份有限公司广东分公司）现报送稿不具备出具肯定性两高审查意见的条件。本轮只审查里水 36MW，只记录问题和补正要求，不确认年综合能耗可落实性、年加权 PUE、绿电比例、能耗替代来源及用地环境相容性。本专册已补列吨标准煤测算表，并清除昨日申请书中的韶塘园区、200MW 套版字段，但填齐能耗表本身不等于通过两高审查。现场物理电量边界、年加权 PUE 证据、项目级绿电证据、替代来源、用地及敏感点均未闭合，故本轮不出具肯定性两高意见，不得使用“原则同意”或任何等同表述。</w:t>
      </w:r>
    </w:p>
    <w:p>
      <w:pPr>
        <w:spacing w:before="0" w:after="0"/>
        <w:ind w:firstLine="480"/>
      </w:pPr>
      <w:r>
        <w:rPr>
          <w:rFonts w:ascii="Times New Roman" w:hAnsi="Times New Roman" w:eastAsia="仿宋"/>
          <w:b w:val="0"/>
          <w:sz w:val="24"/>
        </w:rPr>
        <w:t>说明：本件对照昨日窗口指导意见审查本专册。所引原文均来自该终稿已核数字及第四章要点摘录；该摘录未提供连续页码，故各条“位置”栏一律如实标注“页码稿中未见”，以章节、图表或字段定位。所列数字均取自专册已核数字及其可复核的算术结果，未作外部补充，亦未编造 2026 年新的法定依据或限额。第四章部分表格为要点摘录而非完整原文，缺完整识别文本不构成放宽审查的理由，未在本专册闭合的事项一律按未闭合处理。</w:t>
      </w:r>
    </w:p>
    <w:p>
      <w:pPr>
        <w:spacing w:before="240" w:after="80"/>
        <w:ind w:firstLine="600"/>
      </w:pPr>
      <w:r>
        <w:rPr>
          <w:rFonts w:ascii="Times New Roman" w:hAnsi="Times New Roman" w:eastAsia="黑体"/>
          <w:b w:val="0"/>
          <w:sz w:val="30"/>
        </w:rPr>
        <w:t>一、项目概况</w:t>
      </w:r>
    </w:p>
    <w:p>
      <w:pPr>
        <w:spacing w:before="0" w:after="0"/>
        <w:ind w:firstLine="480"/>
      </w:pPr>
      <w:r>
        <w:rPr>
          <w:rFonts w:ascii="Times New Roman" w:hAnsi="Times New Roman" w:eastAsia="仿宋"/>
          <w:b w:val="0"/>
          <w:sz w:val="24"/>
        </w:rPr>
        <w:t>项目名称：中国电信佛山数据中心（南海里水）项目。建设地点：佛山市南海区里水大道中 36 号里水电信大院。申报主体：中国电信股份有限公司广东分公司。文件性质：两高专册、建设报告评审终稿，172 页，署期 2026 年 8 月。</w:t>
      </w:r>
    </w:p>
    <w:p>
      <w:pPr>
        <w:spacing w:before="0" w:after="0"/>
        <w:ind w:firstLine="480"/>
      </w:pPr>
      <w:r>
        <w:rPr>
          <w:rFonts w:ascii="Times New Roman" w:hAnsi="Times New Roman" w:eastAsia="仿宋"/>
          <w:b w:val="0"/>
          <w:sz w:val="24"/>
        </w:rPr>
        <w:t>本期口径：存量大院用地 46.55 亩，现状用地性质为其他商服用地；新建 1 栋，编号 A1；投资 94638 万元；IT 功率 36MW。本专册全文未见“200MW”“韶塘”字样，与里水 36MW 口径一致。经复核，投资额折合约 2628.8 万元/MW，与 36MW 边界自洽。</w:t>
      </w:r>
    </w:p>
    <w:p>
      <w:pPr>
        <w:spacing w:before="0" w:after="0"/>
        <w:ind w:firstLine="480"/>
      </w:pPr>
      <w:r>
        <w:rPr>
          <w:rFonts w:ascii="Times New Roman" w:hAnsi="Times New Roman" w:eastAsia="仿宋"/>
          <w:b w:val="0"/>
          <w:sz w:val="24"/>
        </w:rPr>
        <w:t>机柜口径：本专册以实物机柜为主，不再以 14400 个 2.5kW 标准机架作为主计数。能耗表按 100kW×328 台、24kW×82 台、15kW×82 台，合计 492 台。经复核，100×328＋24×82＋15×82＝35998kW，约 36MW；平均单柜约 73.2kW。提取记录另见“82 台 100kW 机柜”表述，与能耗表 328 台并列时须核对是否同一批配置。</w:t>
      </w:r>
    </w:p>
    <w:p>
      <w:pPr>
        <w:spacing w:before="0" w:after="0"/>
        <w:ind w:firstLine="480"/>
      </w:pPr>
      <w:r>
        <w:rPr>
          <w:rFonts w:ascii="Times New Roman" w:hAnsi="Times New Roman" w:eastAsia="仿宋"/>
          <w:b w:val="0"/>
          <w:sz w:val="24"/>
        </w:rPr>
        <w:t>年用电与综合能耗：年电力消耗 37818.35 万 kWh，即 3.781835 亿 kWh。按折标 1.229 tce/万 kWh、2.8534 tce/万 kWh，电力折当量值 46478.76 tce、等价值 107910.89 tce；柴油 68.64 吨，折 100.02 tce；合计当量值 46578.77 tce、等价值 108010.90 tce。经复核，上述分项与合计在四舍五入范围内成立。</w:t>
      </w:r>
    </w:p>
    <w:p>
      <w:pPr>
        <w:spacing w:before="0" w:after="0"/>
        <w:ind w:firstLine="480"/>
      </w:pPr>
      <w:r>
        <w:rPr>
          <w:rFonts w:ascii="Times New Roman" w:hAnsi="Times New Roman" w:eastAsia="仿宋"/>
          <w:b w:val="0"/>
          <w:sz w:val="24"/>
        </w:rPr>
        <w:t>能效：第 4.6.1 节载设计 PUE 约 1.199，公式为 PTotal/PIT＝1.199，对标粤发改高技〔2022〕436 号“省内新建 PUE≤1.3”。IT 机柜按 365×24＝8760 小时，负荷系数写“1”和“1”，即按满载年利用计。辅助用电多按 8760 小时，系数 0.92 或 0.50。变压器容量 100000kVA，稿载负荷率 40.95%。</w:t>
      </w:r>
    </w:p>
    <w:p>
      <w:pPr>
        <w:spacing w:before="0" w:after="0"/>
        <w:ind w:firstLine="480"/>
      </w:pPr>
      <w:r>
        <w:rPr>
          <w:rFonts w:ascii="Times New Roman" w:hAnsi="Times New Roman" w:eastAsia="仿宋"/>
          <w:b w:val="0"/>
          <w:sz w:val="24"/>
        </w:rPr>
        <w:t>液冷：冷板液冷已写入本期方案。昨日申请书载“本期暂不建，与服务器同期建设”。本专册设计 PUE 仍为 1.199，与昨日不建液冷时的满载测算值相同。</w:t>
      </w:r>
    </w:p>
    <w:p>
      <w:pPr>
        <w:spacing w:before="0" w:after="0"/>
        <w:ind w:firstLine="480"/>
      </w:pPr>
      <w:r>
        <w:rPr>
          <w:rFonts w:ascii="Times New Roman" w:hAnsi="Times New Roman" w:eastAsia="仿宋"/>
          <w:b w:val="0"/>
          <w:sz w:val="24"/>
        </w:rPr>
        <w:t>绿电与替代：承诺以“绿电长期供电协议或购买省外绿证等方式”实现 80% 绿电，附图 4-1 为绿电承诺函，见第 4.7 节能耗替代情况。终稿全文“韶关”仍见 9 处。</w:t>
      </w:r>
    </w:p>
    <w:p>
      <w:pPr>
        <w:spacing w:before="0" w:after="0"/>
        <w:ind w:firstLine="480"/>
      </w:pPr>
      <w:r>
        <w:rPr>
          <w:rFonts w:ascii="Times New Roman" w:hAnsi="Times New Roman" w:eastAsia="仿宋"/>
          <w:b w:val="0"/>
          <w:sz w:val="24"/>
        </w:rPr>
        <w:t>柴油发电：26 台 10kV、单机 2200kW 柴油发电机组，年耗柴油按全年满负荷试运行 6 小时计为 68.64 吨。储油内容见第 5 章。</w:t>
      </w:r>
    </w:p>
    <w:p>
      <w:pPr>
        <w:spacing w:before="0" w:after="0"/>
        <w:ind w:firstLine="480"/>
      </w:pPr>
      <w:r>
        <w:rPr>
          <w:rFonts w:ascii="Times New Roman" w:hAnsi="Times New Roman" w:eastAsia="仿宋"/>
          <w:b w:val="0"/>
          <w:sz w:val="24"/>
        </w:rPr>
        <w:t>环境与用地：院内保留现有综合楼、酒店约 1.06 万平方米、幼儿园约 0.14 万平方米，稿称上述建筑不是本期建设内容。现状用地性质为其他商服用地，用途调整是否完成仍为问题。</w:t>
      </w:r>
    </w:p>
    <w:p>
      <w:pPr>
        <w:spacing w:before="0" w:after="0"/>
        <w:ind w:firstLine="480"/>
      </w:pPr>
      <w:r>
        <w:rPr>
          <w:rFonts w:ascii="Times New Roman" w:hAnsi="Times New Roman" w:eastAsia="仿宋"/>
          <w:b w:val="0"/>
          <w:sz w:val="24"/>
        </w:rPr>
        <w:t>服务器：计算、存储设备仍由他方采购部署，不属本期资产；36MW IT 负荷已全额计入能耗测算。此事只说明能耗边界未把 IT 用电剔除，不得据此将服务器认作本项目资产，也不得在后续环节再以“不投服务器”拿掉用电。</w:t>
      </w:r>
    </w:p>
    <w:p>
      <w:pPr>
        <w:spacing w:before="0" w:after="0"/>
        <w:ind w:firstLine="480"/>
      </w:pPr>
      <w:r>
        <w:rPr>
          <w:rFonts w:ascii="Times New Roman" w:hAnsi="Times New Roman" w:eastAsia="仿宋"/>
          <w:b w:val="0"/>
          <w:sz w:val="24"/>
        </w:rPr>
        <w:t>增量能耗：稿内以等价值 108010.90 tce 与广东、佛山“十五五”能耗空间比较，并对照 2025 年单位地区生产总值能耗目标。</w:t>
      </w:r>
    </w:p>
    <w:p>
      <w:pPr>
        <w:spacing w:before="240" w:after="80"/>
        <w:ind w:firstLine="600"/>
      </w:pPr>
      <w:r>
        <w:rPr>
          <w:rFonts w:ascii="Times New Roman" w:hAnsi="Times New Roman" w:eastAsia="黑体"/>
          <w:b w:val="0"/>
          <w:sz w:val="30"/>
        </w:rPr>
        <w:t>二、与昨日窗口稿对照</w:t>
      </w:r>
    </w:p>
    <w:p>
      <w:pPr>
        <w:spacing w:before="0" w:after="0"/>
        <w:ind w:firstLine="480"/>
      </w:pPr>
      <w:r>
        <w:rPr>
          <w:rFonts w:ascii="Times New Roman" w:hAnsi="Times New Roman" w:eastAsia="仿宋"/>
          <w:b w:val="0"/>
          <w:sz w:val="24"/>
        </w:rPr>
        <w:t>对照对象为昨日窗口指导意见中的里水 36MW 审查结论。本轮只判断本专册补了什么、什么仍在，不重开需求签约、财务三表等非两高事项的全面窗口复审。</w:t>
      </w:r>
    </w:p>
    <w:p>
      <w:pPr>
        <w:spacing w:before="160" w:after="0"/>
        <w:ind w:firstLine="560"/>
      </w:pPr>
      <w:r>
        <w:rPr>
          <w:rFonts w:ascii="Times New Roman" w:hAnsi="Times New Roman" w:eastAsia="楷体"/>
          <w:b/>
          <w:sz w:val="28"/>
        </w:rPr>
        <w:t>（一）本专册已有进展的事项</w:t>
      </w:r>
    </w:p>
    <w:p>
      <w:pPr>
        <w:spacing w:before="0" w:after="0"/>
        <w:ind w:firstLine="480"/>
      </w:pPr>
      <w:r>
        <w:rPr>
          <w:rFonts w:ascii="Times New Roman" w:hAnsi="Times New Roman" w:eastAsia="仿宋"/>
          <w:b w:val="0"/>
          <w:sz w:val="24"/>
        </w:rPr>
        <w:t>一、申报边界。昨日摘要中的“韶塘园区、总用地 244.3 亩、规划 6 栋、80000 个 2.5kW 标准机架、IT 功率 200MW”整组套版字段，在本专册中未见。里水 36MW、46.55 亩、新建 1 栋、投资 94638 万元相互印证。本轮继续只审里水 36MW，200MW 不得回写。</w:t>
      </w:r>
    </w:p>
    <w:p>
      <w:pPr>
        <w:spacing w:before="0" w:after="0"/>
        <w:ind w:firstLine="480"/>
      </w:pPr>
      <w:r>
        <w:rPr>
          <w:rFonts w:ascii="Times New Roman" w:hAnsi="Times New Roman" w:eastAsia="仿宋"/>
          <w:b w:val="0"/>
          <w:sz w:val="24"/>
        </w:rPr>
        <w:t>二、年综合能耗表。昨日节能审查栏及附件 1.6、1.11 均标注“项目未启动，暂无”，年综合能耗量稿中未见。本专册已列出电力、柴油分项及当量值、等价值合计，折标系数和算术可复核。此项只证明“表已填”，不证明能耗可落实。</w:t>
      </w:r>
    </w:p>
    <w:p>
      <w:pPr>
        <w:spacing w:before="0" w:after="0"/>
        <w:ind w:firstLine="480"/>
      </w:pPr>
      <w:r>
        <w:rPr>
          <w:rFonts w:ascii="Times New Roman" w:hAnsi="Times New Roman" w:eastAsia="仿宋"/>
          <w:b w:val="0"/>
          <w:sz w:val="24"/>
        </w:rPr>
        <w:t>三、IT 用电计入项目能耗。昨日存在以“土建加机电、不投服务器”暗示剔除用电的风险。本专册将 36MW IT 负荷全额纳入年电量和吨标准煤，此项较昨日完整。本轮把该计入方式锁定为审查前提，不允许再改回剔除。</w:t>
      </w:r>
    </w:p>
    <w:p>
      <w:pPr>
        <w:spacing w:before="0" w:after="0"/>
        <w:ind w:firstLine="480"/>
      </w:pPr>
      <w:r>
        <w:rPr>
          <w:rFonts w:ascii="Times New Roman" w:hAnsi="Times New Roman" w:eastAsia="仿宋"/>
          <w:b w:val="0"/>
          <w:sz w:val="24"/>
        </w:rPr>
        <w:t>四、柴油发电机组及年试运行油耗已列数。昨日柴发、油罐资料稿中未见。本专册明确 26 台 10kV 2200kW 机组，年耗油按满负荷试运行 6 小时计 68.64 吨，第 5 章有储油内容。数量已出现，敏感点距离和储油环境安全结论仍未见。</w:t>
      </w:r>
    </w:p>
    <w:p>
      <w:pPr>
        <w:spacing w:before="0" w:after="0"/>
        <w:ind w:firstLine="480"/>
      </w:pPr>
      <w:r>
        <w:rPr>
          <w:rFonts w:ascii="Times New Roman" w:hAnsi="Times New Roman" w:eastAsia="仿宋"/>
          <w:b w:val="0"/>
          <w:sz w:val="24"/>
        </w:rPr>
        <w:t>五、机柜主口径改为实物 492 台。昨日以 14400 个标准机架为主计数。本专册按功率分档列出实物机柜，平均约 73.2kW/柜，IT 功率仍为 36MW，未放大申请规模。</w:t>
      </w:r>
    </w:p>
    <w:p>
      <w:pPr>
        <w:spacing w:before="0" w:after="0"/>
        <w:ind w:firstLine="480"/>
      </w:pPr>
      <w:r>
        <w:rPr>
          <w:rFonts w:ascii="Times New Roman" w:hAnsi="Times New Roman" w:eastAsia="仿宋"/>
          <w:b w:val="0"/>
          <w:sz w:val="24"/>
        </w:rPr>
        <w:t>六、用地现状性质和敏感建筑面积已写明。昨日仅称存量用地、性质待调整，院内有综合楼、酒店、幼儿园。本专册明确现状为其他商服用地，酒店约 1.06 万平方米、幼儿园约 0.14 万平方米。写明不等于调整完成，也不等于敏感点闭合。</w:t>
      </w:r>
    </w:p>
    <w:p>
      <w:pPr>
        <w:spacing w:before="0" w:after="0"/>
        <w:ind w:firstLine="480"/>
      </w:pPr>
      <w:r>
        <w:rPr>
          <w:rFonts w:ascii="Times New Roman" w:hAnsi="Times New Roman" w:eastAsia="仿宋"/>
          <w:b w:val="0"/>
          <w:sz w:val="24"/>
        </w:rPr>
        <w:t>七、液冷由“本期暂不建”改为方案已写入。此项改变的是方案文字，不是年加权能效证据。</w:t>
      </w:r>
    </w:p>
    <w:p>
      <w:pPr>
        <w:spacing w:before="0" w:after="0"/>
        <w:ind w:firstLine="480"/>
      </w:pPr>
      <w:r>
        <w:rPr>
          <w:rFonts w:ascii="Times New Roman" w:hAnsi="Times New Roman" w:eastAsia="仿宋"/>
          <w:b w:val="0"/>
          <w:sz w:val="24"/>
        </w:rPr>
        <w:t>八、申报主体全称已写为中国电信股份有限公司广东分公司。</w:t>
      </w:r>
    </w:p>
    <w:p>
      <w:pPr>
        <w:spacing w:before="160" w:after="0"/>
        <w:ind w:firstLine="560"/>
      </w:pPr>
      <w:r>
        <w:rPr>
          <w:rFonts w:ascii="Times New Roman" w:hAnsi="Times New Roman" w:eastAsia="楷体"/>
          <w:b/>
          <w:sz w:val="28"/>
        </w:rPr>
        <w:t>（二）本专册仍未闭合的事项</w:t>
      </w:r>
    </w:p>
    <w:p>
      <w:pPr>
        <w:spacing w:before="0" w:after="0"/>
        <w:ind w:firstLine="480"/>
      </w:pPr>
      <w:r>
        <w:rPr>
          <w:rFonts w:ascii="Times New Roman" w:hAnsi="Times New Roman" w:eastAsia="仿宋"/>
          <w:b w:val="0"/>
          <w:sz w:val="24"/>
        </w:rPr>
        <w:t>一、现场可计量、可结算的物理绿电电量仍未落实。第 4.7 节仍将“绿电长期供电协议”与“购买省外绿证”并列，作为实现 80% 绿电的方式；证据为附图 4-1 承诺函。绿证不能替代年度绿电比例。终稿“韶关”仍有 9 处，在未逐条证明其仅为案例、历史业绩或已删除合同附件之前，不能排除仍以韶关合同或异地绿证顶替里水项目级电量。不得因缺少完整识别文本，推定 9 处均已改为里水证据。</w:t>
      </w:r>
    </w:p>
    <w:p>
      <w:pPr>
        <w:spacing w:before="0" w:after="0"/>
        <w:ind w:firstLine="480"/>
      </w:pPr>
      <w:r>
        <w:rPr>
          <w:rFonts w:ascii="Times New Roman" w:hAnsi="Times New Roman" w:eastAsia="仿宋"/>
          <w:b w:val="0"/>
          <w:sz w:val="24"/>
        </w:rPr>
        <w:t>二、PUE 1.199 仍是满载设计点，不是年加权值。IT 三档机柜均按 8760 小时、负荷系数 1.0 计；公式为 PTotal/PIT。投运爬坡期、部分负载工况和逐月加权计算表未见。昨日申请书另载华南地区 50% 负载 PUE 1.245，本专册未见推翻该材料的新证据。</w:t>
      </w:r>
    </w:p>
    <w:p>
      <w:pPr>
        <w:spacing w:before="0" w:after="0"/>
        <w:ind w:firstLine="480"/>
      </w:pPr>
      <w:r>
        <w:rPr>
          <w:rFonts w:ascii="Times New Roman" w:hAnsi="Times New Roman" w:eastAsia="仿宋"/>
          <w:b w:val="0"/>
          <w:sz w:val="24"/>
        </w:rPr>
        <w:t>三、液冷已写入，但设计 PUE 仍与昨日“本期暂不建”时同为 1.199。未见因冷板投建而重算制冷电量、分工况效率或年加权值的过程。“方案已写液冷”不能视为年加权能效已闭合。</w:t>
      </w:r>
    </w:p>
    <w:p>
      <w:pPr>
        <w:spacing w:before="0" w:after="0"/>
        <w:ind w:firstLine="480"/>
      </w:pPr>
      <w:r>
        <w:rPr>
          <w:rFonts w:ascii="Times New Roman" w:hAnsi="Times New Roman" w:eastAsia="仿宋"/>
          <w:b w:val="0"/>
          <w:sz w:val="24"/>
        </w:rPr>
        <w:t>四、能耗替代来源未闭合。替代路径明确包含购买省外绿证。未列替代量、来源项目、来源年度、计量点、权益归属和注销安排。购买绿证不得作为本项目能耗替代量的证明。</w:t>
      </w:r>
    </w:p>
    <w:p>
      <w:pPr>
        <w:spacing w:before="0" w:after="0"/>
        <w:ind w:firstLine="480"/>
      </w:pPr>
      <w:r>
        <w:rPr>
          <w:rFonts w:ascii="Times New Roman" w:hAnsi="Times New Roman" w:eastAsia="仿宋"/>
          <w:b w:val="0"/>
          <w:sz w:val="24"/>
        </w:rPr>
        <w:t>五、用地和敏感点未闭合。现状仍为其他商服用地，用途调整完成时点未见。酒店、幼儿园仍留在同一大院，稿仅称不是本期建设内容，不能消除人群聚集敏感点约束。26 台柴油机组及第 5 章储油与上述场所的最近距离、噪声、废气、防渗、防火及事故风险结论，在所给摘录中未见。不得因未见第 5 章全文而推定已经闭合。</w:t>
      </w:r>
    </w:p>
    <w:p>
      <w:pPr>
        <w:spacing w:before="0" w:after="0"/>
        <w:ind w:firstLine="480"/>
      </w:pPr>
      <w:r>
        <w:rPr>
          <w:rFonts w:ascii="Times New Roman" w:hAnsi="Times New Roman" w:eastAsia="仿宋"/>
          <w:b w:val="0"/>
          <w:sz w:val="24"/>
        </w:rPr>
        <w:t>六、增量能耗对标年份与申报年份不一致。稿内以 108010.90 tce 等价值比较“十五五”能耗空间，同时对照 2025 年单位地区生产总值能耗目标。2025 年目标属于“十四五”期末口径。本件不另拟 2026 年或“十五五”法定限额，只指出对标年份与 2026 年申报不相接，申请人须自行说明现行有效依据。</w:t>
      </w:r>
    </w:p>
    <w:p>
      <w:pPr>
        <w:spacing w:before="0" w:after="0"/>
        <w:ind w:firstLine="480"/>
      </w:pPr>
      <w:r>
        <w:rPr>
          <w:rFonts w:ascii="Times New Roman" w:hAnsi="Times New Roman" w:eastAsia="仿宋"/>
          <w:b w:val="0"/>
          <w:sz w:val="24"/>
        </w:rPr>
        <w:t>七、变压器 100000kVA、负荷率 40.95% 与年电量折算的运行功率未完全衔接。按年电量 37818.35 万 kWh 除以 8760 小时，年平均功率约 43171kW，对应负荷率约 43.17%（按千瓦与千伏安近似），与稿载 40.95% 不完全一致。</w:t>
      </w:r>
    </w:p>
    <w:p>
      <w:pPr>
        <w:spacing w:before="0" w:after="0"/>
        <w:ind w:firstLine="480"/>
      </w:pPr>
      <w:r>
        <w:rPr>
          <w:rFonts w:ascii="Times New Roman" w:hAnsi="Times New Roman" w:eastAsia="仿宋"/>
          <w:b w:val="0"/>
          <w:sz w:val="24"/>
        </w:rPr>
        <w:t>八、服务器仍由他方采购部署。IT 用电已计入，值得肯定；但算力设备不是本期资产，不得把 36MW IT 负荷写成申请人已落实的服务器投资。</w:t>
      </w:r>
    </w:p>
    <w:p>
      <w:pPr>
        <w:spacing w:before="0" w:after="0"/>
        <w:ind w:firstLine="480"/>
      </w:pPr>
      <w:r>
        <w:rPr>
          <w:rFonts w:ascii="Times New Roman" w:hAnsi="Times New Roman" w:eastAsia="仿宋"/>
          <w:b w:val="0"/>
          <w:sz w:val="24"/>
        </w:rPr>
        <w:t>九、昨日窗口稿中的需求冲突、财务三表等问题，非本轮两高审查范围，不在本件展开，也不因本专册未再出现而视为已经消除。</w:t>
      </w:r>
    </w:p>
    <w:p>
      <w:pPr>
        <w:spacing w:before="160" w:after="0"/>
        <w:ind w:firstLine="560"/>
      </w:pPr>
      <w:r>
        <w:rPr>
          <w:rFonts w:ascii="Times New Roman" w:hAnsi="Times New Roman" w:eastAsia="楷体"/>
          <w:b/>
          <w:sz w:val="28"/>
        </w:rPr>
        <w:t>（三）对照后的审查判断</w:t>
      </w:r>
    </w:p>
    <w:p>
      <w:pPr>
        <w:spacing w:before="0" w:after="0"/>
        <w:ind w:firstLine="480"/>
      </w:pPr>
      <w:r>
        <w:rPr>
          <w:rFonts w:ascii="Times New Roman" w:hAnsi="Times New Roman" w:eastAsia="仿宋"/>
          <w:b w:val="0"/>
          <w:sz w:val="24"/>
        </w:rPr>
        <w:t>本专册把昨日空着的吨标准煤表补上了，并把 200MW 套版从本文件中拿掉了，IT 用电也没有被“不投服务器”拿掉。这三件事是进展，不是通过。现场物理电量、年加权 PUE、项目级绿电、替代来源、用地及敏感点均未闭合。按本轮审查门槛，仍不具备出具肯定性两高意见的条件。</w:t>
      </w:r>
    </w:p>
    <w:p>
      <w:pPr>
        <w:spacing w:before="240" w:after="80"/>
        <w:ind w:firstLine="600"/>
      </w:pPr>
      <w:r>
        <w:rPr>
          <w:rFonts w:ascii="Times New Roman" w:hAnsi="Times New Roman" w:eastAsia="黑体"/>
          <w:b w:val="0"/>
          <w:sz w:val="30"/>
        </w:rPr>
        <w:t>三、两高审查细则</w:t>
      </w:r>
    </w:p>
    <w:p>
      <w:pPr>
        <w:spacing w:before="0" w:after="0"/>
        <w:ind w:firstLine="480"/>
      </w:pPr>
      <w:r>
        <w:rPr>
          <w:rFonts w:ascii="Times New Roman" w:hAnsi="Times New Roman" w:eastAsia="仿宋"/>
          <w:b w:val="0"/>
          <w:sz w:val="24"/>
        </w:rPr>
        <w:t>本部分共 12 项，按风险等级分列：高风险 5 项、中风险 5 项、低风险 2 项。每项列位置、原文摘录、问题、现场追问四栏。</w:t>
      </w:r>
    </w:p>
    <w:p>
      <w:pPr>
        <w:spacing w:before="160" w:after="0"/>
        <w:ind w:firstLine="560"/>
      </w:pPr>
      <w:r>
        <w:rPr>
          <w:rFonts w:ascii="Times New Roman" w:hAnsi="Times New Roman" w:eastAsia="楷体"/>
          <w:b/>
          <w:sz w:val="28"/>
        </w:rPr>
        <w:t>（一）高风险问题</w:t>
      </w:r>
    </w:p>
    <w:p>
      <w:pPr>
        <w:spacing w:before="120" w:after="0"/>
        <w:ind w:firstLine="480"/>
      </w:pPr>
      <w:r>
        <w:rPr>
          <w:rFonts w:ascii="Times New Roman" w:hAnsi="Times New Roman" w:eastAsia="仿宋"/>
          <w:b/>
          <w:sz w:val="24"/>
        </w:rPr>
        <w:t>1. 80% 绿电以承诺函加绿证并列，现场物理电量未闭合，韶关 9 处未排除</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4.7 节能耗替代情况、图 4-1 绿电承诺函、终稿全文“韶关”9 处（页码稿中未见）。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“绿电长期供电协议或购买省外绿证等方式”，实现 80% 绿电；附图 4-1 为绿电承诺函。终稿全文“韶关”9 处。</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承诺函不是交易合同，也不是里水计量点的结算凭证。“或购买省外绿证”把环境权益凭证写成了绿电比例的实现方式。本轮明确：绿电比例以项目现场可计量、可结算的物理电量为准，绿证不能替代年度绿电比例。按稿内年电量 37818.35 万 kWh 的 80% 计，对应物理绿电电量应为 30254.68 万 kWh；该电量的合同年度、计量点、结算主体、环境权益归属和注销安排均未见。昨日附件为 2025 年韶关园区绿电交易合同；本专册仍有“韶关”9 处，又未逐条说明其与里水的关系。在此之前，不得把韶关合同、公司层面历史采购量或省外绿证认作里水项目级落实证据。</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请提交里水项目对应年度、对应电量、对应计量点的电力交易合同或具备约束力的供电协议，并列明 30254.68 万 kWh 如何落到现场表计。请逐条说明“韶关”9 处是本项目合同、集团案例还是误植；若仍含韶关合同，该合同如何将权益合法、唯一地分配到里水，且不与韶关园区重复计量。购买省外绿证的数量、来源和注销主体是什么，为何可以作为 80% 绿电的实现方式？</w:t>
      </w:r>
    </w:p>
    <w:p>
      <w:pPr>
        <w:spacing w:before="120" w:after="0"/>
        <w:ind w:firstLine="480"/>
      </w:pPr>
      <w:r>
        <w:rPr>
          <w:rFonts w:ascii="Times New Roman" w:hAnsi="Times New Roman" w:eastAsia="仿宋"/>
          <w:b/>
          <w:sz w:val="24"/>
        </w:rPr>
        <w:t>2. PUE 1.199 是满载设计点，不是运营年加权值</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4.6.1 节、IT 电量表（页码稿中未见）。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设计 PUE 约 1.199，公式为 PTotal/PIT＝1.199；对标粤发改高技〔2022〕436 号，省内新建 PUE≤1.3。IT 机柜按 100kW×328 台、24kW×82 台、15kW×82 台，运行 365×24＝8760 小时，负荷系数写“1”和“1”。</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经复核，100kW 行电量为 28732.80 万 kWh；三档合计 IT 电量 31534.248 万 kWh；年总电量 37818.35 万 kWh 除以该 IT 电量约 1.1993，与稿内 1.199 一致，满载算术成立。但 IT 三档均按负荷系数 1.0 全年满载，辅助用电亦多按 8760 小时计，公式用的是功率比。该结果只能证明满载设计点，不能证明投运首年和达产年的加权值。爬坡期不可能由负荷系数 1.0 代表。昨日申请书另载华南地区 50% 负载 PUE 1.245，本专册未见推翻该材料的新证据，也未见逐月负荷曲线和年加权计算表。以贴近 1.20 的设计点代替运营年值的风险仍然存在。</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请分别给出设计点、满载点和全年加权 PUE，并提交投运首年、达产年的逐月 IT 负荷、制冷用电及其他辅助用电。若坚持 1.199 就是年值，请说明爬坡期如何维持满载效率，50% 负载工况的效率证据在何处，本专册为何不再回应昨日的 1.245。</w:t>
      </w:r>
    </w:p>
    <w:p>
      <w:pPr>
        <w:spacing w:before="120" w:after="0"/>
        <w:ind w:firstLine="480"/>
      </w:pPr>
      <w:r>
        <w:rPr>
          <w:rFonts w:ascii="Times New Roman" w:hAnsi="Times New Roman" w:eastAsia="仿宋"/>
          <w:b/>
          <w:sz w:val="24"/>
        </w:rPr>
        <w:t>3. 能耗替代将购买省外绿证列为实现路径，替代来源未闭合</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4.7 节能耗替代情况（页码稿中未见）。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“绿电长期供电协议或购买省外绿证等方式”，实现 80% 绿电。</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“两高”替代与绿电比例不是同一项。即便绿电协议成立，购买省外绿证也不能证明本项目少消耗了现场电量，更不能把等价值 108010.90 tce 从增量能耗中扣减。替代量、来源项目、来源年度、可用凭证和重复计量排除，稿中均未见。本轮不接受以绿证充抵能耗替代量，也不接受把承诺函写成已经落实的替代来源。</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请列明拟替代的吨标准煤数量、来源项目、来源年度、落实文件及其权利人。若无上述文件，请撤回以绿证实现 80% 绿电、并以之充抵替代的表述。绿电长期供电协议的签约主体、供电范围和计量点分别是什么，是否已签署？</w:t>
      </w:r>
    </w:p>
    <w:p>
      <w:pPr>
        <w:spacing w:before="120" w:after="0"/>
        <w:ind w:firstLine="480"/>
      </w:pPr>
      <w:r>
        <w:rPr>
          <w:rFonts w:ascii="Times New Roman" w:hAnsi="Times New Roman" w:eastAsia="仿宋"/>
          <w:b/>
          <w:sz w:val="24"/>
        </w:rPr>
        <w:t>4. 现状其他商服用地未调整，酒店和幼儿园仍在院内，柴发储油约束未闭合</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项目概况及用地、环境相关章节，第 5 章储油（页码稿中未见）。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建设地点为佛山市南海区里水大道中 36 号里水电信大院，46.55 亩，现状用地性质为其他商服用地；新建 1 栋 A1。院内保留综合楼、酒店约 1.06 万平方米、幼儿园约 0.14 万平方米，稿称不是本期建设内容。26 台 10kV 2200kW 柴油发电机组；储油见第 5 章。</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其他商服用地是否允许本期数据中心建设，取决于用途调整是否完成。稿内只写出现状性质，未见拟调整用途、办理机关、完成时点和是否影响开工。酒店、幼儿园属于人群聚集及敏感场所，不列入本期建设内容，只说明不是新建对象，不说明可以与 26 台柴油机组和储油设施兼容。所给摘录未见机房、冷却设备、柴发、储油与酒店、幼儿园的最近距离，也未见噪声、废气、防渗、防火和事故风险结论。敏感点未判定前，不能确认总图和建设内容在环境和安全上可落实。</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土地拟调整用途是什么，调整程序何时完成，未完成前依据哪一条现行规定可以在其他商服用地上建设本项目？请在总平面图上标明酒店、幼儿园、A1 机房、冷却设备、26 台机组和储油设施的位置及最近距离，并提交噪声、废气、防渗、防火及事故风险专项结论。若第 5 章已有储罐容积和位置，请指出具体段落；若没有，请补。</w:t>
      </w:r>
    </w:p>
    <w:p>
      <w:pPr>
        <w:spacing w:before="120" w:after="0"/>
        <w:ind w:firstLine="480"/>
      </w:pPr>
      <w:r>
        <w:rPr>
          <w:rFonts w:ascii="Times New Roman" w:hAnsi="Times New Roman" w:eastAsia="仿宋"/>
          <w:b/>
          <w:sz w:val="24"/>
        </w:rPr>
        <w:t>5. 冷板液冷已写入方案，设计 PUE 仍与昨日不建液冷时同为 1.199</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制冷及液冷方案、第 4.6.1 节（页码稿中未见）。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冷板液冷已写入本期方案。设计 PUE 约 1.199。昨日申请书载液冷机柜“本期暂不建，与服务器同期建设”。</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液冷从“暂不建”改为“已写入”，应同步改变制冷电量、部分负载效率和年加权值，并说明冷板覆盖哪些机柜。本专册 IT 电量仍按满载 8760 小时计，PUE 仍写 1.199，与昨日不建液冷时的满载结果相同。若 328 台 100kW 机柜为液冷、其余为风冷，未见分系统电量；若液冷仅是预留，则不得用液冷叙事支撑 1.199。在重算之前，液冷文字不能降低第 2 项年加权缺失的风险等级。</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冷板液冷覆盖哪一档机柜、多少台、何时投用？请分列风冷、液冷的制冷电量和 PUE，并说明为何在方案已写液冷后，设计值仍与昨日暂不建时相同。若液冷尚未确定采购和安装，请删除以其论证能效的表述。</w:t>
      </w:r>
    </w:p>
    <w:p>
      <w:pPr>
        <w:spacing w:before="160" w:after="0"/>
        <w:ind w:firstLine="560"/>
      </w:pPr>
      <w:r>
        <w:rPr>
          <w:rFonts w:ascii="Times New Roman" w:hAnsi="Times New Roman" w:eastAsia="楷体"/>
          <w:b/>
          <w:sz w:val="28"/>
        </w:rPr>
        <w:t>（二）中风险问题</w:t>
      </w:r>
    </w:p>
    <w:p>
      <w:pPr>
        <w:spacing w:before="120" w:after="0"/>
        <w:ind w:firstLine="480"/>
      </w:pPr>
      <w:r>
        <w:rPr>
          <w:rFonts w:ascii="Times New Roman" w:hAnsi="Times New Roman" w:eastAsia="仿宋"/>
          <w:b/>
          <w:sz w:val="24"/>
        </w:rPr>
        <w:t>6. 增量能耗以等价值对标 2025 年单位 GDP 能耗目标，年份与“十五五”申报不相接</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增量能耗及与广东、佛山能耗空间比较章节（页码稿中未见）。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以等价值 108010.90 tce 与广东、佛山“十五五”能耗空间比较，并对照 2025 年单位地区生产总值能耗目标。</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本专册署期为 2026 年 8 月，比较对象却同时出现“十五五”空间和 2025 年目标。2025 年目标是“十四五”期末口径。本件不编造 2026 年新的控制数，只认定：用已经到期的年度目标论证 2026 年申报项目的增量能耗安排，依据年份不接。等价值 108010.90 tce 本身可由年电量加柴油复核，问题不在算术，而在用哪一年的空间和哪一条仍有效的规定来安放这笔增量。</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请列出据以比较的现行文件名称、文号、适用条款和有效期，并说明 2025 年目标在 2026 年引用的效力。若“十五五”控制数尚未发布或稿中并未引用具体文号，请勿把历史目标写成已经获得的能耗空间。本项目 108010.90 tce 等价值拟从哪一级、哪一年度的盘子中安排？</w:t>
      </w:r>
    </w:p>
    <w:p>
      <w:pPr>
        <w:spacing w:before="120" w:after="0"/>
        <w:ind w:firstLine="480"/>
      </w:pPr>
      <w:r>
        <w:rPr>
          <w:rFonts w:ascii="Times New Roman" w:hAnsi="Times New Roman" w:eastAsia="仿宋"/>
          <w:b/>
          <w:sz w:val="24"/>
        </w:rPr>
        <w:t>7. 变压器 100000kVA 与负荷率 40.95%、年运行功率未桥接</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变配电及第 4 章用电测算（页码稿中未见）。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变压器 100000kVA，负荷率 40.95%。年电力消耗 37818.35 万 kWh。</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经复核，37818.35 万 kWh 除以 8760 小时，约 43171kW。若近似按千瓦对应千伏安，负荷率约 43.17%，不是 40.95%；100000kVA×40.95%＝40950kVA。功率因数、运行台数、备用容量和是否含柴油机组侧，稿中未见逐级桥接。昨日窗口稿还出现过“机电投资 60000kW”的口径，本专册摘录未见该数，但 100000kVA 与 36MW IT 负荷之间的辅助负荷、冗余和分期启用仍须写清。容量对不齐，会影响供电申请与能耗边界是否同一套。</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40.95% 的分子、分母、功率因数和统计时段分别是什么？请从 35998kW IT 负荷列至总有功、视在功率、变压器运行台数与冗余方式，并与年电量 37818.35 万 kWh 对齐。备用变压器是否计入 100000kVA？</w:t>
      </w:r>
    </w:p>
    <w:p>
      <w:pPr>
        <w:spacing w:before="120" w:after="0"/>
        <w:ind w:firstLine="480"/>
      </w:pPr>
      <w:r>
        <w:rPr>
          <w:rFonts w:ascii="Times New Roman" w:hAnsi="Times New Roman" w:eastAsia="仿宋"/>
          <w:b/>
          <w:sz w:val="24"/>
        </w:rPr>
        <w:t>8. 26 台机组年耗油仅按 6 小时满负荷试运行，储油与运行情景未闭合</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 章柴油用量、第 5 章储油（页码稿中未见）。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26 台 10kV 2200kW 柴油发电机组，按全年满负荷试运行 6 小时计柴油 68.64 吨，折 100.02 tce。</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经复核，26×2200kW×6 小时＝343200kWh；按每千瓦时 0.20 千克柴油计，恰为 68.64 吨，与稿内一致；68.64 吨折 100.02 tce，隐含约 1.4571 tce/吨，算术成立。该油耗只覆盖试验运行，不含市电故障、限电或应急带载。若实际年运行超过 6 小时，柴油和吨标准煤均被低估。26 台合计 57200kW，与 36MW IT 负荷、院内酒店和幼儿园同址，储油规模和事故情景不能用“只试 6 小时”带过。第 5 章储油的容积、形式和位置在所给摘录中未见。</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6 小时是规程要求的试验时长还是经验取值，油耗率 0.20 千克/kWh 的出处是什么？请补充市电中断等情景下的年运行小时和油耗上限，并列储罐容积、储存形式、最大储量及与酒店、幼儿园的距离。若只允许试验运行，请说明应急带载时的油料来源和能耗是否仍落在本项目边界内。</w:t>
      </w:r>
    </w:p>
    <w:p>
      <w:pPr>
        <w:spacing w:before="120" w:after="0"/>
        <w:ind w:firstLine="480"/>
      </w:pPr>
      <w:r>
        <w:rPr>
          <w:rFonts w:ascii="Times New Roman" w:hAnsi="Times New Roman" w:eastAsia="仿宋"/>
          <w:b/>
          <w:sz w:val="24"/>
        </w:rPr>
        <w:t>9. 机柜主口径改为 492 台实物柜后，100kW 台数仍须防两套数并行</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机柜配置及 IT 电量表（页码稿中未见）。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实物机柜 492 台，平均约 73.2kW/柜；能耗表为 100kW×328 台、24kW×82 台、15kW×82 台。提取记录另见 82 台 100kW 机柜。昨日申请书主口径为 14400 个 2.5kW 标准机架。</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492 台加总为 35998kW，与 36MW 一致，本专册主口径比昨日标准机架更接近实物。但 82 台 100kW 与 328 台 100kW 不能同时作为主数。若 82 台是 328 台中的液冷子集或分期，须写明；若是另一套方案，则 IT 电量 28732.80 万 kWh 失去唯一配置基础。14400 个标准机架按 2.5kW 折算虽仍为 36MW，已不再是主计数，他处若再引用须标注为折合，不得与 492 台混计。</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请确认本期唯一机柜清单：各功率档台数、冷却方式、所在楼层和是否计入能耗表。82 台 100kW 机柜与 328 台是何关系？14400 个标准机架是否退出正式规模表述？</w:t>
      </w:r>
    </w:p>
    <w:p>
      <w:pPr>
        <w:spacing w:before="120" w:after="0"/>
        <w:ind w:firstLine="480"/>
      </w:pPr>
      <w:r>
        <w:rPr>
          <w:rFonts w:ascii="Times New Roman" w:hAnsi="Times New Roman" w:eastAsia="仿宋"/>
          <w:b/>
          <w:sz w:val="24"/>
        </w:rPr>
        <w:t>10. 辅助用电按 0.92、0.50 系数计，依据和年加权缺失</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 章辅助用电表（页码稿中未见）。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辅助用电多按 8760 小时，系数 0.92 或 0.50。年总电量 37818.35 万 kWh。</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经复核，年总电量减 IT 电量 31534.248 万 kWh，辅助电量约 6284.102 万 kWh。昨日满载辅助电量约 6280 万 kWh，数量接近，但本专册未给出分项名称、各系数的试验或运行依据，也未说明系数为同时率、负荷率还是备用率。IT 侧用 1.0、辅助侧用 0.92 或 0.50，再合成 1.199，仍是设计点拼装，不是年加权。系数取高或取低，都会直接改变吨标准煤和 PUE。</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请列出辅助用电分项、装机功率、运行小时、系数含义和取值依据，并说明在 IT 负荷 50%、80% 时各分项如何变化。请用同一张表把辅助电量加总到 6284.102 万 kWh，与年总电量对齐。</w:t>
      </w:r>
    </w:p>
    <w:p>
      <w:pPr>
        <w:spacing w:before="160" w:after="0"/>
        <w:ind w:firstLine="560"/>
      </w:pPr>
      <w:r>
        <w:rPr>
          <w:rFonts w:ascii="Times New Roman" w:hAnsi="Times New Roman" w:eastAsia="楷体"/>
          <w:b/>
          <w:sz w:val="28"/>
        </w:rPr>
        <w:t>（三）低风险问题</w:t>
      </w:r>
    </w:p>
    <w:p>
      <w:pPr>
        <w:spacing w:before="120" w:after="0"/>
        <w:ind w:firstLine="480"/>
      </w:pPr>
      <w:r>
        <w:rPr>
          <w:rFonts w:ascii="Times New Roman" w:hAnsi="Times New Roman" w:eastAsia="仿宋"/>
          <w:b/>
          <w:sz w:val="24"/>
        </w:rPr>
        <w:t>11. 能效对标文件为 2022 年发文，2026 年引用效力须由申请人说明</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4.6.1 节（页码稿中未见）。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对标粤发改高技〔2022〕436 号，省内新建 PUE≤1.3。</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该文号出自本专册，本件不另造 2026 年替代文件，也不把 1.3 写成现行唯一准入值。审查时间在 2026 年，申请人须说明该文件是否仍有效、适用于本项目哪一类建设内容。即便文件仍有效，1.199 低于 1.3 只说明满载设计点低于其所引上限，不能补上年加权证据的缺口。</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请说明粤发改高技〔2022〕436 号在申报时的效力、适用条款和有效期；若另有仍在执行的依据，请列出文号和条款。不得把历史上限写成已经获准的能效结论。</w:t>
      </w:r>
    </w:p>
    <w:p>
      <w:pPr>
        <w:spacing w:before="120" w:after="0"/>
        <w:ind w:firstLine="480"/>
      </w:pPr>
      <w:r>
        <w:rPr>
          <w:rFonts w:ascii="Times New Roman" w:hAnsi="Times New Roman" w:eastAsia="仿宋"/>
          <w:b/>
          <w:sz w:val="24"/>
        </w:rPr>
        <w:t>12. 服务器由他方采购，IT 用电已计入，权属与能耗责任仍须书面锁定</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建设内容及第 4 章能耗测算（页码稿中未见）。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计算、存储设备由他方采购部署；36MW IT 负荷已计入年电量和吨标准煤。</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不投资服务器只改变资产归属，不改变该负荷在本数据中心计量边界内用电的事实。本专册已计入，优于昨日可能被误读为剔除的表述。风险在于后续补正或口头说明再次把客户电费从项目能耗中划出。算力设备不是本期资产，也不能把 36MW 写成申请人已采购的服务器规模。</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请书面确认：凡在里水本址计量点内的 IT 用电，不论服务器由谁投资、电费由谁支付，均计入本项目年电量和吨标准煤，后续不得剔除。请同时确认服务器、芯片不属本期建设内容和本期资产。计量点、分表和电费结算主体分别是什么？</w:t>
      </w:r>
    </w:p>
    <w:p>
      <w:pPr>
        <w:spacing w:before="240" w:after="80"/>
        <w:ind w:firstLine="600"/>
      </w:pPr>
      <w:r>
        <w:rPr>
          <w:rFonts w:ascii="Times New Roman" w:hAnsi="Times New Roman" w:eastAsia="黑体"/>
          <w:b w:val="0"/>
          <w:sz w:val="30"/>
        </w:rPr>
        <w:t>四、两高审查意见</w:t>
      </w:r>
    </w:p>
    <w:p>
      <w:pPr>
        <w:spacing w:before="160" w:after="0"/>
        <w:ind w:firstLine="560"/>
      </w:pPr>
      <w:r>
        <w:rPr>
          <w:rFonts w:ascii="Times New Roman" w:hAnsi="Times New Roman" w:eastAsia="楷体"/>
          <w:b/>
          <w:sz w:val="28"/>
        </w:rPr>
        <w:t>（一）总体结论</w:t>
      </w:r>
    </w:p>
    <w:p>
      <w:pPr>
        <w:spacing w:before="0" w:after="0"/>
        <w:ind w:firstLine="480"/>
      </w:pPr>
      <w:r>
        <w:rPr>
          <w:rFonts w:ascii="Times New Roman" w:hAnsi="Times New Roman" w:eastAsia="仿宋"/>
          <w:b w:val="0"/>
          <w:sz w:val="24"/>
        </w:rPr>
        <w:t>一、中国电信佛山数据中心（南海里水）项目两高建设报告评审终稿现报送稿不具备出具肯定性两高审查意见的条件。本轮形成的是问题清单和补正要求，不构成对年综合能耗量、PUE、绿电比例、能耗替代、用地合规及环境安全的任何肯定性结论。不得表述为“原则同意”“基本同意”或“条件具备、补正后实施”。</w:t>
      </w:r>
    </w:p>
    <w:p>
      <w:pPr>
        <w:spacing w:before="0" w:after="0"/>
        <w:ind w:firstLine="480"/>
      </w:pPr>
      <w:r>
        <w:rPr>
          <w:rFonts w:ascii="Times New Roman" w:hAnsi="Times New Roman" w:eastAsia="仿宋"/>
          <w:b w:val="0"/>
          <w:sz w:val="24"/>
        </w:rPr>
        <w:t>二、本次审查范围锁定为里水 36MW。可相互印证的本期口径为：里水大道中 36 号、46.55 亩、新建 1 栋 A1、实物机柜 492 台、IT 功率 36MW、投资 94638 万元。本专册未见韶塘园区和 200MW 字段，昨日该组套版污染在本文件中已不出现；该项进展只用于固定审查边界，不视为项目通过。</w:t>
      </w:r>
    </w:p>
    <w:p>
      <w:pPr>
        <w:spacing w:before="0" w:after="0"/>
        <w:ind w:firstLine="480"/>
      </w:pPr>
      <w:r>
        <w:rPr>
          <w:rFonts w:ascii="Times New Roman" w:hAnsi="Times New Roman" w:eastAsia="仿宋"/>
          <w:b w:val="0"/>
          <w:sz w:val="24"/>
        </w:rPr>
        <w:t>三、下列事项本轮不予确认：设计 PUE 1.199 作为投运年度加权值；80% 绿电承诺；以绿电协议或购买省外绿证作为能耗替代；其他商服用地在调整完成前的用地合规前提；酒店、幼儿园与柴发储油同址的环境安全结论；等价值 108010.90 tce 已经获得“十五五”能耗空间；服务器及芯片作为本期资产。</w:t>
      </w:r>
    </w:p>
    <w:p>
      <w:pPr>
        <w:spacing w:before="160" w:after="0"/>
        <w:ind w:firstLine="560"/>
      </w:pPr>
      <w:r>
        <w:rPr>
          <w:rFonts w:ascii="Times New Roman" w:hAnsi="Times New Roman" w:eastAsia="楷体"/>
          <w:b/>
          <w:sz w:val="28"/>
        </w:rPr>
        <w:t>（二）分项判断</w:t>
      </w:r>
    </w:p>
    <w:p>
      <w:pPr>
        <w:spacing w:before="0" w:after="0"/>
        <w:ind w:firstLine="480"/>
      </w:pPr>
      <w:r>
        <w:rPr>
          <w:rFonts w:ascii="Times New Roman" w:hAnsi="Times New Roman" w:eastAsia="仿宋"/>
          <w:b w:val="0"/>
          <w:sz w:val="24"/>
        </w:rPr>
        <w:t>一、吨标准煤测算表已列出，算术可复核，但填表不等于通过。电力 37818.35 万 kWh，按 1.229、2.8534 折当量值 46478.76 tce、等价值 107910.89 tce；柴油 68.64 吨折 100.02 tce；合计 46578.77 tce、108010.90 tce。分项加总在四舍五入范围内成立。该表证明申请人给出了一套满载年利用口径的数字，不证明现场计量边界、年加权工况和增量安排已经闭合。</w:t>
      </w:r>
    </w:p>
    <w:p>
      <w:pPr>
        <w:spacing w:before="0" w:after="0"/>
        <w:ind w:firstLine="480"/>
      </w:pPr>
      <w:r>
        <w:rPr>
          <w:rFonts w:ascii="Times New Roman" w:hAnsi="Times New Roman" w:eastAsia="仿宋"/>
          <w:b w:val="0"/>
          <w:sz w:val="24"/>
        </w:rPr>
        <w:t>二、现场物理电量边界未闭合。年电量按 IT 满载加辅助系数拼出，未见与关口表、客户分表一致的计量边界图。绿电部分未落到里水计量点的物理结算电量。在边界图、分表方案和结算电量齐备之前，不确认 37818.35 万 kWh 为可监管的现场电量。</w:t>
      </w:r>
    </w:p>
    <w:p>
      <w:pPr>
        <w:spacing w:before="0" w:after="0"/>
        <w:ind w:firstLine="480"/>
      </w:pPr>
      <w:r>
        <w:rPr>
          <w:rFonts w:ascii="Times New Roman" w:hAnsi="Times New Roman" w:eastAsia="仿宋"/>
          <w:b w:val="0"/>
          <w:sz w:val="24"/>
        </w:rPr>
        <w:t>三、年加权 PUE 证据未闭合。1.199 由 PTotal/PIT、并按负荷系数 1.0 算得，属于满载设计点。液冷虽已写入方案，未见重算。昨日 50% 负载 1.245 未被本专册否定。请分别报送投运首年和达产年的年加权值，未报送前不确认 1.199。</w:t>
      </w:r>
    </w:p>
    <w:p>
      <w:pPr>
        <w:spacing w:before="0" w:after="0"/>
        <w:ind w:firstLine="480"/>
      </w:pPr>
      <w:r>
        <w:rPr>
          <w:rFonts w:ascii="Times New Roman" w:hAnsi="Times New Roman" w:eastAsia="仿宋"/>
          <w:b w:val="0"/>
          <w:sz w:val="24"/>
        </w:rPr>
        <w:t>四、项目级绿电证据未闭合。现有材料为承诺函，实现路径包含购买省外绿证，全文“韶关”9 处未排除。不接受绿证替代年度绿电比例，不接受韶关合同或公司历史采购量代替里水项目级证据。80% 绿电本轮不予确认。</w:t>
      </w:r>
    </w:p>
    <w:p>
      <w:pPr>
        <w:spacing w:before="0" w:after="0"/>
        <w:ind w:firstLine="480"/>
      </w:pPr>
      <w:r>
        <w:rPr>
          <w:rFonts w:ascii="Times New Roman" w:hAnsi="Times New Roman" w:eastAsia="仿宋"/>
          <w:b w:val="0"/>
          <w:sz w:val="24"/>
        </w:rPr>
        <w:t>五、替代来源未闭合。第 4.7 节未给出可核验的替代项目、年度、数量和凭证。以购买绿证充抵替代，本轮不予采纳。</w:t>
      </w:r>
    </w:p>
    <w:p>
      <w:pPr>
        <w:spacing w:before="0" w:after="0"/>
        <w:ind w:firstLine="480"/>
      </w:pPr>
      <w:r>
        <w:rPr>
          <w:rFonts w:ascii="Times New Roman" w:hAnsi="Times New Roman" w:eastAsia="仿宋"/>
          <w:b w:val="0"/>
          <w:sz w:val="24"/>
        </w:rPr>
        <w:t>六、用地及敏感点未闭合。其他商服用地用途调整未见完成；酒店约 1.06 万平方米、幼儿园约 0.14 万平方米仍在院内；26 台机组及储油与敏感点的距离和专项结论未见。总图和环境安全本轮不予确认。</w:t>
      </w:r>
    </w:p>
    <w:p>
      <w:pPr>
        <w:spacing w:before="0" w:after="0"/>
        <w:ind w:firstLine="480"/>
      </w:pPr>
      <w:r>
        <w:rPr>
          <w:rFonts w:ascii="Times New Roman" w:hAnsi="Times New Roman" w:eastAsia="仿宋"/>
          <w:b w:val="0"/>
          <w:sz w:val="24"/>
        </w:rPr>
        <w:t>七、在现场物理电量边界、吨标准煤口径与计量一致、年加权 PUE、项目级绿电、替代来源、用地及敏感点六项证据齐备之前，本轮不对本项目两高内容作出肯定性判断。其中吨标准煤表已经有数，但仍须与现场表计和年加权工况对齐，单独填表不能视为该项已经通过。</w:t>
      </w:r>
    </w:p>
    <w:p>
      <w:pPr>
        <w:spacing w:before="160" w:after="0"/>
        <w:ind w:firstLine="560"/>
      </w:pPr>
      <w:r>
        <w:rPr>
          <w:rFonts w:ascii="Times New Roman" w:hAnsi="Times New Roman" w:eastAsia="楷体"/>
          <w:b/>
          <w:sz w:val="28"/>
        </w:rPr>
        <w:t>（三）补正要求</w:t>
      </w:r>
    </w:p>
    <w:p>
      <w:pPr>
        <w:spacing w:before="0" w:after="0"/>
        <w:ind w:firstLine="480"/>
      </w:pPr>
      <w:r>
        <w:rPr>
          <w:rFonts w:ascii="Times New Roman" w:hAnsi="Times New Roman" w:eastAsia="仿宋"/>
          <w:b w:val="0"/>
          <w:sz w:val="24"/>
        </w:rPr>
        <w:t>综合上述，建议本项目两高专册退回补正，补正齐备后另行安排审查。补正要求如下：</w:t>
      </w:r>
    </w:p>
    <w:p>
      <w:pPr>
        <w:spacing w:before="0" w:after="0"/>
        <w:ind w:firstLine="480"/>
      </w:pPr>
      <w:r>
        <w:rPr>
          <w:rFonts w:ascii="Times New Roman" w:hAnsi="Times New Roman" w:eastAsia="仿宋"/>
          <w:b w:val="0"/>
          <w:sz w:val="24"/>
        </w:rPr>
        <w:t>一、固定里水 36MW 唯一边界。书面确认本专册不再出现韶塘、200MW 及任何异地规模字段；机柜以 492 台实物清单为准，统一 100kW 台数，标准机架 14400 个如需保留则仅作折合标注。</w:t>
      </w:r>
    </w:p>
    <w:p>
      <w:pPr>
        <w:spacing w:before="0" w:after="0"/>
        <w:ind w:firstLine="480"/>
      </w:pPr>
      <w:r>
        <w:rPr>
          <w:rFonts w:ascii="Times New Roman" w:hAnsi="Times New Roman" w:eastAsia="仿宋"/>
          <w:b w:val="0"/>
          <w:sz w:val="24"/>
        </w:rPr>
        <w:t>二、落实现场物理电量。提交里水关口及分表计量边界图，列明 IT、制冷、其他辅助和柴油发电的计量点；按同一边界重列年电量，并说明与 37818.35 万 kWh 的对应关系。IT 用电不论服务器由谁投资，均须计入。</w:t>
      </w:r>
    </w:p>
    <w:p>
      <w:pPr>
        <w:spacing w:before="0" w:after="0"/>
        <w:ind w:firstLine="480"/>
      </w:pPr>
      <w:r>
        <w:rPr>
          <w:rFonts w:ascii="Times New Roman" w:hAnsi="Times New Roman" w:eastAsia="仿宋"/>
          <w:b w:val="0"/>
          <w:sz w:val="24"/>
        </w:rPr>
        <w:t>三、重做年加权 PUE。按投运爬坡和达产分别给出逐月 IT 负荷、制冷及辅助用电，计算投运首年和达产年加权值；分列风冷与液冷。不得以满载 1.199 代替年加权值。若冷板液冷尚未确定投建，应撤回以其论证能效的文字。</w:t>
      </w:r>
    </w:p>
    <w:p>
      <w:pPr>
        <w:spacing w:before="0" w:after="0"/>
        <w:ind w:firstLine="480"/>
      </w:pPr>
      <w:r>
        <w:rPr>
          <w:rFonts w:ascii="Times New Roman" w:hAnsi="Times New Roman" w:eastAsia="仿宋"/>
          <w:b w:val="0"/>
          <w:sz w:val="24"/>
        </w:rPr>
        <w:t>四、提交项目级绿电证据。提供里水对应年度、对应电量、对应计量点的交易合同或具备约束力的供电协议，分列物理电量、绿证和环境权益，明确归属与注销主体。逐条处置“韶关”9 处。绿证不得计入年度绿电比例。按 80% 计算的 30254.68 万 kWh 须有物理电量来源。</w:t>
      </w:r>
    </w:p>
    <w:p>
      <w:pPr>
        <w:spacing w:before="0" w:after="0"/>
        <w:ind w:firstLine="480"/>
      </w:pPr>
      <w:r>
        <w:rPr>
          <w:rFonts w:ascii="Times New Roman" w:hAnsi="Times New Roman" w:eastAsia="仿宋"/>
          <w:b w:val="0"/>
          <w:sz w:val="24"/>
        </w:rPr>
        <w:t>五、重写能耗替代。列明替代量、来源项目、来源年度和落实凭证；无凭证的，删除替代已经落实的表述。购买省外绿证不得作为替代手段。</w:t>
      </w:r>
    </w:p>
    <w:p>
      <w:pPr>
        <w:spacing w:before="0" w:after="0"/>
        <w:ind w:firstLine="480"/>
      </w:pPr>
      <w:r>
        <w:rPr>
          <w:rFonts w:ascii="Times New Roman" w:hAnsi="Times New Roman" w:eastAsia="仿宋"/>
          <w:b w:val="0"/>
          <w:sz w:val="24"/>
        </w:rPr>
        <w:t>六、完成用地和敏感点前置工作。说明其他商服用地的拟调整用途、程序和完成时点；在总图上标明酒店、幼儿园、A1、冷却设备、26 台机组和储油设施的最近距离，并报送噪声、废气、防渗、防火和事故风险结论。补充第 5 章储油的容积、形式和位置。</w:t>
      </w:r>
    </w:p>
    <w:p>
      <w:pPr>
        <w:spacing w:before="0" w:after="0"/>
        <w:ind w:firstLine="480"/>
      </w:pPr>
      <w:r>
        <w:rPr>
          <w:rFonts w:ascii="Times New Roman" w:hAnsi="Times New Roman" w:eastAsia="仿宋"/>
          <w:b w:val="0"/>
          <w:sz w:val="24"/>
        </w:rPr>
        <w:t>七、对齐供电容量与年运行功率。从 35998kW 列至变压器 100000kVA，解释 40.95%，并与年电量折算功率对齐；说明柴油机组试验运行以外的油耗是否计入。</w:t>
      </w:r>
    </w:p>
    <w:p>
      <w:pPr>
        <w:spacing w:before="0" w:after="0"/>
        <w:ind w:firstLine="480"/>
      </w:pPr>
      <w:r>
        <w:rPr>
          <w:rFonts w:ascii="Times New Roman" w:hAnsi="Times New Roman" w:eastAsia="仿宋"/>
          <w:b w:val="0"/>
          <w:sz w:val="24"/>
        </w:rPr>
        <w:t>八、说明增量能耗的现行依据。列出据以比较广东、佛山能耗空间的现行文件、文号、条款和有效期；2025 年目标如已过适用期，不得再写成已经获得的空间。本件不代替申请人拟定新的法定限额。</w:t>
      </w:r>
    </w:p>
    <w:p>
      <w:pPr>
        <w:spacing w:before="0" w:after="0"/>
        <w:ind w:firstLine="480"/>
      </w:pPr>
      <w:r>
        <w:rPr>
          <w:rFonts w:ascii="Times New Roman" w:hAnsi="Times New Roman" w:eastAsia="仿宋"/>
          <w:b w:val="0"/>
          <w:sz w:val="24"/>
        </w:rPr>
        <w:t>九、书面锁定服务器边界。确认服务器、芯片由他方采购，不属本期资产；同时确认 36MW IT 用电不可从项目能耗中剔除。</w:t>
      </w:r>
    </w:p>
    <w:p>
      <w:pPr>
        <w:spacing w:before="0" w:after="0"/>
        <w:ind w:firstLine="480"/>
      </w:pPr>
      <w:r>
        <w:rPr>
          <w:rFonts w:ascii="Times New Roman" w:hAnsi="Times New Roman" w:eastAsia="仿宋"/>
          <w:b w:val="0"/>
          <w:sz w:val="24"/>
        </w:rPr>
        <w:t>十、补充粤发改高技〔2022〕436 号在申报时的效力说明，以及申请人认为仍然有效的其他能效依据。不得把满载设计点低于其所引 1.3 写成审查通过。</w:t>
      </w:r>
    </w:p>
    <w:p>
      <w:pPr>
        <w:spacing w:before="0" w:after="0"/>
        <w:ind w:firstLine="480"/>
      </w:pPr>
      <w:r>
        <w:rPr>
          <w:rFonts w:ascii="Times New Roman" w:hAnsi="Times New Roman" w:eastAsia="仿宋"/>
          <w:b w:val="0"/>
          <w:sz w:val="24"/>
        </w:rPr>
        <w:t>十一、本件不构成对项目的任何肯定性评价，亦不得作为项目开工、用地、用能、供电、能耗替代和融资的依据。</w:t>
      </w:r>
    </w:p>
    <w:p>
      <w:pPr>
        <w:spacing w:before="240" w:after="80"/>
        <w:ind w:firstLine="600"/>
      </w:pPr>
      <w:r>
        <w:rPr>
          <w:rFonts w:ascii="Times New Roman" w:hAnsi="Times New Roman" w:eastAsia="黑体"/>
          <w:b w:val="0"/>
          <w:sz w:val="30"/>
        </w:rPr>
        <w:t>附件：两高现场六问</w:t>
      </w:r>
    </w:p>
    <w:p>
      <w:pPr>
        <w:spacing w:before="0" w:after="0"/>
        <w:ind w:firstLine="480"/>
      </w:pPr>
      <w:r>
        <w:rPr>
          <w:rFonts w:ascii="Times New Roman" w:hAnsi="Times New Roman" w:eastAsia="仿宋"/>
          <w:b w:val="0"/>
          <w:sz w:val="24"/>
        </w:rPr>
        <w:t>本附件仅供两高审查现场提问使用，不作为正式意见的组成部分。不问需求签约和财务三表。</w:t>
      </w:r>
    </w:p>
    <w:p>
      <w:pPr>
        <w:spacing w:before="0" w:after="0"/>
        <w:ind w:firstLine="480"/>
      </w:pPr>
      <w:r>
        <w:rPr>
          <w:rFonts w:ascii="Times New Roman" w:hAnsi="Times New Roman" w:eastAsia="仿宋"/>
          <w:b w:val="0"/>
          <w:sz w:val="24"/>
        </w:rPr>
        <w:t>问题一，80% 绿电的现场电量在哪里。第 4.7 节写“绿电长期供电协议或购买省外绿证等方式”，证据是承诺函，全文“韶关”还有 9 处。按年电量的 80%，应有 30254.68 万 kWh 物理绿电。若答承诺函即可，则追问合同、计量点和结算电量在何处；若答可以买绿证，则追问绿证为何能替代现场电量；若答韶关 9 处不是本合同，则追问 9 处逐条性质，以及与昨日韶关园区合同是否仍在卷内。</w:t>
      </w:r>
    </w:p>
    <w:p>
      <w:pPr>
        <w:spacing w:before="0" w:after="0"/>
        <w:ind w:firstLine="480"/>
      </w:pPr>
      <w:r>
        <w:rPr>
          <w:rFonts w:ascii="Times New Roman" w:hAnsi="Times New Roman" w:eastAsia="仿宋"/>
          <w:b w:val="0"/>
          <w:sz w:val="24"/>
        </w:rPr>
        <w:t>问题二，1.199 是不是全年值。IT 三档都按 8760 小时、负荷系数 1.0，公式是 PTotal/PIT，算术约 1.1993。若答就是年值，则追问爬坡期如何满载、逐月表在何处、昨日 50% 负载 1.245 为何不再回应；若答已考虑液冷，则转入问题三。</w:t>
      </w:r>
    </w:p>
    <w:p>
      <w:pPr>
        <w:spacing w:before="0" w:after="0"/>
        <w:ind w:firstLine="480"/>
      </w:pPr>
      <w:r>
        <w:rPr>
          <w:rFonts w:ascii="Times New Roman" w:hAnsi="Times New Roman" w:eastAsia="仿宋"/>
          <w:b w:val="0"/>
          <w:sz w:val="24"/>
        </w:rPr>
        <w:t>问题三，液冷写进方案后为何仍是 1.199。昨日申请书写本期暂不建液冷，当时满载测算已是 1.199。若答冷板已定，则追问覆盖哪一档机柜、制冷电量有没有重算；若答只是预留，则追问为何用液冷为 1.199 作支撑。</w:t>
      </w:r>
    </w:p>
    <w:p>
      <w:pPr>
        <w:spacing w:before="0" w:after="0"/>
        <w:ind w:firstLine="480"/>
      </w:pPr>
      <w:r>
        <w:rPr>
          <w:rFonts w:ascii="Times New Roman" w:hAnsi="Times New Roman" w:eastAsia="仿宋"/>
          <w:b w:val="0"/>
          <w:sz w:val="24"/>
        </w:rPr>
        <w:t>问题四，108010.90 tce 等价值放进哪个盘子。表已填、算术能对上，但比较对象是“十五五”空间和 2025 年单位地区生产总值能耗目标。若答已经列入地方空间，则追问文件、文号、年度和剩余量；若答先用 2025 年目标，则追问 2026 年申报为何沿用“十四五”期末口径。填表本身不能视为两高通过。</w:t>
      </w:r>
    </w:p>
    <w:p>
      <w:pPr>
        <w:spacing w:before="0" w:after="0"/>
        <w:ind w:firstLine="480"/>
      </w:pPr>
      <w:r>
        <w:rPr>
          <w:rFonts w:ascii="Times New Roman" w:hAnsi="Times New Roman" w:eastAsia="仿宋"/>
          <w:b w:val="0"/>
          <w:sz w:val="24"/>
        </w:rPr>
        <w:t>问题五，其他商服用地和院内酒店、幼儿园怎么办。现状 46.55 亩为其他商服用地，酒店约 1.06 万平方米、幼儿园约 0.14 万平方米仍保留，另有 26 台 2200kW 机组和第 5 章储油。若答建筑不是本期建设内容，则追问敏感点约束为何因此消失；若答用地可以先建后调，则追问拟调整用途、完成时点和最近距离、环保安全结论在何处。</w:t>
      </w:r>
    </w:p>
    <w:p>
      <w:pPr>
        <w:spacing w:before="0" w:after="0"/>
        <w:ind w:firstLine="480"/>
      </w:pPr>
      <w:r>
        <w:rPr>
          <w:rFonts w:ascii="Times New Roman" w:hAnsi="Times New Roman" w:eastAsia="仿宋"/>
          <w:b w:val="0"/>
          <w:sz w:val="24"/>
        </w:rPr>
        <w:t>问题六，36MW IT 用电还能否拿掉。本专册已把 36MW 计入年电量和吨标准煤，同时写明服务器由他方采购部署。若答电费由客户承担，则追问计量点内的物理总用电是否仍属本项目；若答可以计入，则追问能否书面锁定后续不得剔除，并说明计量点和分表。不投服务器只影响资产归属，不影响能耗边界。</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