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sz w:val="40"/>
        </w:rPr>
        <w:t>南航大兴维修基地零碳工厂收资说明</w:t>
      </w:r>
    </w:p>
    <w:p>
      <w:pPr>
        <w:spacing w:before="280" w:after="160"/>
      </w:pPr>
      <w:r>
        <w:rPr>
          <w:rFonts w:ascii="Times New Roman" w:hAnsi="Times New Roman" w:eastAsia="黑体"/>
          <w:b/>
          <w:sz w:val="30"/>
        </w:rPr>
        <w:t>1 标题与元信息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4422"/>
      </w:tblGrid>
      <w:tr>
        <w:trPr>
          <w:cantSplit/>
        </w:trPr>
        <w:tc>
          <w:tcPr>
            <w:tcW w:type="dxa" w:w="1040"/>
            <w:shd w:val="clear" w:fill="D9D9D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7804"/>
            <w:shd w:val="clear" w:fill="D9D9D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04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文件名称</w:t>
            </w:r>
          </w:p>
        </w:tc>
        <w:tc>
          <w:tcPr>
            <w:tcW w:type="dxa" w:w="7804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南航大兴维修基地零碳工厂收资说明（文秘出口稿）</w:t>
            </w:r>
          </w:p>
        </w:tc>
      </w:tr>
      <w:tr>
        <w:trPr>
          <w:cantSplit/>
        </w:trPr>
        <w:tc>
          <w:tcPr>
            <w:tcW w:type="dxa" w:w="104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提供方</w:t>
            </w:r>
          </w:p>
        </w:tc>
        <w:tc>
          <w:tcPr>
            <w:tcW w:type="dxa" w:w="7804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南网能源</w:t>
            </w:r>
          </w:p>
        </w:tc>
      </w:tr>
      <w:tr>
        <w:trPr>
          <w:cantSplit/>
        </w:trPr>
        <w:tc>
          <w:tcPr>
            <w:tcW w:type="dxa" w:w="104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接收方</w:t>
            </w:r>
          </w:p>
        </w:tc>
        <w:tc>
          <w:tcPr>
            <w:tcW w:type="dxa" w:w="7804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南航大兴维修基地对接人</w:t>
            </w:r>
          </w:p>
        </w:tc>
      </w:tr>
      <w:tr>
        <w:trPr>
          <w:cantSplit/>
        </w:trPr>
        <w:tc>
          <w:tcPr>
            <w:tcW w:type="dxa" w:w="104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对象主体</w:t>
            </w:r>
          </w:p>
        </w:tc>
        <w:tc>
          <w:tcPr>
            <w:tcW w:type="dxa" w:w="7804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中国南方航空股份有限公司工程技术分公司北京基地（公开采购公告口径，下称「基地」）</w:t>
            </w:r>
          </w:p>
        </w:tc>
      </w:tr>
      <w:tr>
        <w:trPr>
          <w:cantSplit/>
        </w:trPr>
        <w:tc>
          <w:tcPr>
            <w:tcW w:type="dxa" w:w="104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政策锚</w:t>
            </w:r>
          </w:p>
        </w:tc>
        <w:tc>
          <w:tcPr>
            <w:tcW w:type="dxa" w:w="7804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工信厅节函〔2026〕334号（2026-07-13）及附件1《国家级零碳工厂建设评估指标体系及指标说明（试行）》、附件2《国家级零碳工厂建设方案（大纲）》；旁参工信部联节〔2026〕13号《关于开展零碳工厂建设工作的指导意见》</w:t>
            </w:r>
          </w:p>
        </w:tc>
      </w:tr>
      <w:tr>
        <w:trPr>
          <w:cantSplit/>
        </w:trPr>
        <w:tc>
          <w:tcPr>
            <w:tcW w:type="dxa" w:w="104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时效</w:t>
            </w:r>
          </w:p>
        </w:tc>
        <w:tc>
          <w:tcPr>
            <w:tcW w:type="dxa" w:w="7804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本说明结论仅对 334 号 2026 年度批次（统计期 2025 年）负责；后续批次以新通知为准，不作为永久有效结论</w:t>
            </w:r>
          </w:p>
        </w:tc>
      </w:tr>
      <w:tr>
        <w:trPr>
          <w:cantSplit/>
        </w:trPr>
        <w:tc>
          <w:tcPr>
            <w:tcW w:type="dxa" w:w="104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编制依据</w:t>
            </w:r>
          </w:p>
        </w:tc>
        <w:tc>
          <w:tcPr>
            <w:tcW w:type="dxa" w:w="7804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《01 资格边界初判》《02 六条路径落地框架》《03 收资逻辑说明书》（2026-09-08 骨架稿）</w:t>
            </w:r>
          </w:p>
        </w:tc>
      </w:tr>
      <w:tr>
        <w:trPr>
          <w:cantSplit/>
        </w:trPr>
        <w:tc>
          <w:tcPr>
            <w:tcW w:type="dxa" w:w="104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配套表</w:t>
            </w:r>
          </w:p>
        </w:tc>
        <w:tc>
          <w:tcPr>
            <w:tcW w:type="dxa" w:w="7804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《南航大兴维修基地-国家级零碳工厂申报收资表-20260908.xlsx》（官方十表 + 航空维修场景补行 AM01–AM16；AM 行名为拟定对齐口径，以本地表原名为准）</w:t>
            </w:r>
          </w:p>
        </w:tc>
      </w:tr>
      <w:tr>
        <w:trPr>
          <w:cantSplit/>
        </w:trPr>
        <w:tc>
          <w:tcPr>
            <w:tcW w:type="dxa" w:w="104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成稿标注</w:t>
            </w:r>
          </w:p>
        </w:tc>
        <w:tc>
          <w:tcPr>
            <w:tcW w:type="dxa" w:w="7804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文秘·Kimi K3，2026-09-08</w:t>
            </w:r>
          </w:p>
        </w:tc>
      </w:tr>
      <w:tr>
        <w:trPr>
          <w:cantSplit/>
        </w:trPr>
        <w:tc>
          <w:tcPr>
            <w:tcW w:type="dxa" w:w="104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证据标记</w:t>
            </w:r>
          </w:p>
        </w:tc>
        <w:tc>
          <w:tcPr>
            <w:tcW w:type="dxa" w:w="7804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【事实】公开可查；【计算】按公开公式与参数推算、含假设；【判断】专业判断；【建议】可选动作；【待核】基地未提供、公开未见</w:t>
            </w:r>
          </w:p>
        </w:tc>
      </w:tr>
    </w:tbl>
    <w:p>
      <w:pPr>
        <w:spacing w:after="0"/>
      </w:pPr>
    </w:p>
    <w:p>
      <w:pPr>
        <w:spacing w:before="280" w:after="160"/>
      </w:pPr>
      <w:r>
        <w:rPr>
          <w:rFonts w:ascii="Times New Roman" w:hAnsi="Times New Roman" w:eastAsia="黑体"/>
          <w:b/>
          <w:sz w:val="30"/>
        </w:rPr>
        <w:t>2 一句话结论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针对工信厅节函〔2026〕334号 2026 年度「国家级零碳工厂（制造型企业通道）」当期申报，三选一口径取：</w:t>
      </w:r>
      <w:r>
        <w:rPr>
          <w:rFonts w:ascii="Times New Roman" w:hAnsi="Times New Roman" w:eastAsia="仿宋"/>
          <w:b/>
          <w:sz w:val="24"/>
        </w:rPr>
        <w:t>不满足硬性申报条件</w:t>
      </w:r>
      <w:r>
        <w:rPr>
          <w:rFonts w:ascii="Times New Roman" w:hAnsi="Times New Roman" w:eastAsia="仿宋"/>
          <w:b w:val="0"/>
          <w:sz w:val="24"/>
        </w:rPr>
        <w:t>。原因：① 申报单位须已入选国家绿色工厂名单，公开检索未见南航任一维修主体在列【事实】；② 2026 年度省级推荐已于 2026-08-15 截止【事实】。算力设施通道不适用。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这不等于做不了零碳。建议走「北京市绿色工厂 → 国家绿色工厂 → 国家级零碳工厂（后续批次，若有）」梯度培育路线，期间按 334 号附件2 大纲自建口径开展对标建设；本次收资即为该路线与后续批次储备数据。</w:t>
      </w:r>
      <w:r>
        <w:rPr>
          <w:rFonts w:ascii="Times New Roman" w:hAnsi="Times New Roman" w:eastAsia="仿宋"/>
          <w:b/>
          <w:sz w:val="24"/>
        </w:rPr>
        <w:t>以上安排均不构成对国家级授牌的承诺。</w:t>
      </w:r>
    </w:p>
    <w:p>
      <w:pPr>
        <w:spacing w:before="280" w:after="160"/>
      </w:pPr>
      <w:r>
        <w:rPr>
          <w:rFonts w:ascii="Times New Roman" w:hAnsi="Times New Roman" w:eastAsia="黑体"/>
          <w:b/>
          <w:sz w:val="30"/>
        </w:rPr>
        <w:t>3 为何不满足（短表）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cantSplit/>
        </w:trPr>
        <w:tc>
          <w:tcPr>
            <w:tcW w:type="dxa" w:w="2278"/>
            <w:shd w:val="clear" w:fill="D9D9D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门槛</w:t>
            </w:r>
          </w:p>
        </w:tc>
        <w:tc>
          <w:tcPr>
            <w:tcW w:type="dxa" w:w="4020"/>
            <w:shd w:val="clear" w:fill="D9D9D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依据与现状</w:t>
            </w:r>
          </w:p>
        </w:tc>
        <w:tc>
          <w:tcPr>
            <w:tcW w:type="dxa" w:w="2546"/>
            <w:shd w:val="clear" w:fill="D9D9D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判定</w:t>
            </w:r>
          </w:p>
        </w:tc>
      </w:tr>
      <w:tr>
        <w:trPr>
          <w:cantSplit/>
        </w:trPr>
        <w:tc>
          <w:tcPr>
            <w:tcW w:type="dxa" w:w="2278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已入选国家绿色工厂名单（前置条件）</w:t>
            </w:r>
          </w:p>
        </w:tc>
        <w:tc>
          <w:tcPr>
            <w:tcW w:type="dxa" w:w="402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公开检索（含 2025 年度名单全文）未见南航股份、工程技术分公司、北京基地或其他南航维修主体【事实】</w:t>
            </w:r>
          </w:p>
        </w:tc>
        <w:tc>
          <w:tcPr>
            <w:tcW w:type="dxa" w:w="2546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/>
                <w:sz w:val="21"/>
              </w:rPr>
              <w:t>不满足</w:t>
            </w:r>
            <w:r>
              <w:rPr>
                <w:rFonts w:ascii="Times New Roman" w:hAnsi="Times New Roman" w:eastAsia="仿宋"/>
                <w:b w:val="0"/>
                <w:sz w:val="21"/>
              </w:rPr>
              <w:t>，非补材料可解</w:t>
            </w:r>
          </w:p>
        </w:tc>
      </w:tr>
      <w:tr>
        <w:trPr>
          <w:cantSplit/>
        </w:trPr>
        <w:tc>
          <w:tcPr>
            <w:tcW w:type="dxa" w:w="2278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批次时限</w:t>
            </w:r>
          </w:p>
        </w:tc>
        <w:tc>
          <w:tcPr>
            <w:tcW w:type="dxa" w:w="402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2026 年度省级推荐截止 2026-08-15，已过期【事实】</w:t>
            </w:r>
          </w:p>
        </w:tc>
        <w:tc>
          <w:tcPr>
            <w:tcW w:type="dxa" w:w="2546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/>
                <w:sz w:val="21"/>
              </w:rPr>
              <w:t>本批次不可申报</w:t>
            </w:r>
          </w:p>
        </w:tc>
      </w:tr>
      <w:tr>
        <w:trPr>
          <w:cantSplit/>
        </w:trPr>
        <w:tc>
          <w:tcPr>
            <w:tcW w:type="dxa" w:w="2278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独立法人或视同法人独立核算</w:t>
            </w:r>
          </w:p>
        </w:tc>
        <w:tc>
          <w:tcPr>
            <w:tcW w:type="dxa" w:w="402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运营主体为分公司下属基地；是否办理视同法人独立核算统计登记【待核】</w:t>
            </w:r>
          </w:p>
        </w:tc>
        <w:tc>
          <w:tcPr>
            <w:tcW w:type="dxa" w:w="2546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未确认（门槛四问之一）</w:t>
            </w:r>
          </w:p>
        </w:tc>
      </w:tr>
      <w:tr>
        <w:trPr>
          <w:cantSplit/>
        </w:trPr>
        <w:tc>
          <w:tcPr>
            <w:tcW w:type="dxa" w:w="2278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规上工业企业（行业代码 4343）</w:t>
            </w:r>
          </w:p>
        </w:tc>
        <w:tc>
          <w:tcPr>
            <w:tcW w:type="dxa" w:w="402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是否以 4343 纳入规上工业统计【待核】；飞机维修企业有省级绿色工厂先例，国家级名单未见【事实】</w:t>
            </w:r>
          </w:p>
        </w:tc>
        <w:tc>
          <w:tcPr>
            <w:tcW w:type="dxa" w:w="2546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可争取，需与北京市经信局预沟通</w:t>
            </w:r>
          </w:p>
        </w:tc>
      </w:tr>
      <w:tr>
        <w:trPr>
          <w:cantSplit/>
        </w:trPr>
        <w:tc>
          <w:tcPr>
            <w:tcW w:type="dxa" w:w="2278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核心指标 1.1/1.2/1.3 现状</w:t>
            </w:r>
          </w:p>
        </w:tc>
        <w:tc>
          <w:tcPr>
            <w:tcW w:type="dxa" w:w="402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条件式测算：北京纯网电现状约 1.9 tCO2/tce，高于 1.8 基本要求，须有真实零因子电量；物理认定量占比现状远低于 10%【计算】</w:t>
            </w:r>
          </w:p>
        </w:tc>
        <w:tc>
          <w:tcPr>
            <w:tcW w:type="dxa" w:w="2546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现状大概率不满足，需工程投入与绿电组合</w:t>
            </w:r>
          </w:p>
        </w:tc>
      </w:tr>
      <w:tr>
        <w:trPr>
          <w:cantSplit/>
        </w:trPr>
        <w:tc>
          <w:tcPr>
            <w:tcW w:type="dxa" w:w="2278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算力设施通道</w:t>
            </w:r>
          </w:p>
        </w:tc>
        <w:tc>
          <w:tcPr>
            <w:tcW w:type="dxa" w:w="402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基地为维修设施，不构成独立算力设施主体【判断】</w:t>
            </w:r>
          </w:p>
        </w:tc>
        <w:tc>
          <w:tcPr>
            <w:tcW w:type="dxa" w:w="2546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不适用</w:t>
            </w:r>
          </w:p>
        </w:tc>
      </w:tr>
    </w:tbl>
    <w:p>
      <w:pPr>
        <w:spacing w:after="0"/>
      </w:pP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注：上表量级测算为条件式计算，含假设，不代表基地实测，须以收资数据核验。结论取「不满足硬性申报条件」，而非「待补充材料后研判」——前两项门槛非材料可补。</w:t>
      </w:r>
    </w:p>
    <w:p>
      <w:pPr>
        <w:spacing w:before="280" w:after="160"/>
      </w:pPr>
      <w:r>
        <w:rPr>
          <w:rFonts w:ascii="Times New Roman" w:hAnsi="Times New Roman" w:eastAsia="黑体"/>
          <w:b/>
          <w:sz w:val="30"/>
        </w:rPr>
        <w:t>4 变通与梯度（不承诺授牌）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cantSplit/>
        </w:trPr>
        <w:tc>
          <w:tcPr>
            <w:tcW w:type="dxa" w:w="1370"/>
            <w:shd w:val="clear" w:fill="D9D9D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选项</w:t>
            </w:r>
          </w:p>
        </w:tc>
        <w:tc>
          <w:tcPr>
            <w:tcW w:type="dxa" w:w="3737"/>
            <w:shd w:val="clear" w:fill="D9D9D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  <w:tc>
          <w:tcPr>
            <w:tcW w:type="dxa" w:w="3737"/>
            <w:shd w:val="clear" w:fill="D9D9D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口径纪律</w:t>
            </w:r>
          </w:p>
        </w:tc>
      </w:tr>
      <w:tr>
        <w:trPr>
          <w:cantSplit/>
        </w:trPr>
        <w:tc>
          <w:tcPr>
            <w:tcW w:type="dxa" w:w="137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A 梯度培育主线</w:t>
            </w:r>
          </w:p>
        </w:tc>
        <w:tc>
          <w:tcPr>
            <w:tcW w:type="dxa" w:w="3737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北京市绿色工厂 → 国家绿色工厂 → 国家级零碳工厂（后续批次，若有）</w:t>
            </w:r>
          </w:p>
        </w:tc>
        <w:tc>
          <w:tcPr>
            <w:tcW w:type="dxa" w:w="3737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后续批次是否开放、时间未定，不写成「已锁定」</w:t>
            </w:r>
          </w:p>
        </w:tc>
      </w:tr>
      <w:tr>
        <w:trPr>
          <w:cantSplit/>
        </w:trPr>
        <w:tc>
          <w:tcPr>
            <w:tcW w:type="dxa" w:w="137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C 自建口径对标建设</w:t>
            </w:r>
          </w:p>
        </w:tc>
        <w:tc>
          <w:tcPr>
            <w:tcW w:type="dxa" w:w="3737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借用 334 号六条路径与附件1 指标体系编制《零碳维修基地建设方案》，年度自评并披露</w:t>
            </w:r>
          </w:p>
        </w:tc>
        <w:tc>
          <w:tcPr>
            <w:tcW w:type="dxa" w:w="3737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对外统一表述为「对标国家级零碳工厂指标体系建设」，不用「获评/认定」</w:t>
            </w:r>
          </w:p>
        </w:tc>
      </w:tr>
      <w:tr>
        <w:trPr>
          <w:cantSplit/>
        </w:trPr>
        <w:tc>
          <w:tcPr>
            <w:tcW w:type="dxa" w:w="137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E 南网能源综合能源服务</w:t>
            </w:r>
          </w:p>
        </w:tc>
        <w:tc>
          <w:tcPr>
            <w:tcW w:type="dxa" w:w="3737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屋面光伏扩容、绿电直连/绿电交易代理、储能、GSE 充电、能碳平台</w:t>
            </w:r>
          </w:p>
        </w:tc>
        <w:tc>
          <w:tcPr>
            <w:tcW w:type="dxa" w:w="3737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电价、装机、收益以实测与业主数据为准，本说明不写收益率</w:t>
            </w:r>
          </w:p>
        </w:tc>
      </w:tr>
      <w:tr>
        <w:trPr>
          <w:cantSplit/>
        </w:trPr>
        <w:tc>
          <w:tcPr>
            <w:tcW w:type="dxa" w:w="137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B 省/市级零碳工厂</w:t>
            </w:r>
          </w:p>
        </w:tc>
        <w:tc>
          <w:tcPr>
            <w:tcW w:type="dxa" w:w="3737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334 号鼓励有条件的地区建设省级零碳工厂；北京市是否设有对应通道【待核】</w:t>
            </w:r>
          </w:p>
        </w:tc>
        <w:tc>
          <w:tcPr>
            <w:tcW w:type="dxa" w:w="3737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若北京无通道，不借用其他省市名义</w:t>
            </w:r>
          </w:p>
        </w:tc>
      </w:tr>
      <w:tr>
        <w:trPr>
          <w:cantSplit/>
        </w:trPr>
        <w:tc>
          <w:tcPr>
            <w:tcW w:type="dxa" w:w="137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D 第三方评价</w:t>
            </w:r>
          </w:p>
        </w:tc>
        <w:tc>
          <w:tcPr>
            <w:tcW w:type="dxa" w:w="3737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依据团体标准或 ISO 14068-1 等做第三方评价/声明</w:t>
            </w:r>
          </w:p>
        </w:tc>
        <w:tc>
          <w:tcPr>
            <w:tcW w:type="dxa" w:w="3737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注明「第三方评价」，不与「国家级」并列造成误读</w:t>
            </w:r>
          </w:p>
        </w:tc>
      </w:tr>
    </w:tbl>
    <w:p>
      <w:pPr>
        <w:spacing w:after="0"/>
      </w:pP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【建议】主线取 A+C+E 组合：C 提供口径与数据，E 提供工程与物理认定量，A 提供合规出口。</w:t>
      </w:r>
    </w:p>
    <w:p>
      <w:pPr>
        <w:spacing w:before="280" w:after="160"/>
      </w:pPr>
      <w:r>
        <w:rPr>
          <w:rFonts w:ascii="Times New Roman" w:hAnsi="Times New Roman" w:eastAsia="黑体"/>
          <w:b/>
          <w:sz w:val="30"/>
        </w:rPr>
        <w:t>5 收资目的与顺序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收资目的（初判 → 倒推）：</w:t>
      </w:r>
    </w:p>
    <w:p>
      <w:pPr>
        <w:spacing w:after="8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1. 回答四个门槛问题，确认梯度培育路线是否成立；任一答案为否且无补救路径的，初判结论维持，收资转入对标建设与工程数据。</w:t>
      </w:r>
    </w:p>
    <w:p>
      <w:pPr>
        <w:spacing w:after="8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2. 按 334 号附件2 大纲把 2025 统计期（2025-01-01 至 2025-12-31）数据一次收齐，供自建口径对标建设与后续批次使用。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四个门槛问题（第一轮请先回答）：</w:t>
      </w:r>
    </w:p>
    <w:p>
      <w:pPr>
        <w:spacing w:after="8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1. 申报主体：北京基地是否能以「视同法人独立核算单位」出具统计登记、财务与能源独立口径？若否，工程技术分公司整体能否？</w:t>
      </w:r>
    </w:p>
    <w:p>
      <w:pPr>
        <w:spacing w:after="8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2. 统计归属：是否以 4343 纳入规上工业统计并填报 B204-1 报表？</w:t>
      </w:r>
    </w:p>
    <w:p>
      <w:pPr>
        <w:spacing w:after="8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3. 绿色工厂：是否已启动或愿意启动北京市绿色工厂申报？</w:t>
      </w:r>
    </w:p>
    <w:p>
      <w:pPr>
        <w:spacing w:after="8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4. 申报边界：边界是「机务维修区」单独，还是含运行及保障、货运、航食、宿舍中的任一功能区？（边界决定各项指标的分子分母）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收资顺序（先硬门槛证据，再核心指标原始变量，再叙述与计划）：</w:t>
      </w:r>
    </w:p>
    <w:p>
      <w:pPr>
        <w:spacing w:after="80" w:line="312" w:lineRule="auto"/>
        <w:ind w:left="425"/>
      </w:pPr>
      <w:r>
        <w:rPr>
          <w:rFonts w:ascii="Times New Roman" w:hAnsi="Times New Roman" w:eastAsia="仿宋"/>
          <w:b w:val="0"/>
          <w:sz w:val="20"/>
        </w:rPr>
        <w:t xml:space="preserve">● </w:t>
      </w:r>
      <w:r>
        <w:rPr>
          <w:rFonts w:ascii="Times New Roman" w:hAnsi="Times New Roman" w:eastAsia="仿宋"/>
          <w:b w:val="0"/>
          <w:sz w:val="24"/>
        </w:rPr>
        <w:t>第一轮 · 门槛证据：申报主体与独立核算、申报边界与功能区、绿色工厂申报意向、绿电直连/一体化安排。</w:t>
      </w:r>
    </w:p>
    <w:p>
      <w:pPr>
        <w:spacing w:after="80" w:line="312" w:lineRule="auto"/>
        <w:ind w:left="425"/>
      </w:pPr>
      <w:r>
        <w:rPr>
          <w:rFonts w:ascii="Times New Roman" w:hAnsi="Times New Roman" w:eastAsia="仿宋"/>
          <w:b w:val="0"/>
          <w:sz w:val="20"/>
        </w:rPr>
        <w:t xml:space="preserve">● </w:t>
      </w:r>
      <w:r>
        <w:rPr>
          <w:rFonts w:ascii="Times New Roman" w:hAnsi="Times New Roman" w:eastAsia="仿宋"/>
          <w:b w:val="0"/>
          <w:sz w:val="24"/>
        </w:rPr>
        <w:t>第二轮 · 核心指标原始变量：供暖热源与用气用热、燃料燃烧归属、GSE 台账、光伏实测与扩容条件、电力来源构成、产出与增加值。</w:t>
      </w:r>
    </w:p>
    <w:p>
      <w:pPr>
        <w:spacing w:after="80" w:line="312" w:lineRule="auto"/>
        <w:ind w:left="425"/>
      </w:pPr>
      <w:r>
        <w:rPr>
          <w:rFonts w:ascii="Times New Roman" w:hAnsi="Times New Roman" w:eastAsia="仿宋"/>
          <w:b w:val="0"/>
          <w:sz w:val="20"/>
        </w:rPr>
        <w:t xml:space="preserve">● </w:t>
      </w:r>
      <w:r>
        <w:rPr>
          <w:rFonts w:ascii="Times New Roman" w:hAnsi="Times New Roman" w:eastAsia="仿宋"/>
          <w:b w:val="0"/>
          <w:sz w:val="24"/>
        </w:rPr>
        <w:t>第三轮 · 叙述与计划支撑：通用设备能效台账、计量与信息系统、工艺设备、体系与合规披露、运行工况、地面电源/空调、碳足迹、供应链。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填写纪律（334 号附件2 填写说明）【事实】：每项数据须写明数据来源、统计口径、计算过程、判定依据，并注明证明材料名称及页码；证明材料不足以证实结论的，评审不予认可。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停止条件：委托方提出取消即停止，保留已收资料与现有文件，不再更改。</w:t>
      </w:r>
    </w:p>
    <w:p>
      <w:pPr>
        <w:spacing w:before="280" w:after="160"/>
      </w:pPr>
      <w:r>
        <w:rPr>
          <w:rFonts w:ascii="Times New Roman" w:hAnsi="Times New Roman" w:eastAsia="黑体"/>
          <w:b/>
          <w:sz w:val="30"/>
        </w:rPr>
        <w:t>6 必收/加分清单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说明：清单与收资表 xlsx 的 AM01–AM16 行一一对应；AM 行名为拟定对齐口径，以本地表原名为准，不一致处在「本地表 AM 行原名」列回填。「必收」指不收则资格结论或核心指标无法成立；「加分」指影响引导指标与评审排序。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第一轮 · 门槛证据（均必收）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cantSplit/>
        </w:trPr>
        <w:tc>
          <w:tcPr>
            <w:tcW w:type="dxa" w:w="1020"/>
            <w:shd w:val="clear" w:fill="D9D9D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3817"/>
            <w:shd w:val="clear" w:fill="D9D9D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资料项</w:t>
            </w:r>
          </w:p>
        </w:tc>
        <w:tc>
          <w:tcPr>
            <w:tcW w:type="dxa" w:w="2099"/>
            <w:shd w:val="clear" w:fill="D9D9D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对应</w:t>
            </w:r>
          </w:p>
        </w:tc>
        <w:tc>
          <w:tcPr>
            <w:tcW w:type="dxa" w:w="1908"/>
            <w:shd w:val="clear" w:fill="D9D9D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缺了会怎样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AM01</w:t>
            </w:r>
          </w:p>
        </w:tc>
        <w:tc>
          <w:tcPr>
            <w:tcW w:type="dxa" w:w="3817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申报主体与独立核算证明：营业执照/分支机构登记、统计登记（是否视同法人）、行业代码 4343、规上工业名录、B204-1 报表</w:t>
            </w:r>
          </w:p>
        </w:tc>
        <w:tc>
          <w:tcPr>
            <w:tcW w:type="dxa" w:w="2099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申报条件(一)-1/-2</w:t>
            </w:r>
          </w:p>
        </w:tc>
        <w:tc>
          <w:tcPr>
            <w:tcW w:type="dxa" w:w="1908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主体不成立，资格结论不可能翻转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AM02</w:t>
            </w:r>
          </w:p>
        </w:tc>
        <w:tc>
          <w:tcPr>
            <w:tcW w:type="dxa" w:w="3817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申报边界与功能区：功能区平面、机务维修区红线、边界内单体建筑清单与面积、边界内外能源接口点（进线、气、热）</w:t>
            </w:r>
          </w:p>
        </w:tc>
        <w:tc>
          <w:tcPr>
            <w:tcW w:type="dxa" w:w="2099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附件1 注8「分子分母核算范围一致」</w:t>
            </w:r>
          </w:p>
        </w:tc>
        <w:tc>
          <w:tcPr>
            <w:tcW w:type="dxa" w:w="1908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分母口径混乱，所有指标不可比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AM17（建议补行）</w:t>
            </w:r>
          </w:p>
        </w:tc>
        <w:tc>
          <w:tcPr>
            <w:tcW w:type="dxa" w:w="3817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北京市绿色工厂申报意向与基础：是否已启动、预计批次、可共享材料清单</w:t>
            </w:r>
          </w:p>
        </w:tc>
        <w:tc>
          <w:tcPr>
            <w:tcW w:type="dxa" w:w="2099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申报条件(一)-4</w:t>
            </w:r>
          </w:p>
        </w:tc>
        <w:tc>
          <w:tcPr>
            <w:tcW w:type="dxa" w:w="1908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梯度培育路线无法排期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AM11（部分）</w:t>
            </w:r>
          </w:p>
        </w:tc>
        <w:tc>
          <w:tcPr>
            <w:tcW w:type="dxa" w:w="3817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是否有绿电直连/源网荷储一体化安排</w:t>
            </w:r>
          </w:p>
        </w:tc>
        <w:tc>
          <w:tcPr>
            <w:tcW w:type="dxa" w:w="2099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指标 1.3 路径</w:t>
            </w:r>
          </w:p>
        </w:tc>
        <w:tc>
          <w:tcPr>
            <w:tcW w:type="dxa" w:w="1908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物理认定量路径无法论证</w:t>
            </w:r>
          </w:p>
        </w:tc>
      </w:tr>
    </w:tbl>
    <w:p>
      <w:pPr>
        <w:spacing w:after="0"/>
      </w:pP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第二轮 · 核心指标原始变量（均必收）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cantSplit/>
        </w:trPr>
        <w:tc>
          <w:tcPr>
            <w:tcW w:type="dxa" w:w="944"/>
            <w:shd w:val="clear" w:fill="D9D9D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4347"/>
            <w:shd w:val="clear" w:fill="D9D9D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资料项</w:t>
            </w:r>
          </w:p>
        </w:tc>
        <w:tc>
          <w:tcPr>
            <w:tcW w:type="dxa" w:w="944"/>
            <w:shd w:val="clear" w:fill="D9D9D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对应指标</w:t>
            </w:r>
          </w:p>
        </w:tc>
        <w:tc>
          <w:tcPr>
            <w:tcW w:type="dxa" w:w="2608"/>
            <w:shd w:val="clear" w:fill="D9D9D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缺了会怎样</w:t>
            </w:r>
          </w:p>
        </w:tc>
      </w:tr>
      <w:tr>
        <w:trPr>
          <w:cantSplit/>
        </w:trPr>
        <w:tc>
          <w:tcPr>
            <w:tcW w:type="dxa" w:w="944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AM03</w:t>
            </w:r>
          </w:p>
        </w:tc>
        <w:tc>
          <w:tcPr>
            <w:tcW w:type="dxa" w:w="4347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供暖热源与冬季用能：热源形式（燃气锅炉/外购热力/热泵）、近三年用气量与热量、热力供应方是否为非化石热力、供暖面积</w:t>
            </w:r>
          </w:p>
        </w:tc>
        <w:tc>
          <w:tcPr>
            <w:tcW w:type="dxa" w:w="944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1.1、1.2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1.1 分子缺项；95% 目标无法论证</w:t>
            </w:r>
          </w:p>
        </w:tc>
      </w:tr>
      <w:tr>
        <w:trPr>
          <w:cantSplit/>
        </w:trPr>
        <w:tc>
          <w:tcPr>
            <w:tcW w:type="dxa" w:w="944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AM06</w:t>
            </w:r>
          </w:p>
        </w:tc>
        <w:tc>
          <w:tcPr>
            <w:tcW w:type="dxa" w:w="4347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维修活动燃料燃烧：试车、APU 运转、应急柴油机年用油量与归属（谁付费、谁计量），含「不计入」的书面理由</w:t>
            </w:r>
          </w:p>
        </w:tc>
        <w:tc>
          <w:tcPr>
            <w:tcW w:type="dxa" w:w="944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1.1 直接排放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直接排放漏项，视为核算不完整</w:t>
            </w:r>
          </w:p>
        </w:tc>
      </w:tr>
      <w:tr>
        <w:trPr>
          <w:cantSplit/>
        </w:trPr>
        <w:tc>
          <w:tcPr>
            <w:tcW w:type="dxa" w:w="944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AM07</w:t>
            </w:r>
          </w:p>
        </w:tc>
        <w:tc>
          <w:tcPr>
            <w:tcW w:type="dxa" w:w="4347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GSE 台账：类型、动力、年燃料量、新能源化比例、充电桩数量与年充电量</w:t>
            </w:r>
          </w:p>
        </w:tc>
        <w:tc>
          <w:tcPr>
            <w:tcW w:type="dxa" w:w="944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1.1、2.2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分子缺项，电动化成效无法量化</w:t>
            </w:r>
          </w:p>
        </w:tc>
      </w:tr>
      <w:tr>
        <w:trPr>
          <w:cantSplit/>
        </w:trPr>
        <w:tc>
          <w:tcPr>
            <w:tcW w:type="dxa" w:w="944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AM10</w:t>
            </w:r>
          </w:p>
        </w:tc>
        <w:tc>
          <w:tcPr>
            <w:tcW w:type="dxa" w:w="4347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分布式光伏现状与扩容条件：装机、并网方式、近三年实测发电/自用/上网电量、计量归属；屋面可用面积、结构荷载复核、机场净空与眩光评估、并网点容量</w:t>
            </w:r>
          </w:p>
        </w:tc>
        <w:tc>
          <w:tcPr>
            <w:tcW w:type="dxa" w:w="944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1.3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1.3 现值无法填报，扩容可行性无法论证</w:t>
            </w:r>
          </w:p>
        </w:tc>
      </w:tr>
      <w:tr>
        <w:trPr>
          <w:cantSplit/>
        </w:trPr>
        <w:tc>
          <w:tcPr>
            <w:tcW w:type="dxa" w:w="944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AM11</w:t>
            </w:r>
          </w:p>
        </w:tc>
        <w:tc>
          <w:tcPr>
            <w:tcW w:type="dxa" w:w="4347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电力来源构成：近三年下网电量、分时电量、绿电交易合同与结算电量、绿证购买/核销记录（生产年度）</w:t>
            </w:r>
          </w:p>
        </w:tc>
        <w:tc>
          <w:tcPr>
            <w:tcW w:type="dxa" w:w="944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1.1、1.2、1.3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核心指标无法计算，核算方式无法选定</w:t>
            </w:r>
          </w:p>
        </w:tc>
      </w:tr>
      <w:tr>
        <w:trPr>
          <w:cantSplit/>
        </w:trPr>
        <w:tc>
          <w:tcPr>
            <w:tcW w:type="dxa" w:w="944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AM13</w:t>
            </w:r>
          </w:p>
        </w:tc>
        <w:tc>
          <w:tcPr>
            <w:tcW w:type="dxa" w:w="4347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产出与增加值：近三年维修收入、工业总产值、工业中间投入、应交增值税、工业增加值（现价）、维修架次/工时</w:t>
            </w:r>
          </w:p>
        </w:tc>
        <w:tc>
          <w:tcPr>
            <w:tcW w:type="dxa" w:w="944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2.1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2.1 无法填报，「行业领先」无法自证</w:t>
            </w:r>
          </w:p>
        </w:tc>
      </w:tr>
    </w:tbl>
    <w:p>
      <w:pPr>
        <w:spacing w:after="0"/>
      </w:pP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第三轮 · 叙述与计划支撑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cantSplit/>
        </w:trPr>
        <w:tc>
          <w:tcPr>
            <w:tcW w:type="dxa" w:w="943"/>
            <w:shd w:val="clear" w:fill="D9D9D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4122"/>
            <w:shd w:val="clear" w:fill="D9D9D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资料项</w:t>
            </w:r>
          </w:p>
        </w:tc>
        <w:tc>
          <w:tcPr>
            <w:tcW w:type="dxa" w:w="1442"/>
            <w:shd w:val="clear" w:fill="D9D9D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对应</w:t>
            </w:r>
          </w:p>
        </w:tc>
        <w:tc>
          <w:tcPr>
            <w:tcW w:type="dxa" w:w="2336"/>
            <w:shd w:val="clear" w:fill="D9D9D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必收/加分</w:t>
            </w:r>
          </w:p>
        </w:tc>
      </w:tr>
      <w:tr>
        <w:trPr>
          <w:cantSplit/>
        </w:trPr>
        <w:tc>
          <w:tcPr>
            <w:tcW w:type="dxa" w:w="943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AM09</w:t>
            </w:r>
          </w:p>
        </w:tc>
        <w:tc>
          <w:tcPr>
            <w:tcW w:type="dxa" w:w="4122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通用用能设备能效台账：电机、变压器、空压机、冷水机组、热泵、风机、水泵的额定功率、能效等级、出厂年份</w:t>
            </w:r>
          </w:p>
        </w:tc>
        <w:tc>
          <w:tcPr>
            <w:tcW w:type="dxa" w:w="1442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2.2</w:t>
            </w:r>
          </w:p>
        </w:tc>
        <w:tc>
          <w:tcPr>
            <w:tcW w:type="dxa" w:w="2336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必收</w:t>
            </w:r>
          </w:p>
        </w:tc>
      </w:tr>
      <w:tr>
        <w:trPr>
          <w:cantSplit/>
        </w:trPr>
        <w:tc>
          <w:tcPr>
            <w:tcW w:type="dxa" w:w="943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AM12</w:t>
            </w:r>
          </w:p>
        </w:tc>
        <w:tc>
          <w:tcPr>
            <w:tcW w:type="dxa" w:w="4122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能源计量与信息系统：三级计量配备（GB 17167—2025）、BA/EMS/能管系统、数据采集点数、可 API 对接系统清单</w:t>
            </w:r>
          </w:p>
        </w:tc>
        <w:tc>
          <w:tcPr>
            <w:tcW w:type="dxa" w:w="1442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4.1、4.2</w:t>
            </w:r>
          </w:p>
        </w:tc>
        <w:tc>
          <w:tcPr>
            <w:tcW w:type="dxa" w:w="2336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必收</w:t>
            </w:r>
          </w:p>
        </w:tc>
      </w:tr>
      <w:tr>
        <w:trPr>
          <w:cantSplit/>
        </w:trPr>
        <w:tc>
          <w:tcPr>
            <w:tcW w:type="dxa" w:w="943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AM08</w:t>
            </w:r>
          </w:p>
        </w:tc>
        <w:tc>
          <w:tcPr>
            <w:tcW w:type="dxa" w:w="4122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工艺设备用能：热压罐、烘干/固化炉、喷漆房与 VOC 处理、清洗、热处理等（有则填）</w:t>
            </w:r>
          </w:p>
        </w:tc>
        <w:tc>
          <w:tcPr>
            <w:tcW w:type="dxa" w:w="1442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1.1、2.2</w:t>
            </w:r>
          </w:p>
        </w:tc>
        <w:tc>
          <w:tcPr>
            <w:tcW w:type="dxa" w:w="2336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必收（可填「无」）</w:t>
            </w:r>
          </w:p>
        </w:tc>
      </w:tr>
      <w:tr>
        <w:trPr>
          <w:cantSplit/>
        </w:trPr>
        <w:tc>
          <w:tcPr>
            <w:tcW w:type="dxa" w:w="943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AM16</w:t>
            </w:r>
          </w:p>
        </w:tc>
        <w:tc>
          <w:tcPr>
            <w:tcW w:type="dxa" w:w="4122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管理体系、合规与披露：ISO 9001/14001/50001/45001 证书及覆盖范围、CCAR-145 维修许可、近三年安全/质量/环保事故与行政处罚查询、失信查询、现有披露中涉本基地内容</w:t>
            </w:r>
          </w:p>
        </w:tc>
        <w:tc>
          <w:tcPr>
            <w:tcW w:type="dxa" w:w="1442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申报条件(五)(六)、5.1</w:t>
            </w:r>
          </w:p>
        </w:tc>
        <w:tc>
          <w:tcPr>
            <w:tcW w:type="dxa" w:w="2336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必收（合规部分）/加分（披露部分）</w:t>
            </w:r>
          </w:p>
        </w:tc>
      </w:tr>
      <w:tr>
        <w:trPr>
          <w:cantSplit/>
        </w:trPr>
        <w:tc>
          <w:tcPr>
            <w:tcW w:type="dxa" w:w="943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AM04</w:t>
            </w:r>
          </w:p>
        </w:tc>
        <w:tc>
          <w:tcPr>
            <w:tcW w:type="dxa" w:w="4122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机库大门开启与通风运行记录：开门次数/时长、空气幕、分区通风策略</w:t>
            </w:r>
          </w:p>
        </w:tc>
        <w:tc>
          <w:tcPr>
            <w:tcW w:type="dxa" w:w="1442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路径三项目库</w:t>
            </w:r>
          </w:p>
        </w:tc>
        <w:tc>
          <w:tcPr>
            <w:tcW w:type="dxa" w:w="2336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加分</w:t>
            </w:r>
          </w:p>
        </w:tc>
      </w:tr>
      <w:tr>
        <w:trPr>
          <w:cantSplit/>
        </w:trPr>
        <w:tc>
          <w:tcPr>
            <w:tcW w:type="dxa" w:w="943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AM05</w:t>
            </w:r>
          </w:p>
        </w:tc>
        <w:tc>
          <w:tcPr>
            <w:tcW w:type="dxa" w:w="4122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地面电源/地面空调（400 Hz GPU、PCA）配置、用电量、使用率</w:t>
            </w:r>
          </w:p>
        </w:tc>
        <w:tc>
          <w:tcPr>
            <w:tcW w:type="dxa" w:w="1442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APU 替代</w:t>
            </w:r>
          </w:p>
        </w:tc>
        <w:tc>
          <w:tcPr>
            <w:tcW w:type="dxa" w:w="2336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加分（若 AM06 计入边界则升为必收）</w:t>
            </w:r>
          </w:p>
        </w:tc>
      </w:tr>
      <w:tr>
        <w:trPr>
          <w:cantSplit/>
        </w:trPr>
        <w:tc>
          <w:tcPr>
            <w:tcW w:type="dxa" w:w="943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AM14</w:t>
            </w:r>
          </w:p>
        </w:tc>
        <w:tc>
          <w:tcPr>
            <w:tcW w:type="dxa" w:w="4122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维修服务类别与碳足迹：统计口径主要产品类别数、拟开展碳足迹分析的类别、采用标准（GB/T 24067—2024）</w:t>
            </w:r>
          </w:p>
        </w:tc>
        <w:tc>
          <w:tcPr>
            <w:tcW w:type="dxa" w:w="1442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3.1</w:t>
            </w:r>
          </w:p>
        </w:tc>
        <w:tc>
          <w:tcPr>
            <w:tcW w:type="dxa" w:w="2336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加分</w:t>
            </w:r>
          </w:p>
        </w:tc>
      </w:tr>
      <w:tr>
        <w:trPr>
          <w:cantSplit/>
        </w:trPr>
        <w:tc>
          <w:tcPr>
            <w:tcW w:type="dxa" w:w="943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AM15</w:t>
            </w:r>
          </w:p>
        </w:tc>
        <w:tc>
          <w:tcPr>
            <w:tcW w:type="dxa" w:w="4122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供应链与物流：航材/化学品/危废运输方式与运量、承运商清单、供应商绿色低碳管理制度、废旧部件回收处置体系、供应链信息化功能</w:t>
            </w:r>
          </w:p>
        </w:tc>
        <w:tc>
          <w:tcPr>
            <w:tcW w:type="dxa" w:w="1442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3.2</w:t>
            </w:r>
          </w:p>
        </w:tc>
        <w:tc>
          <w:tcPr>
            <w:tcW w:type="dxa" w:w="2336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加分</w:t>
            </w:r>
          </w:p>
        </w:tc>
      </w:tr>
    </w:tbl>
    <w:p>
      <w:pPr>
        <w:spacing w:after="0"/>
      </w:pP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另建议补行 AM18：外购电排放因子核算方式选择（附件1 注3 a/b/c）与本省发电煤耗折标值来源。不同核算方式结果差异大，需在收资阶段确定并锁定【建议】。</w:t>
      </w:r>
    </w:p>
    <w:p>
      <w:pPr>
        <w:spacing w:before="280" w:after="160"/>
      </w:pPr>
      <w:r>
        <w:rPr>
          <w:rFonts w:ascii="Times New Roman" w:hAnsi="Times New Roman" w:eastAsia="黑体"/>
          <w:b/>
          <w:sz w:val="30"/>
        </w:rPr>
        <w:t>7 口径隔离与待核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口径隔离（填表与对外表述均须遵守，防止串台）：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cantSplit/>
        </w:trPr>
        <w:tc>
          <w:tcPr>
            <w:tcW w:type="dxa" w:w="3216"/>
            <w:shd w:val="clear" w:fill="D9D9D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信息</w:t>
            </w:r>
          </w:p>
        </w:tc>
        <w:tc>
          <w:tcPr>
            <w:tcW w:type="dxa" w:w="1608"/>
            <w:shd w:val="clear" w:fill="D9D9D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归属</w:t>
            </w:r>
          </w:p>
        </w:tc>
        <w:tc>
          <w:tcPr>
            <w:tcW w:type="dxa" w:w="4020"/>
            <w:shd w:val="clear" w:fill="D9D9D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使用口径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大兴机场 100% 绿电、机场约 7 MW 光伏、航站楼节能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北京大兴国际机场运营边界</w:t>
            </w:r>
          </w:p>
        </w:tc>
        <w:tc>
          <w:tcPr>
            <w:tcW w:type="dxa" w:w="402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不作基地证据，仅可作背景一句话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南航集团 ESG 报告、SAF 承诺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南航集团口径</w:t>
            </w:r>
          </w:p>
        </w:tc>
        <w:tc>
          <w:tcPr>
            <w:tcW w:type="dxa" w:w="402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仅作「上级战略」引用，不作基地数据与承诺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基地 3 处光伏「预计年均 ≥27 万 kWh」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2019 年预期值【待核】</w:t>
            </w:r>
          </w:p>
        </w:tc>
        <w:tc>
          <w:tcPr>
            <w:tcW w:type="dxa" w:w="402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不作实测填入统计期；实测以并网计量表为准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一期充电桩 300、远期约 800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公开口径</w:t>
            </w:r>
          </w:p>
        </w:tc>
        <w:tc>
          <w:tcPr>
            <w:tcW w:type="dxa" w:w="402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桩数不等于车辆新能源化比例，比例待核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投资 15 亿元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造价咨询项目页</w:t>
            </w:r>
          </w:p>
        </w:tc>
        <w:tc>
          <w:tcPr>
            <w:tcW w:type="dxa" w:w="402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待业主确认，不写入正文数字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绿证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核销量</w:t>
            </w:r>
          </w:p>
        </w:tc>
        <w:tc>
          <w:tcPr>
            <w:tcW w:type="dxa" w:w="4020"/>
          </w:tcPr>
          <w:p>
            <w:pPr>
              <w:spacing w:before="40" w:after="40"/>
            </w:pPr>
            <w:r>
              <w:rPr>
                <w:rFonts w:ascii="Times New Roman" w:hAnsi="Times New Roman" w:eastAsia="仿宋"/>
                <w:b w:val="0"/>
                <w:sz w:val="21"/>
              </w:rPr>
              <w:t>只进 1.2 非化石能源消费占比讨论（原则上不超过下网电量 50%，须为核销量且生产年度与购买年度一致）；</w:t>
            </w:r>
            <w:r>
              <w:rPr>
                <w:rFonts w:ascii="Times New Roman" w:hAnsi="Times New Roman" w:eastAsia="仿宋"/>
                <w:b/>
                <w:sz w:val="21"/>
              </w:rPr>
              <w:t>不计入 1.3 非化石能源电力消费物理认定量</w:t>
            </w:r>
          </w:p>
        </w:tc>
      </w:tr>
    </w:tbl>
    <w:p>
      <w:pPr>
        <w:spacing w:after="0"/>
      </w:pP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待核清单（收资需核验，不编造）：视同法人独立核算统计登记；规上工业统计归属；分项年用电量与电费结算单；光伏实测发电量与计量归属；绿电交易合同与绿证核销记录；供暖热源形式与用气/用热量；管理体系认证覆盖范围；近三年安全/质量/环保事故与行政处罚、失信查询记录；北京市绿色工厂申报意向；北京市是否设有省级零碳工厂通道。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不编造纪律：基地未提供的分项用电、电价、装机实测、储能、绿电合同电量、碳排放与证书数据，一律留空并标【待核】，不以推测值填充。</w:t>
      </w:r>
    </w:p>
    <w:p>
      <w:pPr>
        <w:spacing w:before="280" w:after="160"/>
      </w:pPr>
      <w:r>
        <w:rPr>
          <w:rFonts w:ascii="Times New Roman" w:hAnsi="Times New Roman" w:eastAsia="黑体"/>
          <w:b/>
          <w:sz w:val="30"/>
        </w:rPr>
        <w:t>8 回传与下一步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回传要求：</w:t>
      </w:r>
    </w:p>
    <w:p>
      <w:pPr>
        <w:spacing w:after="8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1. 数据填回《南航大兴维修基地-国家级零碳工厂申报收资表-20260908.xlsx》，逐字段注明来源、统计口径与证明材料名称及页码。</w:t>
      </w:r>
    </w:p>
    <w:p>
      <w:pPr>
        <w:spacing w:after="8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2. AM 行原名与拟定口径不一致的，以本地表为准，并在对照列回填。</w:t>
      </w:r>
    </w:p>
    <w:p>
      <w:pPr>
        <w:spacing w:after="8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3. 手改内容与格式一律保留；需修订时另存新版本（如 …-20260908-v2.xlsx），不覆盖原件。</w:t>
      </w:r>
    </w:p>
    <w:p>
      <w:pPr>
        <w:spacing w:after="8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4. 第一轮四项（AM01、AM02、AM17、AM11 部分）请优先回传。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下一步（南网能源侧，年份仅表示先后，不作日历承诺）：</w:t>
      </w:r>
    </w:p>
    <w:p>
      <w:pPr>
        <w:spacing w:after="8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1. 第一轮回收后：复核资格初判结论是否维持，明确梯度培育排期建议。</w:t>
      </w:r>
    </w:p>
    <w:p>
      <w:pPr>
        <w:spacing w:after="8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2. 第二轮回收后：出具 2025 统计期 1.1/1.2/1.3 现值测算与年度目标表初稿（条件式测算，标注假设与待核）。</w:t>
      </w:r>
    </w:p>
    <w:p>
      <w:pPr>
        <w:spacing w:after="8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3. 同步形成屋面光伏扩容、绿电直连/交易、供暖脱碳、GSE 电动化、能碳平台的工程切入方案建议。</w:t>
      </w:r>
    </w:p>
    <w:p>
      <w:pPr>
        <w:spacing w:after="8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4. 以基地授权为前提，协助就北京市绿色工厂申报与主管部门预沟通。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仿宋"/>
          <w:b w:val="0"/>
          <w:sz w:val="24"/>
        </w:rPr>
        <w:t>附：编制与交付说明</w:t>
      </w:r>
    </w:p>
    <w:p>
      <w:pPr>
        <w:spacing w:after="80" w:line="312" w:lineRule="auto"/>
        <w:ind w:left="425"/>
      </w:pPr>
      <w:r>
        <w:rPr>
          <w:rFonts w:ascii="Times New Roman" w:hAnsi="Times New Roman" w:eastAsia="仿宋"/>
          <w:b w:val="0"/>
          <w:sz w:val="20"/>
        </w:rPr>
        <w:t xml:space="preserve">● </w:t>
      </w:r>
      <w:r>
        <w:rPr>
          <w:rFonts w:ascii="Times New Roman" w:hAnsi="Times New Roman" w:eastAsia="仿宋"/>
          <w:b w:val="0"/>
          <w:sz w:val="24"/>
        </w:rPr>
        <w:t>本说明为另存新文件，未改动骨架稿（README、01、02、03、收资表放置说明）任何内容。</w:t>
      </w:r>
    </w:p>
    <w:p>
      <w:pPr>
        <w:spacing w:after="80" w:line="312" w:lineRule="auto"/>
        <w:ind w:left="425"/>
      </w:pPr>
      <w:r>
        <w:rPr>
          <w:rFonts w:ascii="Times New Roman" w:hAnsi="Times New Roman" w:eastAsia="仿宋"/>
          <w:b w:val="0"/>
          <w:sz w:val="20"/>
        </w:rPr>
        <w:t xml:space="preserve">● </w:t>
      </w:r>
      <w:r>
        <w:rPr>
          <w:rFonts w:ascii="Times New Roman" w:hAnsi="Times New Roman" w:eastAsia="仿宋"/>
          <w:b w:val="0"/>
          <w:sz w:val="24"/>
        </w:rPr>
        <w:t>结论仅对 334 号 2026 年度批次负责，非永久有效结论；后续批次以新通知为准。</w:t>
      </w:r>
    </w:p>
    <w:p>
      <w:pPr>
        <w:spacing w:after="80" w:line="312" w:lineRule="auto"/>
        <w:ind w:left="425"/>
      </w:pPr>
      <w:r>
        <w:rPr>
          <w:rFonts w:ascii="Times New Roman" w:hAnsi="Times New Roman" w:eastAsia="仿宋"/>
          <w:b w:val="0"/>
          <w:sz w:val="20"/>
        </w:rPr>
        <w:t xml:space="preserve">● </w:t>
      </w:r>
      <w:r>
        <w:rPr>
          <w:rFonts w:ascii="Times New Roman" w:hAnsi="Times New Roman" w:eastAsia="仿宋"/>
          <w:b w:val="0"/>
          <w:sz w:val="24"/>
        </w:rPr>
        <w:t>未完成项：收资表 xlsx 未随附于云端仓库，AM 行原名回填待本地核对；四个门槛问题待基地答复。</w:t>
      </w:r>
    </w:p>
    <w:sectPr w:rsidR="00FC693F" w:rsidRPr="0006063C" w:rsidSect="00034616">
      <w:pgSz w:w="11906" w:h="16838"/>
      <w:pgMar w:top="1701" w:right="1474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