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ompact"/>
        <w:jc w:val="center"/>
      </w:pPr>
      <w:r>
        <w:t>南航大兴维修基地 · 零碳园区/工厂包装 · 收资清单</w:t>
      </w:r>
    </w:p>
    <w:p>
      <w:pPr>
        <w:spacing w:after="40"/>
        <w:jc w:val="center"/>
      </w:pPr>
      <w:r>
        <w:rPr>
          <w:color w:val="464E56"/>
          <w:sz w:val="14"/>
        </w:rPr>
        <w:t>提供方：南网能源｜接收方：中国南方航空（大兴维修基地对接人）｜用途：零碳园区/零碳工厂评估与包装｜2026-09-08</w:t>
      </w:r>
    </w:p>
    <w:p>
      <w:pPr>
        <w:spacing w:before="0" w:after="30"/>
        <w:ind w:left="68" w:right="68"/>
        <w:shd w:fill="EAF2F8"/>
        <w:pBdr>
          <w:top w:val="single" w:sz="4" w:color="9AB6CE"/>
          <w:left w:val="single" w:sz="4" w:color="9AB6CE"/>
          <w:bottom w:val="single" w:sz="4" w:color="9AB6CE"/>
          <w:right w:val="single" w:sz="4" w:color="9AB6CE"/>
        </w:pBdr>
      </w:pPr>
      <w:r>
        <w:rPr>
          <w:b/>
          <w:color w:val="153E65"/>
          <w:sz w:val="17"/>
        </w:rPr>
        <w:t>结论先行：请先交必收项；缺用电主体、分项电量、电价、光伏实测，无法建立能碳基线并开展路径比选。本文是收资清单，不是收支报价。</w:t>
      </w:r>
    </w:p>
    <w:p>
      <w:pPr>
        <w:spacing w:after="20"/>
      </w:pPr>
      <w:r>
        <w:rPr>
          <w:b/>
          <w:sz w:val="14"/>
        </w:rPr>
        <w:t>公开已知（仅对表）：</w:t>
      </w:r>
      <w:r>
        <w:rPr>
          <w:color w:val="464E56"/>
          <w:sz w:val="14"/>
        </w:rPr>
        <w:t>总建面约108.69万㎡；一期约87.87万㎡、31个单体；维修区约20万㎡；1号机库跨度约405m。以上为公开口径，以贵方资料为准。</w:t>
      </w:r>
    </w:p>
    <w:p>
      <w:pPr>
        <w:pStyle w:val="SectionCompact"/>
      </w:pPr>
      <w:r>
        <w:t>必收项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7"/>
        <w:gridCol w:w="2177"/>
        <w:gridCol w:w="2177"/>
        <w:gridCol w:w="2177"/>
        <w:gridCol w:w="2177"/>
      </w:tblGrid>
      <w:tr>
        <w:trPr>
          <w:cantSplit/>
          <w:tblHeader w:val="true"/>
        </w:trPr>
        <w:tc>
          <w:tcPr>
            <w:tcW w:type="dxa" w:w="1644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编号</w:t>
            </w:r>
          </w:p>
        </w:tc>
        <w:tc>
          <w:tcPr>
            <w:tcW w:type="dxa" w:w="3146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请提供</w:t>
            </w:r>
          </w:p>
        </w:tc>
        <w:tc>
          <w:tcPr>
            <w:tcW w:type="dxa" w:w="1843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用途</w:t>
            </w:r>
          </w:p>
        </w:tc>
        <w:tc>
          <w:tcPr>
            <w:tcW w:type="dxa" w:w="2353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格式</w:t>
            </w:r>
          </w:p>
        </w:tc>
        <w:tc>
          <w:tcPr>
            <w:tcW w:type="dxa" w:w="1843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缺了会怎样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2933"/>
                <w:sz w:val="12"/>
              </w:rPr>
              <w:t>A1 用电主体与户号</w:t>
            </w:r>
          </w:p>
        </w:tc>
        <w:tc>
          <w:tcPr>
            <w:tcW w:type="dxa" w:w="314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用电户名、户号、计量点及与基地的对应关系</w:t>
            </w:r>
          </w:p>
        </w:tc>
        <w:tc>
          <w:tcPr>
            <w:tcW w:type="dxa" w:w="184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核定能耗归属</w:t>
            </w:r>
          </w:p>
        </w:tc>
        <w:tc>
          <w:tcPr>
            <w:tcW w:type="dxa" w:w="23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户号清单Excel＋近月电费单PDF</w:t>
            </w:r>
          </w:p>
        </w:tc>
        <w:tc>
          <w:tcPr>
            <w:tcW w:type="dxa" w:w="184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基线边界无法落定</w:t>
            </w:r>
          </w:p>
        </w:tc>
      </w:tr>
      <w:tr>
        <w:trPr>
          <w:cantSplit/>
        </w:trPr>
        <w:tc>
          <w:tcPr>
            <w:tcW w:type="dxa" w:w="1644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2933"/>
                <w:sz w:val="12"/>
              </w:rPr>
              <w:t>A2 近12–36月分项用电</w:t>
            </w:r>
          </w:p>
        </w:tc>
        <w:tc>
          <w:tcPr>
            <w:tcW w:type="dxa" w:w="3146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总表及机库、暖通、照明、工艺、充电等月度电量</w:t>
            </w:r>
          </w:p>
        </w:tc>
        <w:tc>
          <w:tcPr>
            <w:tcW w:type="dxa" w:w="1843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建基线、拆负荷</w:t>
            </w:r>
          </w:p>
        </w:tc>
        <w:tc>
          <w:tcPr>
            <w:tcW w:type="dxa" w:w="2353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Excel原始台账（含单位、时间、表计）</w:t>
            </w:r>
          </w:p>
        </w:tc>
        <w:tc>
          <w:tcPr>
            <w:tcW w:type="dxa" w:w="1843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无法识别重点并比选路径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2933"/>
                <w:sz w:val="12"/>
              </w:rPr>
              <w:t>A3 到户电价与容量费</w:t>
            </w:r>
          </w:p>
        </w:tc>
        <w:tc>
          <w:tcPr>
            <w:tcW w:type="dxa" w:w="314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峰谷电价、基本电费、合同容量/需量及结算规则</w:t>
            </w:r>
          </w:p>
        </w:tc>
        <w:tc>
          <w:tcPr>
            <w:tcW w:type="dxa" w:w="184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测算用能成本</w:t>
            </w:r>
          </w:p>
        </w:tc>
        <w:tc>
          <w:tcPr>
            <w:tcW w:type="dxa" w:w="23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电费单/合同或结算规则PDF</w:t>
            </w:r>
          </w:p>
        </w:tc>
        <w:tc>
          <w:tcPr>
            <w:tcW w:type="dxa" w:w="184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经济性无法比较</w:t>
            </w:r>
          </w:p>
        </w:tc>
      </w:tr>
      <w:tr>
        <w:trPr>
          <w:cantSplit/>
        </w:trPr>
        <w:tc>
          <w:tcPr>
            <w:tcW w:type="dxa" w:w="1644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2933"/>
                <w:sz w:val="12"/>
              </w:rPr>
              <w:t>A4 光伏台账与实发</w:t>
            </w:r>
          </w:p>
        </w:tc>
        <w:tc>
          <w:tcPr>
            <w:tcW w:type="dxa" w:w="3146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归属、装机、投运时间；月度发电、自用、上网、弃光及表计</w:t>
            </w:r>
          </w:p>
        </w:tc>
        <w:tc>
          <w:tcPr>
            <w:tcW w:type="dxa" w:w="1843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核实低碳供能实绩</w:t>
            </w:r>
          </w:p>
        </w:tc>
        <w:tc>
          <w:tcPr>
            <w:tcW w:type="dxa" w:w="2353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Excel台账＋结算单/监控导出</w:t>
            </w:r>
          </w:p>
        </w:tc>
        <w:tc>
          <w:tcPr>
            <w:tcW w:type="dxa" w:w="1843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光伏贡献无法核定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2933"/>
                <w:sz w:val="12"/>
              </w:rPr>
              <w:t>A5 机库暖通与照明</w:t>
            </w:r>
          </w:p>
        </w:tc>
        <w:tc>
          <w:tcPr>
            <w:tcW w:type="dxa" w:w="314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设备清单、功率、运行时段、控制策略及能耗</w:t>
            </w:r>
          </w:p>
        </w:tc>
        <w:tc>
          <w:tcPr>
            <w:tcW w:type="dxa" w:w="184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判断节能改造空间</w:t>
            </w:r>
          </w:p>
        </w:tc>
        <w:tc>
          <w:tcPr>
            <w:tcW w:type="dxa" w:w="23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设备表Excel＋图纸/BMS截图</w:t>
            </w:r>
          </w:p>
        </w:tc>
        <w:tc>
          <w:tcPr>
            <w:tcW w:type="dxa" w:w="184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措施负荷无法核实</w:t>
            </w:r>
          </w:p>
        </w:tc>
      </w:tr>
      <w:tr>
        <w:trPr>
          <w:cantSplit/>
        </w:trPr>
        <w:tc>
          <w:tcPr>
            <w:tcW w:type="dxa" w:w="1644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2933"/>
                <w:sz w:val="12"/>
              </w:rPr>
              <w:t>A6 建筑与屋面条件</w:t>
            </w:r>
          </w:p>
        </w:tc>
        <w:tc>
          <w:tcPr>
            <w:tcW w:type="dxa" w:w="3146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单体用途/面积；屋面可用面积、荷载、遮挡、防水消防及权属</w:t>
            </w:r>
          </w:p>
        </w:tc>
        <w:tc>
          <w:tcPr>
            <w:tcW w:type="dxa" w:w="1843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判断光伏与建筑改造可实施性</w:t>
            </w:r>
          </w:p>
        </w:tc>
        <w:tc>
          <w:tcPr>
            <w:tcW w:type="dxa" w:w="2353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CAD/PDF图纸＋勘察/台账</w:t>
            </w:r>
          </w:p>
        </w:tc>
        <w:tc>
          <w:tcPr>
            <w:tcW w:type="dxa" w:w="1843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无法判断落地条件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2933"/>
                <w:sz w:val="12"/>
              </w:rPr>
              <w:t>A7 申报主体与独立核算证明</w:t>
            </w:r>
          </w:p>
        </w:tc>
        <w:tc>
          <w:tcPr>
            <w:tcW w:type="dxa" w:w="314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主体全称、隶属关系；独立核算、视同法人或统计登记材料</w:t>
            </w:r>
          </w:p>
        </w:tc>
        <w:tc>
          <w:tcPr>
            <w:tcW w:type="dxa" w:w="184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明确申报与数据归口</w:t>
            </w:r>
          </w:p>
        </w:tc>
        <w:tc>
          <w:tcPr>
            <w:tcW w:type="dxa" w:w="23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证照/登记/说明PDF</w:t>
            </w:r>
          </w:p>
        </w:tc>
        <w:tc>
          <w:tcPr>
            <w:tcW w:type="dxa" w:w="184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主体与数据归口待定</w:t>
            </w:r>
          </w:p>
        </w:tc>
      </w:tr>
      <w:tr>
        <w:trPr>
          <w:cantSplit/>
        </w:trPr>
        <w:tc>
          <w:tcPr>
            <w:tcW w:type="dxa" w:w="1644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2933"/>
                <w:sz w:val="12"/>
              </w:rPr>
              <w:t>A8 申报边界与功能区红线</w:t>
            </w:r>
          </w:p>
        </w:tc>
        <w:tc>
          <w:tcPr>
            <w:tcW w:type="dxa" w:w="3146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机务维修区范围、功能分区、红线图及纳入/排除单体</w:t>
            </w:r>
          </w:p>
        </w:tc>
        <w:tc>
          <w:tcPr>
            <w:tcW w:type="dxa" w:w="1843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固定评价和数据边界</w:t>
            </w:r>
          </w:p>
        </w:tc>
        <w:tc>
          <w:tcPr>
            <w:tcW w:type="dxa" w:w="2353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红线图CAD/PDF＋单体清单Excel</w:t>
            </w:r>
          </w:p>
        </w:tc>
        <w:tc>
          <w:tcPr>
            <w:tcW w:type="dxa" w:w="1843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指标口径可能漂移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2933"/>
                <w:sz w:val="12"/>
              </w:rPr>
              <w:t>A9 北京市绿色工厂申报意向</w:t>
            </w:r>
          </w:p>
        </w:tc>
        <w:tc>
          <w:tcPr>
            <w:tcW w:type="dxa" w:w="3146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是否申报、拟申报主体、计划批次及牵头部门</w:t>
            </w:r>
          </w:p>
        </w:tc>
        <w:tc>
          <w:tcPr>
            <w:tcW w:type="dxa" w:w="184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衔接前置准备与包装安排</w:t>
            </w:r>
          </w:p>
        </w:tc>
        <w:tc>
          <w:tcPr>
            <w:tcW w:type="dxa" w:w="235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盖章说明或邮件/纪要</w:t>
            </w:r>
          </w:p>
        </w:tc>
        <w:tc>
          <w:tcPr>
            <w:tcW w:type="dxa" w:w="1843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申报准备路径无法对齐</w:t>
            </w:r>
          </w:p>
        </w:tc>
      </w:tr>
    </w:tbl>
    <w:p>
      <w:pPr>
        <w:pStyle w:val="SectionCompact"/>
      </w:pPr>
      <w:r>
        <w:t>加分项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2721"/>
        <w:gridCol w:w="2721"/>
        <w:gridCol w:w="2721"/>
      </w:tblGrid>
      <w:tr>
        <w:trPr>
          <w:cantSplit/>
          <w:tblHeader w:val="true"/>
        </w:trPr>
        <w:tc>
          <w:tcPr>
            <w:tcW w:type="dxa" w:w="1644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编号</w:t>
            </w:r>
          </w:p>
        </w:tc>
        <w:tc>
          <w:tcPr>
            <w:tcW w:type="dxa" w:w="4649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请提供</w:t>
            </w:r>
          </w:p>
        </w:tc>
        <w:tc>
          <w:tcPr>
            <w:tcW w:type="dxa" w:w="2324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用途</w:t>
            </w:r>
          </w:p>
        </w:tc>
        <w:tc>
          <w:tcPr>
            <w:tcW w:type="dxa" w:w="2211"/>
            <w:shd w:fill="1F4E7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2"/>
              </w:rPr>
              <w:t>格式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2933"/>
                <w:sz w:val="12"/>
              </w:rPr>
              <w:t>B1 工艺用能</w:t>
            </w:r>
          </w:p>
        </w:tc>
        <w:tc>
          <w:tcPr>
            <w:tcW w:type="dxa" w:w="464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喷涂、维修、空压等设备及能耗</w:t>
            </w:r>
          </w:p>
        </w:tc>
        <w:tc>
          <w:tcPr>
            <w:tcW w:type="dxa" w:w="23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补齐工艺负荷</w:t>
            </w:r>
          </w:p>
        </w:tc>
        <w:tc>
          <w:tcPr>
            <w:tcW w:type="dxa" w:w="221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Excel/图纸</w:t>
            </w:r>
          </w:p>
        </w:tc>
      </w:tr>
      <w:tr>
        <w:trPr>
          <w:cantSplit/>
        </w:trPr>
        <w:tc>
          <w:tcPr>
            <w:tcW w:type="dxa" w:w="1644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2933"/>
                <w:sz w:val="12"/>
              </w:rPr>
              <w:t>B2 充电桩</w:t>
            </w:r>
          </w:p>
        </w:tc>
        <w:tc>
          <w:tcPr>
            <w:tcW w:type="dxa" w:w="4649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数量、功率、电量、运营主体与扩建计划</w:t>
            </w:r>
          </w:p>
        </w:tc>
        <w:tc>
          <w:tcPr>
            <w:tcW w:type="dxa" w:w="2324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评估柔性负荷</w:t>
            </w:r>
          </w:p>
        </w:tc>
        <w:tc>
          <w:tcPr>
            <w:tcW w:type="dxa" w:w="2211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Excel/合同摘要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2933"/>
                <w:sz w:val="12"/>
              </w:rPr>
              <w:t>B3 绿电/绿证</w:t>
            </w:r>
          </w:p>
        </w:tc>
        <w:tc>
          <w:tcPr>
            <w:tcW w:type="dxa" w:w="464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合同、购电主体、覆盖期/电量及结算或核销凭证；绿证≠物理认定量/直连</w:t>
            </w:r>
          </w:p>
        </w:tc>
        <w:tc>
          <w:tcPr>
            <w:tcW w:type="dxa" w:w="23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核对环境权益边界</w:t>
            </w:r>
          </w:p>
        </w:tc>
        <w:tc>
          <w:tcPr>
            <w:tcW w:type="dxa" w:w="221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PDF＋Excel</w:t>
            </w:r>
          </w:p>
        </w:tc>
      </w:tr>
      <w:tr>
        <w:trPr>
          <w:cantSplit/>
        </w:trPr>
        <w:tc>
          <w:tcPr>
            <w:tcW w:type="dxa" w:w="1644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2933"/>
                <w:sz w:val="12"/>
              </w:rPr>
              <w:t>B4 储能蓄冷</w:t>
            </w:r>
          </w:p>
        </w:tc>
        <w:tc>
          <w:tcPr>
            <w:tcW w:type="dxa" w:w="4649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参数、运行曲线、收益归属与消防资料</w:t>
            </w:r>
          </w:p>
        </w:tc>
        <w:tc>
          <w:tcPr>
            <w:tcW w:type="dxa" w:w="2324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评估调节能力</w:t>
            </w:r>
          </w:p>
        </w:tc>
        <w:tc>
          <w:tcPr>
            <w:tcW w:type="dxa" w:w="2211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Excel/PDF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2933"/>
                <w:sz w:val="12"/>
              </w:rPr>
              <w:t>B5 已有节能数字化</w:t>
            </w:r>
          </w:p>
        </w:tc>
        <w:tc>
          <w:tcPr>
            <w:tcW w:type="dxa" w:w="464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改造清单、验收节能量、平台点位及截图</w:t>
            </w:r>
          </w:p>
        </w:tc>
        <w:tc>
          <w:tcPr>
            <w:tcW w:type="dxa" w:w="23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避免重复建设</w:t>
            </w:r>
          </w:p>
        </w:tc>
        <w:tc>
          <w:tcPr>
            <w:tcW w:type="dxa" w:w="221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Excel/报告/截图</w:t>
            </w:r>
          </w:p>
        </w:tc>
      </w:tr>
      <w:tr>
        <w:trPr>
          <w:cantSplit/>
        </w:trPr>
        <w:tc>
          <w:tcPr>
            <w:tcW w:type="dxa" w:w="1644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2933"/>
                <w:sz w:val="12"/>
              </w:rPr>
              <w:t>B6 碳排放与ESG</w:t>
            </w:r>
          </w:p>
        </w:tc>
        <w:tc>
          <w:tcPr>
            <w:tcW w:type="dxa" w:w="4649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近年盘查、排放因子、范围边界及披露材料</w:t>
            </w:r>
          </w:p>
        </w:tc>
        <w:tc>
          <w:tcPr>
            <w:tcW w:type="dxa" w:w="2324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校核碳基线</w:t>
            </w:r>
          </w:p>
        </w:tc>
        <w:tc>
          <w:tcPr>
            <w:tcW w:type="dxa" w:w="2211"/>
            <w:shd w:fill="F4F7F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报告PDF＋底表Excel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1F2933"/>
                <w:sz w:val="12"/>
              </w:rPr>
              <w:t>B7 投资运维界面</w:t>
            </w:r>
          </w:p>
        </w:tc>
        <w:tc>
          <w:tcPr>
            <w:tcW w:type="dxa" w:w="4649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南航/服务方/第三方的投资、资产、运维及收益边界</w:t>
            </w:r>
          </w:p>
        </w:tc>
        <w:tc>
          <w:tcPr>
            <w:tcW w:type="dxa" w:w="23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形成可执行方案</w:t>
            </w:r>
          </w:p>
        </w:tc>
        <w:tc>
          <w:tcPr>
            <w:tcW w:type="dxa" w:w="2211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 w:line="21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F2933"/>
                <w:sz w:val="12"/>
              </w:rPr>
              <w:t>界面表/合同摘要</w:t>
            </w:r>
          </w:p>
        </w:tc>
      </w:tr>
    </w:tbl>
    <w:p>
      <w:pPr>
        <w:spacing w:before="40" w:after="0"/>
      </w:pPr>
      <w:r>
        <w:rPr>
          <w:b/>
          <w:color w:val="153E65"/>
          <w:sz w:val="14"/>
        </w:rPr>
        <w:t>填表说明：</w:t>
      </w:r>
      <w:r>
        <w:rPr>
          <w:sz w:val="14"/>
        </w:rPr>
        <w:t>优先提供电子台账，Excel保留原始字段、单位和时间粒度；涉密内容可打码。购电或权益合同若未覆盖本基地，须单列说明，不计入基地实绩。暂缺项请填“无/不适用/预计提供日期”；请于两周内先回传必收项，旧收支清单废止。</w:t>
      </w:r>
    </w:p>
    <w:sectPr w:rsidR="00FC693F" w:rsidRPr="0006063C" w:rsidSect="00034616">
      <w:footerReference w:type="default" r:id="rId9"/>
      <w:pgSz w:w="11906" w:h="16838"/>
      <w:pgMar w:top="482" w:right="510" w:bottom="454" w:left="51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Noto Sans CJK SC" w:hAnsi="Noto Sans CJK SC" w:eastAsia="Noto Sans CJK SC"/>
        <w:color w:val="59626C"/>
        <w:sz w:val="13"/>
      </w:rPr>
      <w:t>文秘·Codex GPT-5.6｜2026-09-08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Noto Sans CJK SC" w:hAnsi="Noto Sans CJK SC" w:eastAsia="Noto Sans CJK S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ompact">
    <w:name w:val="Title Compact"/>
    <w:pPr>
      <w:spacing w:after="40" w:line="240" w:lineRule="auto"/>
    </w:pPr>
    <w:rPr>
      <w:rFonts w:ascii="Noto Sans CJK SC" w:hAnsi="Noto Sans CJK SC" w:eastAsia="Noto Sans CJK SC"/>
      <w:b/>
      <w:color w:val="153E65"/>
      <w:sz w:val="31"/>
    </w:rPr>
  </w:style>
  <w:style w:type="paragraph" w:customStyle="1" w:styleId="SectionCompact">
    <w:name w:val="Section Compact"/>
    <w:pPr>
      <w:keepNext/>
      <w:spacing w:before="40" w:after="20"/>
    </w:pPr>
    <w:rPr>
      <w:rFonts w:ascii="Noto Sans CJK SC" w:hAnsi="Noto Sans CJK SC" w:eastAsia="Noto Sans CJK SC"/>
      <w:b/>
      <w:color w:val="153E6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南航大兴维修基地零碳包装收资清单（一页纸）</dc:title>
  <dc:subject>一页纸收资清单；非收支报价</dc:subject>
  <dc:creator>文秘·Codex GPT-5.6</dc:creator>
  <cp:keywords>南航,大兴维修基地,零碳,收资清单,一页纸,Codex</cp:keywords>
  <dc:description>文秘·Codex GPT-5.6｜一页纸出口｜非PR#85长说明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