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exact" w:line="560"/>
        <w:jc w:val="center"/>
      </w:pPr>
      <w:r>
        <w:rPr>
          <w:rFonts w:ascii="黑体" w:hAnsi="黑体" w:eastAsia="黑体" w:cs="黑体"/>
          <w:b w:val="0"/>
          <w:sz w:val="36"/>
        </w:rPr>
        <w:t>青海海东智算中心节能降碳与综合节能大模型</w:t>
      </w:r>
    </w:p>
    <w:p>
      <w:pPr>
        <w:spacing w:before="0" w:after="160" w:lineRule="exact" w:line="560"/>
        <w:jc w:val="center"/>
      </w:pPr>
      <w:r>
        <w:rPr>
          <w:rFonts w:ascii="黑体" w:hAnsi="黑体" w:eastAsia="黑体" w:cs="黑体"/>
          <w:b w:val="0"/>
          <w:sz w:val="36"/>
        </w:rPr>
        <w:t>合作备忘录</w:t>
      </w:r>
    </w:p>
    <w:p>
      <w:pPr>
        <w:spacing w:before="0" w:after="200" w:lineRule="exact" w:line="440"/>
        <w:jc w:val="center"/>
      </w:pPr>
      <w:r>
        <w:rPr>
          <w:rFonts w:ascii="楷体_GB2312" w:hAnsi="楷体_GB2312" w:eastAsia="楷体_GB2312" w:cs="楷体_GB2312"/>
          <w:b w:val="0"/>
          <w:sz w:val="28"/>
        </w:rPr>
        <w:t>（三方合作协商备忘录 · 原则安排 · 讨论稿）</w:t>
      </w:r>
    </w:p>
    <w:p>
      <w:pPr>
        <w:spacing w:before="0" w:after="0" w:lineRule="exact" w:line="480"/>
        <w:jc w:val="center"/>
      </w:pPr>
      <w:r>
        <w:rPr>
          <w:rFonts w:ascii="仿宋_GB2312" w:hAnsi="仿宋_GB2312" w:eastAsia="仿宋_GB2312" w:cs="仿宋_GB2312"/>
          <w:b w:val="0"/>
          <w:sz w:val="32"/>
        </w:rPr>
        <w:t>南方电网综合能源股份有限公司</w:t>
      </w:r>
    </w:p>
    <w:p>
      <w:pPr>
        <w:spacing w:before="0" w:after="0" w:lineRule="exact" w:line="480"/>
        <w:jc w:val="center"/>
      </w:pPr>
      <w:r>
        <w:rPr>
          <w:rFonts w:ascii="仿宋_GB2312" w:hAnsi="仿宋_GB2312" w:eastAsia="仿宋_GB2312" w:cs="仿宋_GB2312"/>
          <w:b w:val="0"/>
          <w:sz w:val="32"/>
        </w:rPr>
        <w:t>广州恒运</w:t>
      </w:r>
    </w:p>
    <w:p>
      <w:pPr>
        <w:spacing w:before="0" w:after="0" w:lineRule="exact" w:line="480"/>
        <w:jc w:val="center"/>
      </w:pPr>
      <w:r>
        <w:rPr>
          <w:rFonts w:ascii="仿宋_GB2312" w:hAnsi="仿宋_GB2312" w:eastAsia="仿宋_GB2312" w:cs="仿宋_GB2312"/>
          <w:b w:val="0"/>
          <w:sz w:val="32"/>
        </w:rPr>
        <w:t>青海超算芯科技有限公司</w:t>
      </w:r>
    </w:p>
    <w:p>
      <w:pPr>
        <w:spacing w:before="120" w:after="320" w:lineRule="exact" w:line="440"/>
        <w:jc w:val="center"/>
      </w:pPr>
      <w:r>
        <w:rPr>
          <w:rFonts w:ascii="仿宋_GB2312" w:hAnsi="仿宋_GB2312" w:eastAsia="仿宋_GB2312" w:cs="仿宋_GB2312"/>
          <w:b w:val="0"/>
          <w:sz w:val="24"/>
        </w:rPr>
        <w:t>二〇二六年九月八日</w:t>
      </w:r>
    </w:p>
    <w:p>
      <w:pPr>
        <w:spacing w:before="0" w:after="0" w:lineRule="exact" w:line="580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本备忘录用于锁定三方共同开发综合节能大模型、开展节能降碳场景合作的原则安排，并把南网能源数据安全和生产数据接入要求写入合作界面。</w:t>
      </w:r>
    </w:p>
    <w:p>
      <w:pPr>
        <w:spacing w:before="0" w:after="0" w:lineRule="exact" w:line="580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本备忘录确认：大模型和Token是旁路合作，不进入五年闭口保底，也不用于补金租缺口。分成比例、数据权、模型权属和训练经费另签专项协议。本备忘录不构成投资承诺，也不改变南网能源直投五类设备、按闭口服务费回收的既有安排。</w:t>
      </w:r>
    </w:p>
    <w:p>
      <w:pPr>
        <w:spacing w:before="320" w:after="120" w:lineRule="exact" w:line="580"/>
        <w:jc w:val="left"/>
      </w:pPr>
      <w:r>
        <w:rPr>
          <w:rFonts w:ascii="黑体" w:hAnsi="黑体" w:eastAsia="黑体" w:cs="黑体"/>
          <w:b w:val="0"/>
          <w:sz w:val="32"/>
        </w:rPr>
        <w:t>一、目的和效力</w:t>
      </w:r>
    </w:p>
    <w:p>
      <w:pPr>
        <w:spacing w:before="0" w:after="0" w:lineRule="exact" w:line="580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各方同意，在青海海东工业互联共享算力池项目（项目主体为青海超算芯科技有限公司，或以其为载体新设的项目公司，以下称SPV）上，共建算力运营团队和算力大模型团队，围绕节能降耗重点项目训练综合节能大模型，并探索将低谷或自留算力做成节能场景产品。运营团队负责上架和回款，大模型团队负责模型与场景。两层工作均不替代闭口保底。</w:t>
      </w:r>
    </w:p>
    <w:p>
      <w:pPr>
        <w:spacing w:before="0" w:after="0" w:lineRule="exact" w:line="580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本备忘录是协商文本，用于统一口径和推进专项协议，不构成已生效的投资、金租或股权安排。对本备忘录未尽事项，以随后签署的数据合作协议、模型开发协议和Token分成协议为准。本备忘录与五类设备投资、金融租赁、股权转让文件冲突时，投资、金租和股权文件优先；涉及南网能源数据、生产监控和生成式人工智能训练的，以南网能源现行数据安全和生产数据接入制度优先。</w:t>
      </w:r>
    </w:p>
    <w:p>
      <w:pPr>
        <w:spacing w:before="320" w:after="120" w:lineRule="exact" w:line="580"/>
        <w:jc w:val="left"/>
      </w:pPr>
      <w:r>
        <w:rPr>
          <w:rFonts w:ascii="黑体" w:hAnsi="黑体" w:eastAsia="黑体" w:cs="黑体"/>
          <w:b w:val="0"/>
          <w:sz w:val="32"/>
        </w:rPr>
        <w:t>二、合作各方</w:t>
      </w:r>
    </w:p>
    <w:p>
      <w:pPr>
        <w:spacing w:before="0" w:after="0" w:lineRule="exact" w:line="580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甲方为南方电网综合能源股份有限公司（以下称南网能源）。南网能源直投并持有储能、机柜、空调、动环和电源五类设备，收取闭口服务费，并按合同参与租赁超额分成；不登记为SPV控股股东。</w:t>
      </w:r>
    </w:p>
    <w:p>
      <w:pPr>
        <w:spacing w:before="0" w:after="0" w:lineRule="exact" w:line="580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乙方为广州恒运（全称及统一社会信用代码待书面确认，以下称恒运）。恒运为SPV拟登记受让80%股权的一方，主导SPV经营，参与建设和运营。本备忘录项下乙方仅为恒运一家。</w:t>
      </w:r>
    </w:p>
    <w:p>
      <w:pPr>
        <w:spacing w:before="0" w:after="0" w:lineRule="exact" w:line="580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丙方为青海超算芯科技有限公司（以下称超算芯），提供项目主体和属地条件。</w:t>
      </w:r>
    </w:p>
    <w:p>
      <w:pPr>
        <w:spacing w:before="0" w:after="0" w:lineRule="exact" w:line="580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原股东青海恒芯能源有限公司拟留股不超过20%；陕西大合九嵩信息科技有限公司拟退出。上述两家原股东不作为本备忘录签署方。落地股东（含恒芯留股等）可不超过20%，具体以随后股权文件为准。</w:t>
      </w:r>
    </w:p>
    <w:p>
      <w:pPr>
        <w:spacing w:before="320" w:after="120" w:lineRule="exact" w:line="580"/>
        <w:jc w:val="left"/>
      </w:pPr>
      <w:r>
        <w:rPr>
          <w:rFonts w:ascii="黑体" w:hAnsi="黑体" w:eastAsia="黑体" w:cs="黑体"/>
          <w:b w:val="0"/>
          <w:sz w:val="32"/>
        </w:rPr>
        <w:t>三、合作内容</w:t>
      </w:r>
    </w:p>
    <w:p>
      <w:pPr>
        <w:spacing w:before="200" w:after="80" w:lineRule="exact" w:line="58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（一）节能降碳场景</w:t>
      </w:r>
    </w:p>
    <w:p>
      <w:pPr>
        <w:spacing w:before="0" w:after="0" w:lineRule="exact" w:line="580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合作聚焦综合能源和算力设施的节能降碳。场景由南网能源提出或确认。本备忘录不承诺节能量、碳减排量、Token销量和单价。</w:t>
      </w:r>
    </w:p>
    <w:p>
      <w:pPr>
        <w:spacing w:before="200" w:after="80" w:lineRule="exact" w:line="58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（二）综合节能大模型</w:t>
      </w:r>
    </w:p>
    <w:p>
      <w:pPr>
        <w:spacing w:before="0" w:after="0" w:lineRule="exact" w:line="580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综合节能大模型是技术载体，不替代五类设备投资回报。训练、评测须单独立项。未分级、未授权、未脱敏的数据不得直接用于训练。未通过南网能源数据安全技术管控审查前，不得对接业务系统或对外服务。</w:t>
      </w:r>
    </w:p>
    <w:p>
      <w:pPr>
        <w:spacing w:before="200" w:after="80" w:lineRule="exact" w:line="580"/>
        <w:jc w:val="left"/>
      </w:pPr>
      <w:r>
        <w:rPr>
          <w:rFonts w:ascii="楷体_GB2312" w:hAnsi="楷体_GB2312" w:eastAsia="楷体_GB2312" w:cs="楷体_GB2312"/>
          <w:b w:val="0"/>
          <w:sz w:val="32"/>
        </w:rPr>
        <w:t>（三）算力使用</w:t>
      </w:r>
    </w:p>
    <w:p>
      <w:pPr>
        <w:spacing w:before="0" w:after="0" w:lineRule="exact" w:line="580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可以使用低谷或自留算力，但须服从客户租约和金租资产优先。Token对外销售走旁路账户，不进入监管账户保底瀑布，不得用于弥补金租或闭口缺口。</w:t>
      </w:r>
    </w:p>
    <w:p>
      <w:pPr>
        <w:spacing w:before="320" w:after="120" w:lineRule="exact" w:line="580"/>
        <w:jc w:val="left"/>
      </w:pPr>
      <w:r>
        <w:rPr>
          <w:rFonts w:ascii="黑体" w:hAnsi="黑体" w:eastAsia="黑体" w:cs="黑体"/>
          <w:b w:val="0"/>
          <w:sz w:val="32"/>
        </w:rPr>
        <w:t>四、与闭口服务和金租的边界</w:t>
      </w:r>
    </w:p>
    <w:p>
      <w:pPr>
        <w:spacing w:before="0" w:after="0" w:lineRule="exact" w:line="580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项目回收依靠五年闭口可用性服务费，并与上架率脱钩。监管账户支付顺序为：金租、闭口服务费、租赁超额分成，剩余归SPV股东。</w:t>
      </w:r>
    </w:p>
    <w:p>
      <w:pPr>
        <w:spacing w:before="0" w:after="0" w:lineRule="exact" w:line="580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南网能源不为SPV金租债务提供担保、增信、差额补足或回购。节能收益、Token收入和模型成果，不得解释为金租或闭口的备用还款来源。</w:t>
      </w:r>
    </w:p>
    <w:p>
      <w:pPr>
        <w:spacing w:before="320" w:after="120" w:lineRule="exact" w:line="580"/>
        <w:jc w:val="left"/>
      </w:pPr>
      <w:r>
        <w:rPr>
          <w:rFonts w:ascii="黑体" w:hAnsi="黑体" w:eastAsia="黑体" w:cs="黑体"/>
          <w:b w:val="0"/>
          <w:sz w:val="32"/>
        </w:rPr>
        <w:t>五、数据与信息安全</w:t>
      </w:r>
    </w:p>
    <w:p>
      <w:pPr>
        <w:spacing w:before="0" w:after="0" w:lineRule="exact" w:line="580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各方适用《中华人民共和国网络安全法》《中华人民共和国数据安全法》《中华人民共和国个人信息保护法》等现行法律，并执行南网能源《数据安全管理细则（2026版）》（Q/CSG-E2153001-2026）和《生产数据接入及质量管理业务指导书》（Q/CSG-E2154002-2026）。</w:t>
      </w:r>
    </w:p>
    <w:p>
      <w:pPr>
        <w:spacing w:before="0" w:after="0" w:lineRule="exact" w:line="580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启成平台不是默认训练库，不得默认开放接入。确需使用启成数据的，须分类分级、最小必要、书面授权。增量监控优先采用自建系统。发生安全事件的，须立即通知南网能源数字化管理部门及本备忘录各方。</w:t>
      </w:r>
    </w:p>
    <w:p>
      <w:pPr>
        <w:spacing w:before="320" w:after="120" w:lineRule="exact" w:line="580"/>
        <w:jc w:val="left"/>
      </w:pPr>
      <w:r>
        <w:rPr>
          <w:rFonts w:ascii="黑体" w:hAnsi="黑体" w:eastAsia="黑体" w:cs="黑体"/>
          <w:b w:val="0"/>
          <w:sz w:val="32"/>
        </w:rPr>
        <w:t>六、成果归属和收益</w:t>
      </w:r>
    </w:p>
    <w:p>
      <w:pPr>
        <w:spacing w:before="0" w:after="0" w:lineRule="exact" w:line="580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本备忘录不预定著作权、专利、数据权、Token权和分成比例，上述事项由专项协议单列。Token收入和模型收入不进入保底支付顺序。股权分红与本合作项下分成不是同一笔款项，不得混同结算。</w:t>
      </w:r>
    </w:p>
    <w:p>
      <w:pPr>
        <w:spacing w:before="320" w:after="120" w:lineRule="exact" w:line="580"/>
        <w:jc w:val="left"/>
      </w:pPr>
      <w:r>
        <w:rPr>
          <w:rFonts w:ascii="黑体" w:hAnsi="黑体" w:eastAsia="黑体" w:cs="黑体"/>
          <w:b w:val="0"/>
          <w:sz w:val="32"/>
        </w:rPr>
        <w:t>七、下一步和待书面确认事项</w:t>
      </w:r>
    </w:p>
    <w:p>
      <w:pPr>
        <w:spacing w:before="0" w:after="0" w:lineRule="exact" w:line="580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各方签署后三十日内，提交数据合作协议、模型开发协议和Token分成协议提纲。未完成分类分级和上线审查的，不得正式训练，不得对外宣传已具备产品。</w:t>
      </w:r>
    </w:p>
    <w:p>
      <w:pPr>
        <w:spacing w:before="0" w:after="0" w:lineRule="exact" w:line="580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待书面确认事项列于表4。表列事项均保持待书面确认状态，本稿不编造具体数字、名单或比例。</w:t>
      </w:r>
    </w:p>
    <w:p>
      <w:pPr>
        <w:spacing w:before="320" w:after="120" w:lineRule="exact" w:line="580"/>
        <w:jc w:val="left"/>
      </w:pPr>
      <w:r>
        <w:rPr>
          <w:rFonts w:ascii="黑体" w:hAnsi="黑体" w:eastAsia="黑体" w:cs="黑体"/>
          <w:b w:val="0"/>
          <w:sz w:val="32"/>
        </w:rPr>
        <w:t>八、有效期、签署和其他</w:t>
      </w:r>
    </w:p>
    <w:p>
      <w:pPr>
        <w:spacing w:before="0" w:after="0" w:lineRule="exact" w:line="580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本备忘录自三方盖章之日起生效，有效期十二个月，或至专项协议生效之日止，以较早者为准。任何一方可提前十五日书面通知终止磋商；保密和数据安全义务在终止后继续有效三年。本备忘录一式三份，三方各执一份。</w:t>
      </w:r>
    </w:p>
    <w:p>
      <w:r>
        <w:br w:type="page"/>
      </w:r>
    </w:p>
    <w:p>
      <w:pPr>
        <w:spacing w:before="320" w:after="120" w:lineRule="exact" w:line="580"/>
        <w:jc w:val="left"/>
      </w:pPr>
      <w:r>
        <w:rPr>
          <w:rFonts w:ascii="黑体" w:hAnsi="黑体" w:eastAsia="黑体" w:cs="黑体"/>
          <w:b w:val="0"/>
          <w:sz w:val="32"/>
        </w:rPr>
        <w:t>九、签署栏</w:t>
      </w:r>
    </w:p>
    <w:p>
      <w:pPr>
        <w:spacing w:before="0" w:after="0" w:lineRule="exact" w:line="580"/>
        <w:ind w:firstLine="64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以下签署栏留空，待正式签署时填写。未盖章前，本稿仅为协商讨论稿。</w:t>
      </w:r>
    </w:p>
    <w:p>
      <w:pPr>
        <w:spacing w:before="240" w:after="0" w:lineRule="exact" w:line="580"/>
        <w:jc w:val="left"/>
      </w:pPr>
      <w:r>
        <w:rPr>
          <w:rFonts w:ascii="黑体" w:hAnsi="黑体" w:eastAsia="黑体" w:cs="黑体"/>
          <w:b w:val="0"/>
          <w:sz w:val="32"/>
        </w:rPr>
        <w:t>甲方</w:t>
      </w:r>
    </w:p>
    <w:p>
      <w:pPr>
        <w:spacing w:before="0" w:after="0" w:lineRule="exact" w:line="58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南方电网综合能源股份有限公司（盖章）</w:t>
      </w:r>
    </w:p>
    <w:p>
      <w:pPr>
        <w:spacing w:before="80" w:after="40" w:lineRule="exact" w:line="58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授权代表：____________________</w:t>
      </w:r>
    </w:p>
    <w:p>
      <w:pPr>
        <w:spacing w:before="80" w:after="40" w:lineRule="exact" w:line="58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职务：____________________</w:t>
      </w:r>
    </w:p>
    <w:p>
      <w:pPr>
        <w:spacing w:before="80" w:after="40" w:lineRule="exact" w:line="58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日期：____________________</w:t>
      </w:r>
    </w:p>
    <w:p>
      <w:pPr>
        <w:spacing w:before="320" w:after="0" w:lineRule="exact" w:line="580"/>
        <w:jc w:val="left"/>
      </w:pPr>
      <w:r>
        <w:rPr>
          <w:rFonts w:ascii="黑体" w:hAnsi="黑体" w:eastAsia="黑体" w:cs="黑体"/>
          <w:b w:val="0"/>
          <w:sz w:val="32"/>
        </w:rPr>
        <w:t>乙方</w:t>
      </w:r>
    </w:p>
    <w:p>
      <w:pPr>
        <w:spacing w:before="0" w:after="0" w:lineRule="exact" w:line="58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广州恒运（全称待书面确认）（盖章）</w:t>
      </w:r>
    </w:p>
    <w:p>
      <w:pPr>
        <w:spacing w:before="80" w:after="40" w:lineRule="exact" w:line="58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授权代表：____________________</w:t>
      </w:r>
    </w:p>
    <w:p>
      <w:pPr>
        <w:spacing w:before="80" w:after="40" w:lineRule="exact" w:line="58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职务：____________________</w:t>
      </w:r>
    </w:p>
    <w:p>
      <w:pPr>
        <w:spacing w:before="80" w:after="40" w:lineRule="exact" w:line="58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日期：____________________</w:t>
      </w:r>
    </w:p>
    <w:p>
      <w:pPr>
        <w:spacing w:before="320" w:after="0" w:lineRule="exact" w:line="580"/>
        <w:jc w:val="left"/>
      </w:pPr>
      <w:r>
        <w:rPr>
          <w:rFonts w:ascii="黑体" w:hAnsi="黑体" w:eastAsia="黑体" w:cs="黑体"/>
          <w:b w:val="0"/>
          <w:sz w:val="32"/>
        </w:rPr>
        <w:t>丙方</w:t>
      </w:r>
    </w:p>
    <w:p>
      <w:pPr>
        <w:spacing w:before="0" w:after="0" w:lineRule="exact" w:line="580"/>
        <w:jc w:val="both"/>
      </w:pPr>
      <w:r>
        <w:rPr>
          <w:rFonts w:ascii="仿宋_GB2312" w:hAnsi="仿宋_GB2312" w:eastAsia="仿宋_GB2312" w:cs="仿宋_GB2312"/>
          <w:b w:val="0"/>
          <w:sz w:val="32"/>
        </w:rPr>
        <w:t>青海超算芯科技有限公司（盖章）</w:t>
      </w:r>
    </w:p>
    <w:p>
      <w:pPr>
        <w:spacing w:before="80" w:after="40" w:lineRule="exact" w:line="58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授权代表：____________________</w:t>
      </w:r>
    </w:p>
    <w:p>
      <w:pPr>
        <w:spacing w:before="80" w:after="40" w:lineRule="exact" w:line="58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职务：____________________</w:t>
      </w:r>
    </w:p>
    <w:p>
      <w:pPr>
        <w:spacing w:before="80" w:after="40" w:lineRule="exact" w:line="580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日期：____________________</w:t>
      </w:r>
    </w:p>
    <w:p>
      <w:pPr>
        <w:spacing w:before="320" w:after="120" w:lineRule="exact" w:line="580"/>
        <w:jc w:val="left"/>
      </w:pPr>
      <w:r>
        <w:rPr>
          <w:rFonts w:ascii="黑体" w:hAnsi="黑体" w:eastAsia="黑体" w:cs="黑体"/>
          <w:b w:val="0"/>
          <w:sz w:val="32"/>
        </w:rPr>
        <w:t>附表</w:t>
      </w:r>
    </w:p>
    <w:p>
      <w:pPr>
        <w:spacing w:before="240" w:after="120" w:lineRule="exact" w:line="400"/>
        <w:jc w:val="center"/>
      </w:pPr>
      <w:r>
        <w:rPr>
          <w:rFonts w:ascii="黑体" w:hAnsi="黑体" w:eastAsia="黑体" w:cs="黑体"/>
          <w:b w:val="0"/>
          <w:sz w:val="24"/>
        </w:rPr>
        <w:t>表1 各方分工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8844" w:type="dxa"/>
      </w:tblPr>
      <w:tblGrid>
        <w:gridCol w:w="1474"/>
        <w:gridCol w:w="2494"/>
        <w:gridCol w:w="4875"/>
      </w:tblGrid>
      <w:tr>
        <w:trPr>
          <w:cantSplit w:val="true"/>
          <w:tblHeader w:val="true"/>
        </w:trPr>
        <w:tc>
          <w:tcPr>
            <w:tcW w:type="dxa" w:w="1474"/>
            <w:vAlign w:val="center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  <w:shd w:val="clear" w:color="auto" w:fill="F2F2F2"/>
          </w:tcPr>
          <w:p>
            <w:pPr>
              <w:spacing w:before="40" w:after="40" w:line="320" w:lineRule="exact"/>
              <w:jc w:val="center"/>
            </w:pPr>
            <w:r/>
            <w:r>
              <w:rPr>
                <w:rFonts w:ascii="黑体" w:hAnsi="黑体" w:eastAsia="黑体" w:cs="黑体"/>
                <w:b/>
                <w:sz w:val="21"/>
              </w:rPr>
              <w:t>主体</w:t>
            </w:r>
          </w:p>
        </w:tc>
        <w:tc>
          <w:tcPr>
            <w:tcW w:type="dxa" w:w="2494"/>
            <w:vAlign w:val="center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  <w:shd w:val="clear" w:color="auto" w:fill="F2F2F2"/>
          </w:tcPr>
          <w:p>
            <w:pPr>
              <w:spacing w:before="40" w:after="40" w:line="320" w:lineRule="exact"/>
              <w:jc w:val="center"/>
            </w:pPr>
            <w:r/>
            <w:r>
              <w:rPr>
                <w:rFonts w:ascii="黑体" w:hAnsi="黑体" w:eastAsia="黑体" w:cs="黑体"/>
                <w:b/>
                <w:sz w:val="21"/>
              </w:rPr>
              <w:t>身份</w:t>
            </w:r>
          </w:p>
        </w:tc>
        <w:tc>
          <w:tcPr>
            <w:tcW w:type="dxa" w:w="4876"/>
            <w:vAlign w:val="center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  <w:shd w:val="clear" w:color="auto" w:fill="F2F2F2"/>
          </w:tcPr>
          <w:p>
            <w:pPr>
              <w:spacing w:before="40" w:after="40" w:line="320" w:lineRule="exact"/>
              <w:jc w:val="center"/>
            </w:pPr>
            <w:r/>
            <w:r>
              <w:rPr>
                <w:rFonts w:ascii="黑体" w:hAnsi="黑体" w:eastAsia="黑体" w:cs="黑体"/>
                <w:b/>
                <w:sz w:val="21"/>
              </w:rPr>
              <w:t>主要职责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南网能源</w:t>
            </w:r>
          </w:p>
        </w:tc>
        <w:tc>
          <w:tcPr>
            <w:tcW w:type="dxa" w:w="2494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五类设备投资方，不控股</w:t>
            </w:r>
          </w:p>
        </w:tc>
        <w:tc>
          <w:tcPr>
            <w:tcW w:type="dxa" w:w="4876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提出场景和数据安全要求；审核训练数据分级；对涉及公司数据或接入系统的模型与平台行使上线审查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广州恒运</w:t>
            </w:r>
          </w:p>
        </w:tc>
        <w:tc>
          <w:tcPr>
            <w:tcW w:type="dxa" w:w="2494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拟受让SPV 80%股权</w:t>
            </w:r>
          </w:p>
        </w:tc>
        <w:tc>
          <w:tcPr>
            <w:tcW w:type="dxa" w:w="4876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主导经营和客户交付；与超算芯落实算力调度、回款和现场条件；按专项协议分担模型编制和经费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超算芯</w:t>
            </w:r>
          </w:p>
        </w:tc>
        <w:tc>
          <w:tcPr>
            <w:tcW w:type="dxa" w:w="2494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项目SPV或载体</w:t>
            </w:r>
          </w:p>
        </w:tc>
        <w:tc>
          <w:tcPr>
            <w:tcW w:type="dxa" w:w="4876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提供主体、机房和属地条件；配合数据不出境、分区存储和访问控制；不把租户或客户数据视为已获授权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运营团队</w:t>
            </w:r>
          </w:p>
        </w:tc>
        <w:tc>
          <w:tcPr>
            <w:tcW w:type="dxa" w:w="2494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三方共建</w:t>
            </w:r>
          </w:p>
        </w:tc>
        <w:tc>
          <w:tcPr>
            <w:tcW w:type="dxa" w:w="4876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上架、可用性调度、客户交付和回款；费用可随闭口服务费核定，不另开保底分成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大模型团队</w:t>
            </w:r>
          </w:p>
        </w:tc>
        <w:tc>
          <w:tcPr>
            <w:tcW w:type="dxa" w:w="2494"/>
            <w:vAlign w:val="center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三方共建</w:t>
            </w:r>
          </w:p>
        </w:tc>
        <w:tc>
          <w:tcPr>
            <w:tcW w:type="dxa" w:w="4876"/>
            <w:vAlign w:val="center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围绕节能降耗训练综合节能大模型；编制经费、数据权、模型权属单列</w:t>
            </w:r>
          </w:p>
        </w:tc>
      </w:tr>
    </w:tbl>
    <w:p>
      <w:pPr>
        <w:spacing w:before="240" w:after="120" w:lineRule="exact" w:line="400"/>
        <w:jc w:val="center"/>
      </w:pPr>
      <w:r>
        <w:rPr>
          <w:rFonts w:ascii="黑体" w:hAnsi="黑体" w:eastAsia="黑体" w:cs="黑体"/>
          <w:b w:val="0"/>
          <w:sz w:val="24"/>
        </w:rPr>
        <w:t>表2 与闭口边界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8844" w:type="dxa"/>
      </w:tblPr>
      <w:tblGrid>
        <w:gridCol w:w="2721"/>
        <w:gridCol w:w="2154"/>
        <w:gridCol w:w="3968"/>
      </w:tblGrid>
      <w:tr>
        <w:trPr>
          <w:cantSplit w:val="true"/>
          <w:tblHeader w:val="true"/>
        </w:trPr>
        <w:tc>
          <w:tcPr>
            <w:tcW w:type="dxa" w:w="2721"/>
            <w:vAlign w:val="center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  <w:shd w:val="clear" w:color="auto" w:fill="F2F2F2"/>
          </w:tcPr>
          <w:p>
            <w:pPr>
              <w:spacing w:before="40" w:after="40" w:line="320" w:lineRule="exact"/>
              <w:jc w:val="center"/>
            </w:pPr>
            <w:r/>
            <w:r>
              <w:rPr>
                <w:rFonts w:ascii="黑体" w:hAnsi="黑体" w:eastAsia="黑体" w:cs="黑体"/>
                <w:b/>
                <w:sz w:val="21"/>
              </w:rPr>
              <w:t>项目</w:t>
            </w:r>
          </w:p>
        </w:tc>
        <w:tc>
          <w:tcPr>
            <w:tcW w:type="dxa" w:w="2154"/>
            <w:vAlign w:val="center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  <w:shd w:val="clear" w:color="auto" w:fill="F2F2F2"/>
          </w:tcPr>
          <w:p>
            <w:pPr>
              <w:spacing w:before="40" w:after="40" w:line="320" w:lineRule="exact"/>
              <w:jc w:val="center"/>
            </w:pPr>
            <w:r/>
            <w:r>
              <w:rPr>
                <w:rFonts w:ascii="黑体" w:hAnsi="黑体" w:eastAsia="黑体" w:cs="黑体"/>
                <w:b/>
                <w:sz w:val="21"/>
              </w:rPr>
              <w:t>是否进入闭口/保底</w:t>
            </w:r>
          </w:p>
        </w:tc>
        <w:tc>
          <w:tcPr>
            <w:tcW w:type="dxa" w:w="3969"/>
            <w:vAlign w:val="center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  <w:shd w:val="clear" w:color="auto" w:fill="F2F2F2"/>
          </w:tcPr>
          <w:p>
            <w:pPr>
              <w:spacing w:before="40" w:after="40" w:line="320" w:lineRule="exact"/>
              <w:jc w:val="center"/>
            </w:pPr>
            <w:r/>
            <w:r>
              <w:rPr>
                <w:rFonts w:ascii="黑体" w:hAnsi="黑体" w:eastAsia="黑体" w:cs="黑体"/>
                <w:b/>
                <w:sz w:val="21"/>
              </w:rPr>
              <w:t>口径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五类设备可用性服务费</w:t>
            </w:r>
          </w:p>
        </w:tc>
        <w:tc>
          <w:tcPr>
            <w:tcW w:type="dxa" w:w="2154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进入</w:t>
            </w:r>
          </w:p>
        </w:tc>
        <w:tc>
          <w:tcPr>
            <w:tcW w:type="dxa" w:w="3969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保底与上架脱钩，优于分红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底座运维</w:t>
            </w:r>
          </w:p>
        </w:tc>
        <w:tc>
          <w:tcPr>
            <w:tcW w:type="dxa" w:w="2154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可随闭口另核</w:t>
            </w:r>
          </w:p>
        </w:tc>
        <w:tc>
          <w:tcPr>
            <w:tcW w:type="dxa" w:w="3969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对照清能智算维保口径，青海适用性待核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运营团队日常费用</w:t>
            </w:r>
          </w:p>
        </w:tc>
        <w:tc>
          <w:tcPr>
            <w:tcW w:type="dxa" w:w="2154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可随闭口另核</w:t>
            </w:r>
          </w:p>
        </w:tc>
        <w:tc>
          <w:tcPr>
            <w:tcW w:type="dxa" w:w="3969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不上架不另开保底分成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大模型编制、训练、评测经费</w:t>
            </w:r>
          </w:p>
        </w:tc>
        <w:tc>
          <w:tcPr>
            <w:tcW w:type="dxa" w:w="2154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不进入</w:t>
            </w:r>
          </w:p>
        </w:tc>
        <w:tc>
          <w:tcPr>
            <w:tcW w:type="dxa" w:w="3969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专项协议列支，不挤占7500万元设备款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Token和模型分成</w:t>
            </w:r>
          </w:p>
        </w:tc>
        <w:tc>
          <w:tcPr>
            <w:tcW w:type="dxa" w:w="2154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不进入</w:t>
            </w:r>
          </w:p>
        </w:tc>
        <w:tc>
          <w:tcPr>
            <w:tcW w:type="dxa" w:w="3969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旁路结算条款待谈，不纳入投资回报测算</w:t>
            </w:r>
          </w:p>
        </w:tc>
      </w:tr>
      <w:tr>
        <w:trPr>
          <w:cantSplit w:val="true"/>
        </w:trPr>
        <w:tc>
          <w:tcPr>
            <w:tcW w:type="dxa" w:w="2721"/>
            <w:vAlign w:val="center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金租租金及缺口</w:t>
            </w:r>
          </w:p>
        </w:tc>
        <w:tc>
          <w:tcPr>
            <w:tcW w:type="dxa" w:w="2154"/>
            <w:vAlign w:val="center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不适用</w:t>
            </w:r>
          </w:p>
        </w:tc>
        <w:tc>
          <w:tcPr>
            <w:tcW w:type="dxa" w:w="3969"/>
            <w:vAlign w:val="center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本合作不顶、不补、不担保</w:t>
            </w:r>
          </w:p>
        </w:tc>
      </w:tr>
    </w:tbl>
    <w:p>
      <w:pPr>
        <w:spacing w:before="240" w:after="120" w:lineRule="exact" w:line="400"/>
        <w:jc w:val="center"/>
      </w:pPr>
      <w:r>
        <w:rPr>
          <w:rFonts w:ascii="黑体" w:hAnsi="黑体" w:eastAsia="黑体" w:cs="黑体"/>
          <w:b w:val="0"/>
          <w:sz w:val="24"/>
        </w:rPr>
        <w:t>表3 安全要求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8844" w:type="dxa"/>
      </w:tblPr>
      <w:tblGrid>
        <w:gridCol w:w="2267"/>
        <w:gridCol w:w="3514"/>
        <w:gridCol w:w="3061"/>
      </w:tblGrid>
      <w:tr>
        <w:trPr>
          <w:cantSplit w:val="true"/>
          <w:tblHeader w:val="true"/>
        </w:trPr>
        <w:tc>
          <w:tcPr>
            <w:tcW w:type="dxa" w:w="2268"/>
            <w:vAlign w:val="center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  <w:shd w:val="clear" w:color="auto" w:fill="F2F2F2"/>
          </w:tcPr>
          <w:p>
            <w:pPr>
              <w:spacing w:before="40" w:after="40" w:line="320" w:lineRule="exact"/>
              <w:jc w:val="center"/>
            </w:pPr>
            <w:r/>
            <w:r>
              <w:rPr>
                <w:rFonts w:ascii="黑体" w:hAnsi="黑体" w:eastAsia="黑体" w:cs="黑体"/>
                <w:b/>
                <w:sz w:val="21"/>
              </w:rPr>
              <w:t>要求</w:t>
            </w:r>
          </w:p>
        </w:tc>
        <w:tc>
          <w:tcPr>
            <w:tcW w:type="dxa" w:w="3515"/>
            <w:vAlign w:val="center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  <w:shd w:val="clear" w:color="auto" w:fill="F2F2F2"/>
          </w:tcPr>
          <w:p>
            <w:pPr>
              <w:spacing w:before="40" w:after="40" w:line="320" w:lineRule="exact"/>
              <w:jc w:val="center"/>
            </w:pPr>
            <w:r/>
            <w:r>
              <w:rPr>
                <w:rFonts w:ascii="黑体" w:hAnsi="黑体" w:eastAsia="黑体" w:cs="黑体"/>
                <w:b/>
                <w:sz w:val="21"/>
              </w:rPr>
              <w:t>执行要点</w:t>
            </w:r>
          </w:p>
        </w:tc>
        <w:tc>
          <w:tcPr>
            <w:tcW w:type="dxa" w:w="3061"/>
            <w:vAlign w:val="center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  <w:shd w:val="clear" w:color="auto" w:fill="F2F2F2"/>
          </w:tcPr>
          <w:p>
            <w:pPr>
              <w:spacing w:before="40" w:after="40" w:line="320" w:lineRule="exact"/>
              <w:jc w:val="center"/>
            </w:pPr>
            <w:r/>
            <w:r>
              <w:rPr>
                <w:rFonts w:ascii="黑体" w:hAnsi="黑体" w:eastAsia="黑体" w:cs="黑体"/>
                <w:b/>
                <w:sz w:val="21"/>
              </w:rPr>
              <w:t>制度来源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分类分级</w:t>
            </w:r>
          </w:p>
        </w:tc>
        <w:tc>
          <w:tcPr>
            <w:tcW w:type="dxa" w:w="3515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训练、接入前须完成分类分级；未分级数据不得直接训练</w:t>
            </w:r>
          </w:p>
        </w:tc>
        <w:tc>
          <w:tcPr>
            <w:tcW w:type="dxa" w:w="3061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南网能源《数据安全管理细则（2026版）》（Q/CSG-E2153001-2026）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三同步与一票否决</w:t>
            </w:r>
          </w:p>
        </w:tc>
        <w:tc>
          <w:tcPr>
            <w:tcW w:type="dxa" w:w="3515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按制度实行三同步；未通过审查一票否决，不得上线</w:t>
            </w:r>
          </w:p>
        </w:tc>
        <w:tc>
          <w:tcPr>
            <w:tcW w:type="dxa" w:w="3061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同上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生成式人工智能单独管理</w:t>
            </w:r>
          </w:p>
        </w:tc>
        <w:tc>
          <w:tcPr>
            <w:tcW w:type="dxa" w:w="3515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训练、评测、对外服务单列管理，不并入默认业务系统</w:t>
            </w:r>
          </w:p>
        </w:tc>
        <w:tc>
          <w:tcPr>
            <w:tcW w:type="dxa" w:w="3061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Q/CSG-E2153001-2026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目的限制、最小必要</w:t>
            </w:r>
          </w:p>
        </w:tc>
        <w:tc>
          <w:tcPr>
            <w:tcW w:type="dxa" w:w="3515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按授权目的使用，不得超范围训练或对外提供</w:t>
            </w:r>
          </w:p>
        </w:tc>
        <w:tc>
          <w:tcPr>
            <w:tcW w:type="dxa" w:w="3061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《中华人民共和国数据安全法》《中华人民共和国个人信息保护法》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访问控制及人员管理</w:t>
            </w:r>
          </w:p>
        </w:tc>
        <w:tc>
          <w:tcPr>
            <w:tcW w:type="dxa" w:w="3515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按岗位授权，控制人员范围</w:t>
            </w:r>
          </w:p>
        </w:tc>
        <w:tc>
          <w:tcPr>
            <w:tcW w:type="dxa" w:w="3061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Q/CSG-E2153001-2026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加密、备份、销毁</w:t>
            </w:r>
          </w:p>
        </w:tc>
        <w:tc>
          <w:tcPr>
            <w:tcW w:type="dxa" w:w="3515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按制度实施加密、备份和到期销毁</w:t>
            </w:r>
          </w:p>
        </w:tc>
        <w:tc>
          <w:tcPr>
            <w:tcW w:type="dxa" w:w="3061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同上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境内存储，默认不出境</w:t>
            </w:r>
          </w:p>
        </w:tc>
        <w:tc>
          <w:tcPr>
            <w:tcW w:type="dxa" w:w="3515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默认境内存储、不出境；出境须另循法定和公司程序</w:t>
            </w:r>
          </w:p>
        </w:tc>
        <w:tc>
          <w:tcPr>
            <w:tcW w:type="dxa" w:w="3061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同上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留痕审计</w:t>
            </w:r>
          </w:p>
        </w:tc>
        <w:tc>
          <w:tcPr>
            <w:tcW w:type="dxa" w:w="3515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访问、训练、导出须留痕，可供审计</w:t>
            </w:r>
          </w:p>
        </w:tc>
        <w:tc>
          <w:tcPr>
            <w:tcW w:type="dxa" w:w="3061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同上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生产数据与启成接入必要性评估</w:t>
            </w:r>
          </w:p>
        </w:tc>
        <w:tc>
          <w:tcPr>
            <w:tcW w:type="dxa" w:w="3515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启成平台不是默认训练库；生产数据与启成均须作接入必要性评估，确需使用须书面授权</w:t>
            </w:r>
          </w:p>
        </w:tc>
        <w:tc>
          <w:tcPr>
            <w:tcW w:type="dxa" w:w="3061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Q/CSG-E2153001-2026、《生产数据接入及质量管理业务指导书》（Q/CSG-E2154002-2026）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数据质量闭环</w:t>
            </w:r>
          </w:p>
        </w:tc>
        <w:tc>
          <w:tcPr>
            <w:tcW w:type="dxa" w:w="3515"/>
            <w:vAlign w:val="center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接入数据须可校验、可追溯、可纠正</w:t>
            </w:r>
          </w:p>
        </w:tc>
        <w:tc>
          <w:tcPr>
            <w:tcW w:type="dxa" w:w="3061"/>
            <w:vAlign w:val="center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Q/CSG-E2154002-2026</w:t>
            </w:r>
          </w:p>
        </w:tc>
      </w:tr>
    </w:tbl>
    <w:p>
      <w:pPr>
        <w:spacing w:before="240" w:after="120" w:lineRule="exact" w:line="400"/>
        <w:jc w:val="center"/>
      </w:pPr>
      <w:r>
        <w:rPr>
          <w:rFonts w:ascii="黑体" w:hAnsi="黑体" w:eastAsia="黑体" w:cs="黑体"/>
          <w:b w:val="0"/>
          <w:sz w:val="24"/>
        </w:rPr>
        <w:t>表4 待书面确认事项（不编造）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8844" w:type="dxa"/>
      </w:tblPr>
      <w:tblGrid>
        <w:gridCol w:w="793"/>
        <w:gridCol w:w="2721"/>
        <w:gridCol w:w="1587"/>
        <w:gridCol w:w="3741"/>
      </w:tblGrid>
      <w:tr>
        <w:trPr>
          <w:cantSplit w:val="true"/>
          <w:tblHeader w:val="true"/>
        </w:trPr>
        <w:tc>
          <w:tcPr>
            <w:tcW w:type="dxa" w:w="794"/>
            <w:vAlign w:val="center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  <w:shd w:val="clear" w:color="auto" w:fill="F2F2F2"/>
          </w:tcPr>
          <w:p>
            <w:pPr>
              <w:spacing w:before="40" w:after="40" w:line="320" w:lineRule="exact"/>
              <w:jc w:val="center"/>
            </w:pPr>
            <w:r/>
            <w:r>
              <w:rPr>
                <w:rFonts w:ascii="黑体" w:hAnsi="黑体" w:eastAsia="黑体" w:cs="黑体"/>
                <w:b/>
                <w:sz w:val="21"/>
              </w:rPr>
              <w:t>序号</w:t>
            </w:r>
          </w:p>
        </w:tc>
        <w:tc>
          <w:tcPr>
            <w:tcW w:type="dxa" w:w="2721"/>
            <w:vAlign w:val="center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  <w:shd w:val="clear" w:color="auto" w:fill="F2F2F2"/>
          </w:tcPr>
          <w:p>
            <w:pPr>
              <w:spacing w:before="40" w:after="40" w:line="320" w:lineRule="exact"/>
              <w:jc w:val="center"/>
            </w:pPr>
            <w:r/>
            <w:r>
              <w:rPr>
                <w:rFonts w:ascii="黑体" w:hAnsi="黑体" w:eastAsia="黑体" w:cs="黑体"/>
                <w:b/>
                <w:sz w:val="21"/>
              </w:rPr>
              <w:t>事项</w:t>
            </w:r>
          </w:p>
        </w:tc>
        <w:tc>
          <w:tcPr>
            <w:tcW w:type="dxa" w:w="1587"/>
            <w:vAlign w:val="center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  <w:shd w:val="clear" w:color="auto" w:fill="F2F2F2"/>
          </w:tcPr>
          <w:p>
            <w:pPr>
              <w:spacing w:before="40" w:after="40" w:line="320" w:lineRule="exact"/>
              <w:jc w:val="center"/>
            </w:pPr>
            <w:r/>
            <w:r>
              <w:rPr>
                <w:rFonts w:ascii="黑体" w:hAnsi="黑体" w:eastAsia="黑体" w:cs="黑体"/>
                <w:b/>
                <w:sz w:val="21"/>
              </w:rPr>
              <w:t>本稿状态</w:t>
            </w:r>
          </w:p>
        </w:tc>
        <w:tc>
          <w:tcPr>
            <w:tcW w:type="dxa" w:w="3742"/>
            <w:vAlign w:val="center"/>
            <w:tcBorders>
              <w:top w:val="single" w:sz="12" w:space="0" w:color="000000"/>
              <w:left w:val="nil" w:sz="0" w:space="0" w:color="000000"/>
              <w:bottom w:val="single" w:sz="6" w:space="0" w:color="000000"/>
              <w:right w:val="nil" w:sz="0" w:space="0" w:color="000000"/>
            </w:tcBorders>
            <w:shd w:val="clear" w:color="auto" w:fill="F2F2F2"/>
          </w:tcPr>
          <w:p>
            <w:pPr>
              <w:spacing w:before="40" w:after="40" w:line="320" w:lineRule="exact"/>
              <w:jc w:val="center"/>
            </w:pPr>
            <w:r/>
            <w:r>
              <w:rPr>
                <w:rFonts w:ascii="黑体" w:hAnsi="黑体" w:eastAsia="黑体" w:cs="黑体"/>
                <w:b/>
                <w:sz w:val="21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1</w:t>
            </w:r>
          </w:p>
        </w:tc>
        <w:tc>
          <w:tcPr>
            <w:tcW w:type="dxa" w:w="2721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广州恒运全称、统一社会信用代码</w:t>
            </w:r>
          </w:p>
        </w:tc>
        <w:tc>
          <w:tcPr>
            <w:tcW w:type="dxa" w:w="1587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待书面确认</w:t>
            </w:r>
          </w:p>
        </w:tc>
        <w:tc>
          <w:tcPr>
            <w:tcW w:type="dxa" w:w="3742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签署页暂用“广州恒运”，不编造全称或代码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2</w:t>
            </w:r>
          </w:p>
        </w:tc>
        <w:tc>
          <w:tcPr>
            <w:tcW w:type="dxa" w:w="2721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场景清单、试点范围及验收标准</w:t>
            </w:r>
          </w:p>
        </w:tc>
        <w:tc>
          <w:tcPr>
            <w:tcW w:type="dxa" w:w="1587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待书面确认</w:t>
            </w:r>
          </w:p>
        </w:tc>
        <w:tc>
          <w:tcPr>
            <w:tcW w:type="dxa" w:w="3742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场景须由南网能源提出或确认，本稿不列具体场景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3</w:t>
            </w:r>
          </w:p>
        </w:tc>
        <w:tc>
          <w:tcPr>
            <w:tcW w:type="dxa" w:w="2721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训练数据清单及分级</w:t>
            </w:r>
          </w:p>
        </w:tc>
        <w:tc>
          <w:tcPr>
            <w:tcW w:type="dxa" w:w="1587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待书面确认</w:t>
            </w:r>
          </w:p>
        </w:tc>
        <w:tc>
          <w:tcPr>
            <w:tcW w:type="dxa" w:w="3742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未完成分类分级不得正式训练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4</w:t>
            </w:r>
          </w:p>
        </w:tc>
        <w:tc>
          <w:tcPr>
            <w:tcW w:type="dxa" w:w="2721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启成接入或免接入结论</w:t>
            </w:r>
          </w:p>
        </w:tc>
        <w:tc>
          <w:tcPr>
            <w:tcW w:type="dxa" w:w="1587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待书面确认</w:t>
            </w:r>
          </w:p>
        </w:tc>
        <w:tc>
          <w:tcPr>
            <w:tcW w:type="dxa" w:w="3742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启成不是默认训练库，不得默认开放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5</w:t>
            </w:r>
          </w:p>
        </w:tc>
        <w:tc>
          <w:tcPr>
            <w:tcW w:type="dxa" w:w="2721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模型权属、数据权、Token分成</w:t>
            </w:r>
          </w:p>
        </w:tc>
        <w:tc>
          <w:tcPr>
            <w:tcW w:type="dxa" w:w="1587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待书面确认</w:t>
            </w:r>
          </w:p>
        </w:tc>
        <w:tc>
          <w:tcPr>
            <w:tcW w:type="dxa" w:w="3742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不预定比例，另签专项协议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6</w:t>
            </w:r>
          </w:p>
        </w:tc>
        <w:tc>
          <w:tcPr>
            <w:tcW w:type="dxa" w:w="2721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大模型编制、训练、评测经费</w:t>
            </w:r>
          </w:p>
        </w:tc>
        <w:tc>
          <w:tcPr>
            <w:tcW w:type="dxa" w:w="1587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待书面确认</w:t>
            </w:r>
          </w:p>
        </w:tc>
        <w:tc>
          <w:tcPr>
            <w:tcW w:type="dxa" w:w="3742"/>
            <w:vAlign w:val="center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专项协议列支，不挤占7500万元设备款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7</w:t>
            </w:r>
          </w:p>
        </w:tc>
        <w:tc>
          <w:tcPr>
            <w:tcW w:type="dxa" w:w="2721"/>
            <w:vAlign w:val="center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金租融资比例、闭口年费、超额分成</w:t>
            </w:r>
          </w:p>
        </w:tc>
        <w:tc>
          <w:tcPr>
            <w:tcW w:type="dxa" w:w="1587"/>
            <w:vAlign w:val="center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待书面确认</w:t>
            </w:r>
          </w:p>
        </w:tc>
        <w:tc>
          <w:tcPr>
            <w:tcW w:type="dxa" w:w="3742"/>
            <w:vAlign w:val="center"/>
            <w:tcBorders>
              <w:top w:val="nil" w:sz="0" w:space="0" w:color="000000"/>
              <w:left w:val="nil" w:sz="0" w:space="0" w:color="000000"/>
              <w:bottom w:val="single" w:sz="12" w:space="0" w:color="000000"/>
              <w:right w:val="nil" w:sz="0" w:space="0" w:color="000000"/>
            </w:tcBorders>
          </w:tcPr>
          <w:p>
            <w:pPr>
              <w:spacing w:before="40" w:after="40" w:line="320" w:lineRule="exact"/>
              <w:jc w:val="left"/>
            </w:pPr>
            <w:r/>
            <w:r>
              <w:rPr>
                <w:rFonts w:ascii="仿宋_GB2312" w:hAnsi="仿宋_GB2312" w:eastAsia="仿宋_GB2312" w:cs="仿宋_GB2312"/>
                <w:b w:val="0"/>
                <w:sz w:val="21"/>
              </w:rPr>
              <w:t>不属于本备忘录锁定范围</w:t>
            </w:r>
          </w:p>
        </w:tc>
      </w:tr>
    </w:tbl>
    <w:p>
      <w:pPr>
        <w:spacing w:before="200" w:after="0" w:lineRule="exact" w:line="440"/>
        <w:jc w:val="both"/>
      </w:pPr>
      <w:r>
        <w:rPr>
          <w:rFonts w:ascii="仿宋_GB2312" w:hAnsi="仿宋_GB2312" w:eastAsia="仿宋_GB2312" w:cs="仿宋_GB2312"/>
          <w:b w:val="0"/>
          <w:sz w:val="24"/>
        </w:rPr>
        <w:t>说明：表4所列事项均待书面确认，不得以本讨论稿代替确认。本稿法律合规表述建议墨律过目，不替代法务审查。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sz w:val="24"/>
      </w:rPr>
      <w:t xml:space="preserve">— </w:t>
    </w:r>
    <w:r>
      <w:rPr>
        <w:rFonts w:ascii="宋体" w:hAnsi="宋体" w:eastAsia="宋体" w:cs="宋体"/>
        <w:b w:val="0"/>
        <w:sz w:val="24"/>
      </w:rPr>
      <w:fldChar w:fldCharType="begin"/>
      <w:instrText xml:space="preserve">PAGE</w:instrText>
      <w:fldChar w:fldCharType="end"/>
    </w:r>
    <w:r>
      <w:rPr>
        <w:rFonts w:ascii="宋体" w:hAnsi="宋体" w:eastAsia="宋体" w:cs="宋体"/>
        <w:b w:val="0"/>
        <w:sz w:val="24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000000"/>
      </w:pBdr>
    </w:pPr>
    <w:r>
      <w:rPr>
        <w:rFonts w:ascii="宋体" w:hAnsi="宋体" w:eastAsia="宋体" w:cs="宋体"/>
        <w:b w:val="0"/>
        <w:sz w:val="21"/>
      </w:rPr>
      <w:t>青海海东智算中心节能降碳与综合节能大模型合作备忘录（讨论稿）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 w:cs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青海海东智算中心节能降碳与综合节能大模型合作备忘录</dc:title>
  <dc:subject>三方合作协商备忘录（原则安排）讨论稿</dc:subject>
  <dc:creator>文秘 · Grok 4.6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协商备忘录</cp:category>
</cp:coreProperties>
</file>