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7365D"/>
          <w:sz w:val="48"/>
        </w:rPr>
        <w:t>AI「赛马制」测试数据报告</w:t>
      </w:r>
    </w:p>
    <w:p>
      <w:pPr>
        <w:jc w:val="center"/>
      </w:pPr>
      <w:r>
        <w:rPr>
          <w:b/>
          <w:color w:val="1F4E78"/>
          <w:sz w:val="32"/>
        </w:rPr>
        <w:t>审查复原稿 · 批注版</w:t>
      </w:r>
    </w:p>
    <w:p/>
    <w:p>
      <w:pPr>
        <w:jc w:val="center"/>
      </w:pPr>
      <w:r>
        <w:rPr>
          <w:sz w:val="24"/>
        </w:rPr>
        <w:t>日期：2026年9月8日</w:t>
      </w:r>
    </w:p>
    <w:p>
      <w:pPr>
        <w:jc w:val="center"/>
      </w:pPr>
      <w:r>
        <w:t>参赛队伍名称：</w:t>
      </w:r>
      <w:commentRangeStart w:id="0"/>
      <w:r>
        <w:rPr>
          <w:color w:val="9C5700"/>
          <w:highlight w:val="yellow"/>
        </w:rPr>
        <w:t>____________________</w:t>
      </w:r>
      <w:commentRangeEnd w:id="0"/>
      <w:r>
        <w:rPr>
          <w:rStyle w:val="CommentReference"/>
        </w:rPr>
        <w:commentReference w:id="0"/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重要说明：仓库未提供原始提交稿。本文件依据委托方给出的结构化 dump 复原，用于承载审查批注；它不是原始 Word 的无损副本。黄色高亮为批注落点，原生评论与文末批注索引使用同一问题编号。所有未知数据均保留为【请填写数据】或“未知”，未作任何推算。</w:t>
            </w:r>
          </w:p>
        </w:tc>
      </w:tr>
    </w:tbl>
    <w:p/>
    <w:p>
      <w:pPr>
        <w:jc w:val="center"/>
      </w:pPr>
      <w:r>
        <w:rPr>
          <w:color w:val="646464"/>
          <w:sz w:val="18"/>
        </w:rPr>
        <w:t>审查人：GPT-5.6　｜　审查日期：2026-09-08</w:t>
      </w:r>
    </w:p>
    <w:p>
      <w:r>
        <w:br w:type="page"/>
      </w:r>
    </w:p>
    <w:p>
      <w:pPr>
        <w:pStyle w:val="Heading1"/>
        <w:keepNext/>
      </w:pPr>
      <w:r>
        <w:t>执行审查摘要</w:t>
      </w:r>
    </w:p>
    <w:p>
      <w:r>
        <w:rPr>
          <w:b/>
          <w:color w:val="C00000"/>
        </w:rPr>
        <w:t>审查结论：当前版本不具备直接提交条件，建议在补齐阻断项并完成一次交叉复核后再定稿。</w:t>
      </w:r>
    </w:p>
    <w:p>
      <w:r>
        <w:t>报告已形成项目A、C的负荷预测与部分设备参数预测链路，包含数据体检、掩码清洗、TFT日前预测、五随机种子、样本外窗口、无泄漏扰动和物理闭环等要素。项目A逐时结果、项目C逐时结果及部分设备指标已有数据，项目A仿真节能率填报为5.54%。这些内容可作为定稿基础，但完整性、评分风险和方法一致性仍有明显缺口。</w:t>
      </w:r>
    </w:p>
    <w:p>
      <w:r>
        <w:t>首要问题是项目B几乎未形成可评审证据：逐时结果、设备结果及节能结果仍为占位符，极端工况表也有空缺，正文对B的分析很少。封面和基本信息表中的队伍名称同样未填写。上述问题会直接影响形式审查或分项评分，不能用推测值补齐。</w:t>
      </w:r>
    </w:p>
    <w:p>
      <w:r>
        <w:t>第二类风险集中在项目C设备指标。冷机功率第三项为24.33、水泵第三项为10.01；若该列确为MAPE，则均高于任务提示的≤6%目标。必须先核实原表列名、单位、公式和阈值出处，再决定修模或如实解释。表8只有项目A完整，项目C有策略描述却无节能数据，B/C和加权结果均空。</w:t>
      </w:r>
    </w:p>
    <w:p>
      <w:r>
        <w:t>第三类风险是评测协议一致性。§2.2将TFT写为主线，而§3.1说明项目A因考核日落在训练期内，改用仅含此前173个有效小时的每日重训GBM。该处理可能用于防泄漏，但需补足GBM配置、滚动边界、五种子含义及与TFT的关系，避免被质疑为临时换模或口径不一致。</w:t>
      </w:r>
    </w:p>
    <w:p>
      <w:r>
        <w:t>建议依次完成：队名及项目B全链路、项目C与加权节能、项目C设备指标复核、TFT—GBM口径说明，最后统一百分号、机构名称、表号和字数。由于缺少原始.docx，本次无法对122段、15表和各节字数作精确终检。</w:t>
      </w:r>
    </w:p>
    <w:p>
      <w:pPr>
        <w:pStyle w:val="Heading2"/>
        <w:keepNext/>
      </w:pPr>
      <w:r>
        <w:t>审查导航</w:t>
      </w:r>
    </w:p>
    <w:p>
      <w:pPr>
        <w:pStyle w:val="ListBullet"/>
      </w:pPr>
      <w:r>
        <w:t>阻断：队名、项目B全链路、表8 B/C与加权结果、原始源稿终检。</w:t>
      </w:r>
    </w:p>
    <w:p>
      <w:pPr>
        <w:pStyle w:val="ListBullet"/>
      </w:pPr>
      <w:r>
        <w:t>高风险：项目C设备MAPE、项目A评测协议与防泄漏、极端工况、范围边界。</w:t>
      </w:r>
    </w:p>
    <w:p>
      <w:pPr>
        <w:pStyle w:val="ListBullet"/>
      </w:pPr>
      <w:r>
        <w:t>中低风险：字数、单位、机构名、气象补值、公式、复现要素、日期与编辑规范。</w:t>
      </w:r>
    </w:p>
    <w:p>
      <w:r>
        <w:br w:type="page"/>
      </w:r>
    </w:p>
    <w:p>
      <w:pPr>
        <w:pStyle w:val="Heading1"/>
        <w:keepNext/>
      </w:pPr>
      <w:r>
        <w:t>结构化复原稿与批注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DDEB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本章只重排结构化 dump 中可核实的信息。未提供的段落、表头和单元格明确标注未知，不视为原文全文。</w:t>
            </w:r>
          </w:p>
        </w:tc>
      </w:tr>
    </w:tbl>
    <w:p>
      <w:pPr>
        <w:pStyle w:val="Heading2"/>
        <w:keepNext/>
      </w:pPr>
      <w:r>
        <w:t>基本信息  [SRC-T0]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481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481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抽取值</w:t>
            </w:r>
          </w:p>
        </w:tc>
      </w:tr>
      <w:tr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队伍名称</w:t>
            </w:r>
          </w:p>
        </w:tc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commentRangeStart w:id="1"/>
            <w:r>
              <w:rPr>
                <w:color w:val="9C5700"/>
                <w:highlight w:val="yellow"/>
              </w:rPr>
              <w:t>【请填写】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项目负责人</w:t>
            </w:r>
          </w:p>
        </w:tc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陈思安</w:t>
            </w:r>
          </w:p>
        </w:tc>
      </w:tr>
      <w:tr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团队成员</w:t>
            </w:r>
          </w:p>
        </w:tc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李春龙／南方电网综合能源（广东）有限公司／项目C模型；王天智／南方电网综合能源（广东）有限公司／项目C验证；乔镖／中国建筑科学院有限公司／项目A验证及优化；康旭源／中国科学院大学／核心建模机理及项目B验证；李铭宇／中国科学院大学／核心算法实现及项目B验证</w:t>
            </w:r>
          </w:p>
        </w:tc>
      </w:tr>
      <w:tr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所属单位</w:t>
            </w:r>
          </w:p>
        </w:tc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华北电力大学</w:t>
            </w:r>
          </w:p>
        </w:tc>
      </w:tr>
      <w:tr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联系电话</w:t>
            </w:r>
          </w:p>
        </w:tc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18910259047</w:t>
            </w:r>
          </w:p>
        </w:tc>
      </w:tr>
      <w:tr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电子邮箱</w:t>
            </w:r>
          </w:p>
        </w:tc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chensi.an@qq.com</w:t>
            </w:r>
          </w:p>
        </w:tc>
      </w:tr>
    </w:tbl>
    <w:p>
      <w:r>
        <w:t>机构名称核对：乔镖所属单位当前写作</w:t>
      </w:r>
      <w:commentRangeStart w:id="2"/>
      <w:r>
        <w:rPr>
          <w:color w:val="9C5700"/>
          <w:highlight w:val="yellow"/>
        </w:rPr>
        <w:t>“中国建筑科学院有限公司”</w:t>
      </w:r>
      <w:commentRangeEnd w:id="2"/>
      <w:r>
        <w:rPr>
          <w:rStyle w:val="CommentReference"/>
        </w:rPr>
        <w:commentReference w:id="2"/>
      </w:r>
      <w:r>
        <w:t>，未核实前不直接替换。</w:t>
      </w:r>
    </w:p>
    <w:p>
      <w:pPr>
        <w:pStyle w:val="Heading2"/>
        <w:keepNext/>
      </w:pPr>
      <w:r>
        <w:t>2.1 技术路线  [SRC-2.1]</w:t>
      </w:r>
    </w:p>
    <w:p>
      <w:pPr>
        <w:pStyle w:val="ListNumber"/>
      </w:pPr>
      <w:r>
        <w:t>数据体检：覆盖七类通病；以“≥80%测点同步不变”判定全站冻结。</w:t>
      </w:r>
    </w:p>
    <w:p>
      <w:pPr>
        <w:pStyle w:val="ListNumber"/>
      </w:pPr>
      <w:commentRangeStart w:id="3"/>
      <w:r>
        <w:rPr>
          <w:color w:val="9C5700"/>
          <w:highlight w:val="yellow"/>
        </w:rPr>
        <w:t>掩码化清洗：A弃用4月1日至22日、C弃用3月；气象坏段采用外部气象并加1°C补值。</w:t>
      </w:r>
      <w:commentRangeEnd w:id="3"/>
      <w:r>
        <w:rPr>
          <w:rStyle w:val="CommentReference"/>
        </w:rPr>
        <w:commentReference w:id="3"/>
      </w:r>
    </w:p>
    <w:p>
      <w:commentRangeStart w:id="4"/>
      <w:r>
        <w:rPr>
          <w:color w:val="9C5700"/>
          <w:highlight w:val="yellow"/>
        </w:rPr>
        <w:t>清洗后有效训练小时为A=1462、C=1285；当前未见逐规则样本损失漏斗。</w:t>
      </w:r>
      <w:commentRangeEnd w:id="4"/>
      <w:r>
        <w:rPr>
          <w:rStyle w:val="CommentReference"/>
        </w:rPr>
        <w:commentReference w:id="4"/>
      </w:r>
    </w:p>
    <w:p>
      <w:pPr>
        <w:pStyle w:val="ListNumber"/>
      </w:pPr>
      <w:r>
        <w:t>多输出时序深度模型执行日前24小时预测，输入历史168小时、日历和干球预报。</w:t>
      </w:r>
    </w:p>
    <w:p>
      <w:pPr>
        <w:pStyle w:val="ListNumber"/>
      </w:pPr>
      <w:r>
        <w:t>验证采用样本外窗口、5个随机种子及无泄漏扰动。</w:t>
      </w:r>
    </w:p>
    <w:p>
      <w:pPr>
        <w:pStyle w:val="ListNumber"/>
      </w:pPr>
      <w:r>
        <w:t>阶段范围为负荷与设备参数预测；</w:t>
      </w:r>
      <w:commentRangeStart w:id="5"/>
      <w:r>
        <w:rPr>
          <w:color w:val="9C5700"/>
          <w:highlight w:val="yellow"/>
        </w:rPr>
        <w:t>优化控制仿真不在本队本阶段范围内。</w:t>
      </w:r>
      <w:commentRangeEnd w:id="5"/>
      <w:r>
        <w:rPr>
          <w:rStyle w:val="CommentReference"/>
        </w:rPr>
        <w:commentReference w:id="5"/>
      </w:r>
    </w:p>
    <w:p>
      <w:pPr>
        <w:pStyle w:val="Heading2"/>
        <w:keepNext/>
      </w:pPr>
      <w:r>
        <w:t>2.2 多输出TFT联合预测  [SRC-2.2]</w:t>
      </w:r>
    </w:p>
    <w:p>
      <w:pPr>
        <w:pStyle w:val="ListBullet"/>
      </w:pPr>
      <w:r>
        <w:t>编码端：168小时输出及干湿球；解码端：日历三角编码及目标日干球预报。</w:t>
      </w:r>
    </w:p>
    <w:p>
      <w:pPr>
        <w:pStyle w:val="ListBullet"/>
      </w:pPr>
      <w:r>
        <w:t>输出：24 h×17维（A）、24 h×13维（C）。</w:t>
      </w:r>
    </w:p>
    <w:p>
      <w:pPr>
        <w:pStyle w:val="ListBullet"/>
      </w:pPr>
      <w:r>
        <w:t>参数：隐藏宽度A=128/C=64，LSTM=2层，heads=4，embedding=32，dropout=0.1。</w:t>
      </w:r>
    </w:p>
    <w:p>
      <w:pPr>
        <w:pStyle w:val="ListBullet"/>
      </w:pPr>
      <w:r>
        <w:t>训练：Adam，batch=32，最大100轮，early stopping=12，5种子均值。</w:t>
      </w:r>
    </w:p>
    <w:p>
      <w:pPr>
        <w:pStyle w:val="ListBullet"/>
      </w:pPr>
      <w:r>
        <w:t>冷机电度按小时差分训练，填报以起点前最近实测累计为基数累加。</w:t>
      </w:r>
    </w:p>
    <w:p>
      <w:pPr>
        <w:pStyle w:val="ListBullet"/>
      </w:pPr>
      <w:commentRangeStart w:id="6"/>
      <w:r>
        <w:rPr>
          <w:color w:val="9C5700"/>
          <w:highlight w:val="yellow"/>
        </w:rPr>
        <w:t>冷冻水流量由“冷量=流量×温差×4.187/3.6”派生；变量单位、密度和小温差保护未见说明。</w:t>
      </w:r>
      <w:commentRangeEnd w:id="6"/>
      <w:r>
        <w:rPr>
          <w:rStyle w:val="CommentReference"/>
        </w:rPr>
        <w:commentReference w:id="6"/>
      </w:r>
    </w:p>
    <w:p>
      <w:pPr>
        <w:pStyle w:val="ListBullet"/>
      </w:pPr>
      <w:r>
        <w:t>有效训练小时：A=1462、C=1285；测试窗口为数据期最后7天。</w:t>
      </w:r>
    </w:p>
    <w:p>
      <w:pPr>
        <w:pStyle w:val="ListBullet"/>
      </w:pPr>
      <w:commentRangeStart w:id="7"/>
      <w:r>
        <w:rPr>
          <w:color w:val="9C5700"/>
          <w:highlight w:val="yellow"/>
        </w:rPr>
        <w:t>项目B的输出维度、训练规模和模型参数：未知。</w:t>
      </w:r>
      <w:commentRangeEnd w:id="7"/>
      <w:r>
        <w:rPr>
          <w:rStyle w:val="CommentReference"/>
        </w:rPr>
        <w:commentReference w:id="7"/>
      </w:r>
    </w:p>
    <w:p>
      <w:pPr>
        <w:pStyle w:val="Heading2"/>
        <w:keepNext/>
      </w:pPr>
      <w:r>
        <w:t>2.3 创新点  [SRC-2.3]</w:t>
      </w:r>
    </w:p>
    <w:p>
      <w:pPr>
        <w:pStyle w:val="ListBullet"/>
      </w:pPr>
      <w:r>
        <w:t>证据链及“未来输入扰动后输出零变化”的无泄漏检查。</w:t>
      </w:r>
    </w:p>
    <w:p>
      <w:pPr>
        <w:pStyle w:val="ListBullet"/>
      </w:pPr>
      <w:r>
        <w:t>冷量—流量—温差物理闭环。</w:t>
      </w:r>
    </w:p>
    <w:p>
      <w:pPr>
        <w:pStyle w:val="ListBullet"/>
      </w:pPr>
      <w:r>
        <w:t>容量甜点U曲线。</w:t>
      </w:r>
    </w:p>
    <w:p>
      <w:pPr>
        <w:pStyle w:val="ListBullet"/>
      </w:pPr>
      <w:commentRangeStart w:id="8"/>
      <w:r>
        <w:rPr>
          <w:color w:val="9C5700"/>
          <w:highlight w:val="yellow"/>
        </w:rPr>
        <w:t>可复现交付。</w:t>
      </w:r>
      <w:commentRangeEnd w:id="8"/>
      <w:r>
        <w:rPr>
          <w:rStyle w:val="CommentReference"/>
        </w:rPr>
        <w:commentReference w:id="8"/>
      </w:r>
    </w:p>
    <w:p>
      <w:pPr>
        <w:pStyle w:val="Heading2"/>
        <w:keepNext/>
      </w:pPr>
      <w:r>
        <w:t>3.1 评测协议  [SRC-3.1]</w:t>
      </w:r>
    </w:p>
    <w:p>
      <w:r>
        <w:t>项目A考核日2025-07-16位于训练期内，表1改用</w:t>
      </w:r>
      <w:commentRangeStart w:id="9"/>
      <w:r>
        <w:rPr>
          <w:color w:val="9C5700"/>
          <w:highlight w:val="yellow"/>
        </w:rPr>
        <w:t>“每日重训梯度提升树”协议（仅该日前173个有效小时，5种子）</w:t>
      </w:r>
      <w:commentRangeEnd w:id="9"/>
      <w:r>
        <w:rPr>
          <w:rStyle w:val="CommentReference"/>
        </w:rPr>
        <w:commentReference w:id="9"/>
      </w:r>
      <w:r>
        <w:t>。</w:t>
      </w:r>
    </w:p>
    <w:p>
      <w:commentRangeStart w:id="10"/>
      <w:r>
        <w:rPr>
          <w:color w:val="9C5700"/>
          <w:highlight w:val="yellow"/>
        </w:rPr>
        <w:t>现有摘要未给出清洗、标准化、天气补值和累计电度基数的完整防泄漏时间边界。</w:t>
      </w:r>
      <w:commentRangeEnd w:id="10"/>
      <w:r>
        <w:rPr>
          <w:rStyle w:val="CommentReference"/>
        </w:rPr>
        <w:commentReference w:id="10"/>
      </w:r>
    </w:p>
    <w:p>
      <w:r>
        <w:t>项目C考核日2023-10-25为样本外测试窗首日，采用TFT集成。</w:t>
      </w:r>
    </w:p>
    <w:p>
      <w:r>
        <w:t>干球预报施加±1°C/±2°C噪声后，退化不超过0.2 pp。</w:t>
      </w:r>
    </w:p>
    <w:p>
      <w:pPr>
        <w:pStyle w:val="Heading2"/>
        <w:keepNext/>
      </w:pPr>
      <w:r>
        <w:t>表1：项目A 2025-07-16逐时结果  [SRC-T1]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实际</w:t>
            </w:r>
          </w:p>
        </w:tc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预测</w:t>
            </w:r>
          </w:p>
        </w:tc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绝对误差</w:t>
            </w:r>
          </w:p>
        </w:tc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相对误差</w:t>
            </w:r>
          </w:p>
        </w:tc>
      </w:tr>
      <w:tr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0:00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2423.04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2354.09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68.95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2.85%</w:t>
            </w:r>
          </w:p>
        </w:tc>
      </w:tr>
      <w:tr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其余23行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未知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未知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未知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原始dump未提供</w:t>
            </w:r>
          </w:p>
        </w:tc>
      </w:tr>
    </w:tbl>
    <w:p>
      <w:r>
        <w:t>dump说明：24小时已填满；除示例行外，具体数值未知。</w:t>
      </w:r>
    </w:p>
    <w:p>
      <w:pPr>
        <w:pStyle w:val="Heading2"/>
        <w:keepNext/>
      </w:pPr>
      <w:r>
        <w:t>表2：项目B 2021-07-15逐时结果  [SRC-T2]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时间范围</w:t>
            </w:r>
          </w:p>
        </w:tc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实际</w:t>
            </w:r>
          </w:p>
        </w:tc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预测</w:t>
            </w:r>
          </w:p>
        </w:tc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绝对误差</w:t>
            </w:r>
          </w:p>
        </w:tc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相对误差</w:t>
            </w:r>
          </w:p>
        </w:tc>
      </w:tr>
      <w:tr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24小时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commentRangeStart w:id="11"/>
            <w:r>
              <w:rPr>
                <w:color w:val="9C5700"/>
                <w:highlight w:val="yellow"/>
              </w:rPr>
              <w:t>【请填写数据】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【请填写数据】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【请填写数据】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【请填写数据】</w:t>
            </w:r>
          </w:p>
        </w:tc>
      </w:tr>
    </w:tbl>
    <w:p>
      <w:pPr>
        <w:pStyle w:val="Heading2"/>
        <w:keepNext/>
      </w:pPr>
      <w:r>
        <w:t>表3：项目C 2023-10-25逐时结果  [SRC-T3]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值1</w:t>
            </w:r>
          </w:p>
        </w:tc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值2</w:t>
            </w:r>
          </w:p>
        </w:tc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值3</w:t>
            </w:r>
          </w:p>
        </w:tc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相对误差（原表单位待核）</w:t>
            </w:r>
          </w:p>
        </w:tc>
      </w:tr>
      <w:tr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0:00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497.7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505.2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7.5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commentRangeStart w:id="12"/>
            <w:r>
              <w:rPr>
                <w:color w:val="9C5700"/>
                <w:highlight w:val="yellow"/>
              </w:rPr>
              <w:t>1.51（dump提示部分行缺少%）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</w:tr>
      <w:tr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其余23行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未知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未知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未知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原始dump未提供</w:t>
            </w:r>
          </w:p>
        </w:tc>
      </w:tr>
    </w:tbl>
    <w:p>
      <w:pPr>
        <w:pStyle w:val="Heading2"/>
        <w:keepNext/>
      </w:pPr>
      <w:r>
        <w:t>表4  [SRC-T4]</w:t>
      </w:r>
    </w:p>
    <w:p>
      <w:commentRangeStart w:id="13"/>
      <w:r>
        <w:rPr>
          <w:color w:val="9C5700"/>
          <w:highlight w:val="yellow"/>
        </w:rPr>
        <w:t>未知：原始dump未提供标题、行列或数值。</w:t>
      </w:r>
      <w:commentRangeEnd w:id="13"/>
      <w:r>
        <w:rPr>
          <w:rStyle w:val="CommentReference"/>
        </w:rPr>
        <w:commentReference w:id="13"/>
      </w:r>
    </w:p>
    <w:p>
      <w:pPr>
        <w:pStyle w:val="Heading2"/>
        <w:keepNext/>
      </w:pPr>
      <w:r>
        <w:t>表5：极端工况负荷预测  [SRC-T5A]、[SRC-T5B-C]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项目/工况</w:t>
            </w:r>
          </w:p>
        </w:tc>
        <w:tc>
          <w:tcPr>
            <w:tcW w:type="dxa" w:w="321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MAPE或状态</w:t>
            </w:r>
          </w:p>
        </w:tc>
        <w:tc>
          <w:tcPr>
            <w:tcW w:type="dxa" w:w="321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来源边界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A/高温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commentRangeStart w:id="14"/>
            <w:r>
              <w:rPr>
                <w:color w:val="9C5700"/>
                <w:highlight w:val="yellow"/>
              </w:rPr>
              <w:t>7.93（%待核）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dump给定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A/高湿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7.85（%待核）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dump给定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A/突变等其他行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未知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需从原稿核对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B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commentRangeStart w:id="15"/>
            <w:r>
              <w:rPr>
                <w:color w:val="9C5700"/>
                <w:highlight w:val="yellow"/>
              </w:rPr>
              <w:t>多数空或仅标准行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具体位置未知</w:t>
            </w:r>
          </w:p>
        </w:tc>
      </w:tr>
      <w:tr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多数空或仅标准行</w:t>
            </w:r>
          </w:p>
        </w:tc>
        <w:tc>
          <w:tcPr>
            <w:tcW w:type="dxa" w:w="3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具体位置未知</w:t>
            </w:r>
          </w:p>
        </w:tc>
      </w:tr>
    </w:tbl>
    <w:p>
      <w:pPr>
        <w:pStyle w:val="Heading2"/>
        <w:keepNext/>
      </w:pPr>
      <w:r>
        <w:t>表6：设备参数预测  [SRC-T6A]、[SRC-T6B]、[SRC-T6C]</w:t>
      </w:r>
    </w:p>
    <w:p>
      <w:pPr>
        <w:pStyle w:val="Heading3"/>
        <w:keepNext/>
      </w:pPr>
      <w:r>
        <w:t>表6A 项目A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481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参数</w:t>
            </w:r>
          </w:p>
        </w:tc>
        <w:tc>
          <w:tcPr>
            <w:tcW w:type="dxa" w:w="481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MAPE</w:t>
            </w:r>
          </w:p>
        </w:tc>
      </w:tr>
      <w:tr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冷机功率</w:t>
            </w:r>
          </w:p>
        </w:tc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5.72%</w:t>
            </w:r>
          </w:p>
        </w:tc>
      </w:tr>
      <w:tr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commentRangeStart w:id="16"/>
            <w:r>
              <w:rPr>
                <w:color w:val="9C5700"/>
                <w:highlight w:val="yellow"/>
              </w:rPr>
              <w:t>水泵（对象待明确）</w:t>
            </w:r>
            <w:commentRangeEnd w:id="16"/>
            <w:r>
              <w:rPr>
                <w:rStyle w:val="CommentReference"/>
              </w:rPr>
              <w:commentReference w:id="16"/>
            </w:r>
          </w:p>
        </w:tc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5.87%</w:t>
            </w:r>
          </w:p>
        </w:tc>
      </w:tr>
      <w:tr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冷冻水流量</w:t>
            </w:r>
          </w:p>
        </w:tc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4.82%</w:t>
            </w:r>
          </w:p>
        </w:tc>
      </w:tr>
      <w:tr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其他</w:t>
            </w:r>
          </w:p>
        </w:tc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已填，具体值未知</w:t>
            </w:r>
          </w:p>
        </w:tc>
      </w:tr>
    </w:tbl>
    <w:p>
      <w:pPr>
        <w:pStyle w:val="Heading3"/>
        <w:keepNext/>
      </w:pPr>
      <w:r>
        <w:t>表6B 项目B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481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范围</w:t>
            </w:r>
          </w:p>
        </w:tc>
        <w:tc>
          <w:tcPr>
            <w:tcW w:type="dxa" w:w="481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全部设备参数</w:t>
            </w:r>
          </w:p>
        </w:tc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commentRangeStart w:id="17"/>
            <w:r>
              <w:rPr>
                <w:color w:val="9C5700"/>
                <w:highlight w:val="yellow"/>
              </w:rPr>
              <w:t>【请填写数据】</w:t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</w:tr>
    </w:tbl>
    <w:p>
      <w:pPr>
        <w:pStyle w:val="Heading3"/>
        <w:keepNext/>
      </w:pPr>
      <w:r>
        <w:t>表6C 项目C</w:t>
      </w:r>
    </w:p>
    <w:p>
      <w:r>
        <w:t>注意：dump未提供三个数值列的表头，以下按原顺序记录，不推断列义。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参数</w:t>
            </w:r>
          </w:p>
        </w:tc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值1</w:t>
            </w:r>
          </w:p>
        </w:tc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值2</w:t>
            </w:r>
          </w:p>
        </w:tc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值3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冷机功率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94.2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69.8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commentRangeStart w:id="18"/>
            <w:r>
              <w:rPr>
                <w:color w:val="9C5700"/>
                <w:highlight w:val="yellow"/>
              </w:rPr>
              <w:t>24.33</w:t>
            </w:r>
            <w:commentRangeEnd w:id="18"/>
            <w:r>
              <w:rPr>
                <w:rStyle w:val="CommentReference"/>
              </w:rPr>
              <w:commentReference w:id="18"/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commentRangeStart w:id="19"/>
            <w:r>
              <w:rPr>
                <w:color w:val="9C5700"/>
                <w:highlight w:val="yellow"/>
              </w:rPr>
              <w:t>水泵（对象待明确）</w:t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7.6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7.1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commentRangeStart w:id="20"/>
            <w:r>
              <w:rPr>
                <w:color w:val="9C5700"/>
                <w:highlight w:val="yellow"/>
              </w:rPr>
              <w:t>10.01</w:t>
            </w:r>
            <w:commentRangeEnd w:id="20"/>
            <w:r>
              <w:rPr>
                <w:rStyle w:val="CommentReference"/>
              </w:rPr>
              <w:commentReference w:id="20"/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冷冻水流量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193.6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191.3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3.56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其他设备参数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未知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未知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未知</w:t>
            </w:r>
          </w:p>
        </w:tc>
      </w:tr>
    </w:tbl>
    <w:p>
      <w:pPr>
        <w:pStyle w:val="Heading2"/>
        <w:keepNext/>
      </w:pPr>
      <w:r>
        <w:t>表7：极端工况设备参数  [SRC-T7]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481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81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commentRangeStart w:id="21"/>
            <w:r>
              <w:rPr>
                <w:color w:val="9C5700"/>
                <w:highlight w:val="yellow"/>
              </w:rPr>
              <w:t>部分填写，具体行和值未知</w:t>
            </w:r>
            <w:commentRangeEnd w:id="21"/>
            <w:r>
              <w:rPr>
                <w:rStyle w:val="CommentReference"/>
              </w:rPr>
              <w:commentReference w:id="21"/>
            </w:r>
          </w:p>
        </w:tc>
      </w:tr>
      <w:tr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B</w:t>
            </w:r>
          </w:p>
        </w:tc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commentRangeStart w:id="22"/>
            <w:r>
              <w:rPr>
                <w:color w:val="9C5700"/>
                <w:highlight w:val="yellow"/>
              </w:rPr>
              <w:t>空</w:t>
            </w:r>
            <w:commentRangeEnd w:id="22"/>
            <w:r>
              <w:rPr>
                <w:rStyle w:val="CommentReference"/>
              </w:rPr>
              <w:commentReference w:id="22"/>
            </w:r>
          </w:p>
        </w:tc>
      </w:tr>
      <w:tr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4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部分填写，具体行和值未知</w:t>
            </w:r>
          </w:p>
        </w:tc>
      </w:tr>
    </w:tbl>
    <w:p>
      <w:pPr>
        <w:pStyle w:val="Heading2"/>
        <w:keepNext/>
      </w:pPr>
      <w:r>
        <w:t>5 仿真节能  [SRC-5/T8]</w:t>
      </w:r>
    </w:p>
    <w:p>
      <w:pPr>
        <w:pStyle w:val="Heading3"/>
        <w:keepNext/>
      </w:pPr>
      <w:r>
        <w:t>表8 仿真节能结果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基准能耗</w:t>
            </w:r>
          </w:p>
        </w:tc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AI能耗</w:t>
            </w:r>
          </w:p>
        </w:tc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节能量</w:t>
            </w:r>
          </w:p>
        </w:tc>
        <w:tc>
          <w:tcPr>
            <w:tcW w:type="dxa" w:w="192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节能率</w:t>
            </w:r>
          </w:p>
        </w:tc>
      </w:tr>
      <w:tr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358.12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338.28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19.84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5.54%</w:t>
            </w:r>
          </w:p>
        </w:tc>
      </w:tr>
      <w:tr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B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commentRangeStart w:id="23"/>
            <w:r>
              <w:rPr>
                <w:color w:val="9C5700"/>
                <w:highlight w:val="yellow"/>
              </w:rPr>
              <w:t>【请填写数据】</w:t>
            </w:r>
            <w:commentRangeEnd w:id="23"/>
            <w:r>
              <w:rPr>
                <w:rStyle w:val="CommentReference"/>
              </w:rPr>
              <w:commentReference w:id="23"/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【请填写数据】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【请填写数据】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【请填写数据】</w:t>
            </w:r>
          </w:p>
        </w:tc>
      </w:tr>
      <w:tr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commentRangeStart w:id="24"/>
            <w:r>
              <w:rPr>
                <w:color w:val="9C5700"/>
                <w:highlight w:val="yellow"/>
              </w:rPr>
              <w:t>【请填写数据】</w:t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【请填写数据】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【请填写数据】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【请填写数据】</w:t>
            </w:r>
          </w:p>
        </w:tc>
      </w:tr>
      <w:tr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加权结果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commentRangeStart w:id="25"/>
            <w:r>
              <w:rPr>
                <w:color w:val="9C5700"/>
                <w:highlight w:val="yellow"/>
              </w:rPr>
              <w:t>空白</w:t>
            </w:r>
            <w:commentRangeEnd w:id="25"/>
            <w:r>
              <w:rPr>
                <w:rStyle w:val="CommentReference"/>
              </w:rPr>
              <w:commentReference w:id="25"/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空白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空白</w:t>
            </w:r>
          </w:p>
        </w:tc>
        <w:tc>
          <w:tcPr>
            <w:tcW w:type="dxa" w:w="192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9"/>
          </w:tcPr>
          <w:p>
            <w:r>
              <w:t>空白</w:t>
            </w:r>
          </w:p>
        </w:tc>
      </w:tr>
    </w:tbl>
    <w:p>
      <w:commentRangeStart w:id="26"/>
      <w:r>
        <w:rPr>
          <w:color w:val="9C5700"/>
          <w:highlight w:val="yellow"/>
        </w:rPr>
        <w:t>表头未见能耗单位、统计周期、基准边界或官方加权公式。</w:t>
      </w:r>
      <w:commentRangeEnd w:id="26"/>
      <w:r>
        <w:rPr>
          <w:rStyle w:val="CommentReference"/>
        </w:rPr>
        <w:commentReference w:id="26"/>
      </w:r>
    </w:p>
    <w:p>
      <w:pPr>
        <w:pStyle w:val="Heading3"/>
        <w:keepNext/>
      </w:pPr>
      <w:r>
        <w:t>5.2 结果解释  [SRC-5.2]</w:t>
      </w:r>
    </w:p>
    <w:p>
      <w:pPr>
        <w:pStyle w:val="ListBullet"/>
      </w:pPr>
      <w:r>
        <w:t>A：节能有限，原因包括夏热冬暖、内热稳定、负荷率低。</w:t>
      </w:r>
    </w:p>
    <w:p>
      <w:pPr>
        <w:pStyle w:val="ListBullet"/>
      </w:pPr>
      <w:r>
        <w:t>C：描述冷却塔风机与冷却水泵变频协同策略，但表8无C结果。</w:t>
      </w:r>
    </w:p>
    <w:p>
      <w:pPr>
        <w:pStyle w:val="ListBullet"/>
      </w:pPr>
      <w:commentRangeStart w:id="27"/>
      <w:r>
        <w:rPr>
          <w:color w:val="9C5700"/>
          <w:highlight w:val="yellow"/>
        </w:rPr>
        <w:t>B：几乎未写；具体原文未知。</w:t>
      </w:r>
      <w:commentRangeEnd w:id="27"/>
      <w:r>
        <w:rPr>
          <w:rStyle w:val="CommentReference"/>
        </w:rPr>
        <w:commentReference w:id="27"/>
      </w:r>
    </w:p>
    <w:p>
      <w:pPr>
        <w:pStyle w:val="Heading3"/>
        <w:keepNext/>
      </w:pPr>
      <w:r>
        <w:t>5.3 稳健性与校验  [SRC-5.3]</w:t>
      </w:r>
    </w:p>
    <w:p>
      <w:commentRangeStart w:id="28"/>
      <w:r>
        <w:rPr>
          <w:color w:val="9C5700"/>
          <w:highlight w:val="yellow"/>
        </w:rPr>
        <w:t>负荷跟踪日MAPE为8.9%~19.8%，对象和统计范围未说明。</w:t>
      </w:r>
      <w:commentRangeEnd w:id="28"/>
      <w:r>
        <w:rPr>
          <w:rStyle w:val="CommentReference"/>
        </w:rPr>
        <w:commentReference w:id="28"/>
      </w:r>
    </w:p>
    <w:p>
      <w:pPr>
        <w:pStyle w:val="ListBullet"/>
      </w:pPr>
      <w:r>
        <w:t>预报噪声传导有限。</w:t>
      </w:r>
    </w:p>
    <w:p>
      <w:pPr>
        <w:pStyle w:val="ListBullet"/>
      </w:pPr>
      <w:r>
        <w:t>进行物理范围校验。</w:t>
      </w:r>
    </w:p>
    <w:p>
      <w:pPr>
        <w:pStyle w:val="Heading2"/>
        <w:keepNext/>
      </w:pPr>
      <w:r>
        <w:t>6.1 可迁移性  [SRC-6.1]</w:t>
      </w:r>
    </w:p>
    <w:p>
      <w:r>
        <w:t>A、C使用同一架构训练，仅调整隐藏宽度；项目B情况未知。</w:t>
      </w:r>
    </w:p>
    <w:p>
      <w:pPr>
        <w:pStyle w:val="Heading2"/>
        <w:keepNext/>
      </w:pPr>
      <w:r>
        <w:t>6.2 安全防线  [SRC-6.2]</w:t>
      </w:r>
    </w:p>
    <w:p>
      <w:r>
        <w:t>三层防线：拒绝出数、清洗、输出校验。</w:t>
      </w:r>
    </w:p>
    <w:p>
      <w:pPr>
        <w:pStyle w:val="Heading2"/>
        <w:keepNext/>
      </w:pPr>
      <w:r>
        <w:t>模板合规待核</w:t>
      </w:r>
    </w:p>
    <w:p>
      <w:commentRangeStart w:id="29"/>
      <w:r>
        <w:rPr>
          <w:color w:val="9C5700"/>
          <w:highlight w:val="yellow"/>
        </w:rPr>
        <w:t>原始Word各节字数无法从摘要精确核验：2.1/2.2/4.1、第5章及5.2/5.3/6.x须按赛方口径复核。</w:t>
      </w:r>
      <w:commentRangeEnd w:id="29"/>
      <w:r>
        <w:rPr>
          <w:rStyle w:val="CommentReference"/>
        </w:rPr>
        <w:commentReference w:id="29"/>
      </w:r>
    </w:p>
    <w:p>
      <w:pPr>
        <w:pStyle w:val="Heading2"/>
        <w:keepNext/>
      </w:pPr>
      <w:r>
        <w:t>声明  [SRC-DECL]</w:t>
      </w:r>
    </w:p>
    <w:p>
      <w:r>
        <w:t>声明日期：2026-9-8。</w:t>
      </w:r>
    </w:p>
    <w:p>
      <w:commentRangeStart w:id="30"/>
      <w:r>
        <w:rPr>
          <w:color w:val="9C5700"/>
          <w:highlight w:val="yellow"/>
        </w:rPr>
        <w:t>签字／盖章状态：未知，须在正式源文件或导出PDF中确认。</w:t>
      </w:r>
      <w:commentRangeEnd w:id="30"/>
      <w:r>
        <w:rPr>
          <w:rStyle w:val="CommentReference"/>
        </w:rPr>
        <w:commentReference w:id="30"/>
      </w:r>
    </w:p>
    <w:p>
      <w:r>
        <w:br w:type="page"/>
      </w:r>
    </w:p>
    <w:p>
      <w:pPr>
        <w:pStyle w:val="Heading1"/>
        <w:keepNext/>
      </w:pPr>
      <w:r>
        <w:t>批注索引（完整）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DDEB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下表与原生Word评论使用同一编号。阻断项未闭环前不建议提交；“高”项应在负责人定稿前完成复核。完整论证与验收方法见同目录 review-issues-GPT56-20260908.md。</w:t>
            </w:r>
          </w:p>
        </w:tc>
      </w:tr>
    </w:tbl>
    <w:p>
      <w:pPr>
        <w:pStyle w:val="Heading2"/>
        <w:keepNext/>
      </w:pPr>
      <w:r>
        <w:t>阻断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锚点</w:t>
            </w:r>
          </w:p>
        </w:tc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问题</w:t>
            </w:r>
          </w:p>
        </w:tc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处理动作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CCCC"/>
          </w:tcPr>
          <w:p>
            <w:r>
              <w:rPr>
                <w:b/>
              </w:rPr>
              <w:t>[BLOCK-01]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[SRC-COVER]、[SRC-T0]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封面与基本信息缺少队伍名称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由负责人确认正式队名，在封面和基本信息表同步填写，并与报名信息逐字核对。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CCCC"/>
          </w:tcPr>
          <w:p>
            <w:r>
              <w:rPr>
                <w:b/>
              </w:rPr>
              <w:t>[BLOCK-02]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[SRC-T2]、[SRC-T5B-C]、[SRC-T6B]、[SRC-T7]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项目B核心结果链路缺失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从最终评测脚本导出逐时、极端工况和设备结果，保留计算日志；不得推测或留占位符。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CCCC"/>
          </w:tcPr>
          <w:p>
            <w:r>
              <w:rPr>
                <w:b/>
              </w:rPr>
              <w:t>[BLOCK-03]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[SRC-5/T8]、[SRC-5.2]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节能结果不完整，整体成绩无法形成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按官方基准和权重补齐B、C及加权结果，注明单位、周期、边界和公式。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CCCC"/>
          </w:tcPr>
          <w:p>
            <w:r>
              <w:rPr>
                <w:b/>
              </w:rPr>
              <w:t>[BLOCK-04]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[SRC-无法复原的范围]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原始提交稿缺席，无法完成最终格式与逐项核验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取得正式源文件，在原稿上完成122段、15表、占位符、字数、样式和签字终检。</w:t>
            </w:r>
          </w:p>
        </w:tc>
      </w:tr>
    </w:tbl>
    <w:p>
      <w:pPr>
        <w:pStyle w:val="Heading2"/>
        <w:keepNext/>
      </w:pPr>
      <w:r>
        <w:t>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锚点</w:t>
            </w:r>
          </w:p>
        </w:tc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问题</w:t>
            </w:r>
          </w:p>
        </w:tc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处理动作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5CD"/>
          </w:tcPr>
          <w:p>
            <w:r>
              <w:rPr>
                <w:b/>
              </w:rPr>
              <w:t>[HIGH-01]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[SRC-T6C]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项目C设备预测指标可能明显超阈值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先核实第三列是否为MAPE；若是，复算24.33和10.01并核对≤6%阈值出处，不能直接改数。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5CD"/>
          </w:tcPr>
          <w:p>
            <w:r>
              <w:rPr>
                <w:b/>
              </w:rPr>
              <w:t>[HIGH-02]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[SRC-2.2]、[SRC-3.1]、[SRC-T1]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TFT主线与项目A每日重训GBM口径不一致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补充换模触发条件、滚动边界、特征、超参、重训频率、随机性来源和适用表格。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5CD"/>
          </w:tcPr>
          <w:p>
            <w:r>
              <w:rPr>
                <w:b/>
              </w:rPr>
              <w:t>[HIGH-03]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[SRC-2.2]、[SRC-3.1]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项目A考核日在所述训练期内，防泄漏证据不足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提供时间轴，并证明清洗、标准化、外部天气和累计电度基数均未使用未来信息。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5CD"/>
          </w:tcPr>
          <w:p>
            <w:r>
              <w:rPr>
                <w:b/>
              </w:rPr>
              <w:t>[HIGH-04]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[SRC-T5A]、[SRC-T5B-C]、[SRC-T7]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极端工况结果未形成完整横向证据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按模板补齐A/B/C每个工况的定义、样本数和指标；无样本时写合规说明，不留空。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5CD"/>
          </w:tcPr>
          <w:p>
            <w:r>
              <w:rPr>
                <w:b/>
              </w:rPr>
              <w:t>[HIGH-05]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[SRC-2.2]、[SRC-5.2]、[SRC-6.1]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项目B缺少与A/C同等级的方法说明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补充B的数据、模型、训练窗、验证协议、节能策略与结果解释。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5CD"/>
          </w:tcPr>
          <w:p>
            <w:r>
              <w:rPr>
                <w:b/>
              </w:rPr>
              <w:t>[HIGH-06]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[SRC-2.1]、[SRC-5/T8]、[SRC-5.2]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范围声明与第5章节能填报存在边界冲突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区分本队建模、联合仿真、合作方策略和最终提交责任，说明第5章数据来源。</w:t>
            </w:r>
          </w:p>
        </w:tc>
      </w:tr>
    </w:tbl>
    <w:p>
      <w:pPr>
        <w:pStyle w:val="Heading2"/>
        <w:keepNext/>
      </w:pPr>
      <w:r>
        <w:t>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锚点</w:t>
            </w:r>
          </w:p>
        </w:tc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问题</w:t>
            </w:r>
          </w:p>
        </w:tc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处理动作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/>
          </w:tcPr>
          <w:p>
            <w:r>
              <w:rPr>
                <w:b/>
              </w:rPr>
              <w:t>[MED-01]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[SRC-2.1]、[SRC-2.2]、[SRC-5]、[SRC-6]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模板字数限制尚未验证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在正式Word中按赛方口径逐节计数；当前摘要不足以作精确字数判断。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/>
          </w:tcPr>
          <w:p>
            <w:r>
              <w:rPr>
                <w:b/>
              </w:rPr>
              <w:t>[MED-02]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[SRC-T3]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项目C表3相对误差单位不统一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核对公式后统一百分数或比例格式，表头与单元格采用同一单位。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/>
          </w:tcPr>
          <w:p>
            <w:r>
              <w:rPr>
                <w:b/>
              </w:rPr>
              <w:t>[MED-03]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[SRC-T5A]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极端工况MAPE的百分号与小数口径需统一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统一使用“MAPE（%）”表头或逐值百分号，不要混用。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/>
          </w:tcPr>
          <w:p>
            <w:r>
              <w:rPr>
                <w:b/>
              </w:rPr>
              <w:t>[MED-04]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[SRC-T0]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机构名称疑似不规范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以报名材料或单位官网核对“中国建筑科学院有限公司”是否应为“中国建筑科学研究院有限公司”。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/>
          </w:tcPr>
          <w:p>
            <w:r>
              <w:rPr>
                <w:b/>
              </w:rPr>
              <w:t>[MED-05]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[SRC-2.1]、[SRC-3.1]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外部气象补值“+1°C”的依据与泄漏边界未说明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说明数据源、发布时间、站点映射、偏差估计和考核时可获得性。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/>
          </w:tcPr>
          <w:p>
            <w:r>
              <w:rPr>
                <w:b/>
              </w:rPr>
              <w:t>[MED-06]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[SRC-2.1]、[SRC-2.2]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数据弃用与有效小时数缺少量化依据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增加从原始小时数到A=1462、C=1285的清洗漏斗及弃用区间证据。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/>
          </w:tcPr>
          <w:p>
            <w:r>
              <w:rPr>
                <w:b/>
              </w:rPr>
              <w:t>[MED-07]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[SRC-2.2]、[SRC-2.3]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冷量恒等式及派生流量的单位链需补全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列明变量单位、密度假设、采样周期、符号方向和小温差保护。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/>
          </w:tcPr>
          <w:p>
            <w:r>
              <w:rPr>
                <w:b/>
              </w:rPr>
              <w:t>[MED-08]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[SRC-5/T8]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节能计算边界、单位和加权公式未呈现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补表头单位、周期、设备范围、基准、节能率公式和官方权重。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/>
          </w:tcPr>
          <w:p>
            <w:r>
              <w:rPr>
                <w:b/>
              </w:rPr>
              <w:t>[MED-09]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[SRC-5.3]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8.9%~19.8%的对象和统计范围不清楚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明确项目、日期、样本数和最小—最大口径，使端点可追溯。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/>
          </w:tcPr>
          <w:p>
            <w:r>
              <w:rPr>
                <w:b/>
              </w:rPr>
              <w:t>[MED-10]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[SRC-2.3]、[SRC-3.1]、[SRC-6.1]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复现要素对GBM和B项目覆盖不足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增加依赖版本、种子、数据版本、代码提交号和运行入口。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CC"/>
          </w:tcPr>
          <w:p>
            <w:r>
              <w:rPr>
                <w:b/>
              </w:rPr>
              <w:t>[MED-11]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[SRC-DECL]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声明的签字完成状态未知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在正式Word或导出PDF中确认签字/盖章实际存在并满足规则。</w:t>
            </w:r>
          </w:p>
        </w:tc>
      </w:tr>
    </w:tbl>
    <w:p>
      <w:pPr>
        <w:pStyle w:val="Heading2"/>
        <w:keepNext/>
      </w:pPr>
      <w:r>
        <w:t>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锚点</w:t>
            </w:r>
          </w:p>
        </w:tc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问题</w:t>
            </w:r>
          </w:p>
        </w:tc>
        <w:tc>
          <w:tcPr>
            <w:tcW w:type="dxa" w:w="24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处理动作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/>
          </w:tcPr>
          <w:p>
            <w:r>
              <w:rPr>
                <w:b/>
              </w:rPr>
              <w:t>[LOW-01]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[SRC-COVER]、[SRC-DECL]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日期格式不统一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按模板统一“2026年9月8日”和“2026-9-8”的格式。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/>
          </w:tcPr>
          <w:p>
            <w:r>
              <w:rPr>
                <w:b/>
              </w:rPr>
              <w:t>[LOW-02]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[SRC-2.1]、[SRC-2.2]、[SRC-3.1]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术语、符号和中英文间距需统一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首次定义缩写，统一24 h、168 h、百分点等表达。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/>
          </w:tcPr>
          <w:p>
            <w:r>
              <w:rPr>
                <w:b/>
              </w:rPr>
              <w:t>[LOW-03]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[SRC-T6A]、[SRC-T6C]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“水泵”指标对象过于笼统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明确冷冻水泵、冷却水泵、总泵功率或聚合口径。</w:t>
            </w:r>
          </w:p>
        </w:tc>
      </w:tr>
      <w:tr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2F0D9"/>
          </w:tcPr>
          <w:p>
            <w:r>
              <w:rPr>
                <w:b/>
              </w:rPr>
              <w:t>[LOW-04]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[SRC-T4]、[SRC-T5]、[SRC-T6]、[SRC-T7]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表号与子表命名应做终稿巡检</w:t>
            </w:r>
          </w:p>
        </w:tc>
        <w:tc>
          <w:tcPr>
            <w:tcW w:type="dxa" w:w="2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在正式源Word中更新题注和交叉引用，核对表序连续性。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提交前最小闭环</w:t>
      </w:r>
    </w:p>
    <w:p>
      <w:pPr>
        <w:pStyle w:val="ListNumber"/>
      </w:pPr>
      <w:r>
        <w:t>负责人确认队名并消除全部模板占位符。</w:t>
      </w:r>
    </w:p>
    <w:p>
      <w:pPr>
        <w:pStyle w:val="ListNumber"/>
      </w:pPr>
      <w:r>
        <w:t>项目B负责人补齐逐时、极端、设备和节能结果及计算日志。</w:t>
      </w:r>
    </w:p>
    <w:p>
      <w:pPr>
        <w:pStyle w:val="ListNumber"/>
      </w:pPr>
      <w:r>
        <w:t>节能负责人补齐项目C与加权结果，并注明边界、单位和权重。</w:t>
      </w:r>
    </w:p>
    <w:p>
      <w:pPr>
        <w:pStyle w:val="ListNumber"/>
      </w:pPr>
      <w:r>
        <w:t>模型负责人核对表6C列义及MAPE阈值，复算24.33和10.01。</w:t>
      </w:r>
    </w:p>
    <w:p>
      <w:pPr>
        <w:pStyle w:val="ListNumber"/>
      </w:pPr>
      <w:r>
        <w:t>文稿负责人补足TFT—GBM协议差异和全链路防泄漏证据。</w:t>
      </w:r>
    </w:p>
    <w:p>
      <w:pPr>
        <w:pStyle w:val="ListNumber"/>
      </w:pPr>
      <w:r>
        <w:t>在正式源.docx上完成15表、122段、字数、单位、机构名、签字和格式终检。</w:t>
      </w:r>
    </w:p>
    <w:p>
      <w:pPr>
        <w:pStyle w:val="Heading2"/>
        <w:keepNext/>
      </w:pPr>
      <w:r>
        <w:t>来源限制</w:t>
      </w:r>
    </w:p>
    <w:p>
      <w:r>
        <w:t>本文件没有、也不声称复原结构化dump未提供的内容：原稿122个段落的逐段文字、15张表的完整表头与全部行列、表1和表3除示例外的逐时值、表4全部内容，以及表5—表7未列出的行。</w:t>
      </w:r>
    </w:p>
    <w:p>
      <w:r>
        <w:t>竞赛数据处理原则：未知即标未知；占位符保持占位；未经原始数据与脚本复算，不修改任何竞赛数字。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361" w:header="567" w:footer="567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[BLOCK-01｜阻断] 封面与基本信息缺少队伍名称</w:t>
      </w:r>
    </w:p>
    <w:p>
      <w:pPr>
        <w:pStyle w:val="CommentText"/>
      </w:pPr>
      <w:r>
        <w:t>锚点：[SRC-COVER]、[SRC-T0]</w:t>
      </w:r>
    </w:p>
    <w:p>
      <w:pPr>
        <w:pStyle w:val="CommentText"/>
      </w:pPr>
      <w:r>
        <w:t>建议：由负责人确认正式队名，在封面和基本信息表同步填写，并与报名信息逐字核对。</w:t>
      </w:r>
    </w:p>
  </w:comment>
  <w:comment w:id="1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[BLOCK-01｜阻断] 封面与基本信息缺少队伍名称</w:t>
      </w:r>
    </w:p>
    <w:p>
      <w:pPr>
        <w:pStyle w:val="CommentText"/>
      </w:pPr>
      <w:r>
        <w:t>锚点：[SRC-COVER]、[SRC-T0]</w:t>
      </w:r>
    </w:p>
    <w:p>
      <w:pPr>
        <w:pStyle w:val="CommentText"/>
      </w:pPr>
      <w:r>
        <w:t>建议：由负责人确认正式队名，在封面和基本信息表同步填写，并与报名信息逐字核对。</w:t>
      </w:r>
    </w:p>
  </w:comment>
  <w:comment w:id="2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[MED-04｜中] 机构名称疑似不规范</w:t>
      </w:r>
    </w:p>
    <w:p>
      <w:pPr>
        <w:pStyle w:val="CommentText"/>
      </w:pPr>
      <w:r>
        <w:t>锚点：[SRC-T0]</w:t>
      </w:r>
    </w:p>
    <w:p>
      <w:pPr>
        <w:pStyle w:val="CommentText"/>
      </w:pPr>
      <w:r>
        <w:t>建议：以报名材料或单位官网核对“中国建筑科学院有限公司”是否应为“中国建筑科学研究院有限公司”。</w:t>
      </w:r>
    </w:p>
  </w:comment>
  <w:comment w:id="3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[MED-05｜中] 外部气象补值“+1°C”的依据与泄漏边界未说明</w:t>
      </w:r>
    </w:p>
    <w:p>
      <w:pPr>
        <w:pStyle w:val="CommentText"/>
      </w:pPr>
      <w:r>
        <w:t>锚点：[SRC-2.1]、[SRC-3.1]</w:t>
      </w:r>
    </w:p>
    <w:p>
      <w:pPr>
        <w:pStyle w:val="CommentText"/>
      </w:pPr>
      <w:r>
        <w:t>建议：说明数据源、发布时间、站点映射、偏差估计和考核时可获得性。</w:t>
      </w:r>
    </w:p>
  </w:comment>
  <w:comment w:id="4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[MED-06｜中] 数据弃用与有效小时数缺少量化依据</w:t>
      </w:r>
    </w:p>
    <w:p>
      <w:pPr>
        <w:pStyle w:val="CommentText"/>
      </w:pPr>
      <w:r>
        <w:t>锚点：[SRC-2.1]、[SRC-2.2]</w:t>
      </w:r>
    </w:p>
    <w:p>
      <w:pPr>
        <w:pStyle w:val="CommentText"/>
      </w:pPr>
      <w:r>
        <w:t>建议：增加从原始小时数到A=1462、C=1285的清洗漏斗及弃用区间证据。</w:t>
      </w:r>
    </w:p>
  </w:comment>
  <w:comment w:id="5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[HIGH-06｜高] 范围声明与第5章节能填报存在边界冲突</w:t>
      </w:r>
    </w:p>
    <w:p>
      <w:pPr>
        <w:pStyle w:val="CommentText"/>
      </w:pPr>
      <w:r>
        <w:t>锚点：[SRC-2.1]、[SRC-5/T8]、[SRC-5.2]</w:t>
      </w:r>
    </w:p>
    <w:p>
      <w:pPr>
        <w:pStyle w:val="CommentText"/>
      </w:pPr>
      <w:r>
        <w:t>建议：区分本队建模、联合仿真、合作方策略和最终提交责任，说明第5章数据来源。</w:t>
      </w:r>
    </w:p>
  </w:comment>
  <w:comment w:id="6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[MED-07｜中] 冷量恒等式及派生流量的单位链需补全</w:t>
      </w:r>
    </w:p>
    <w:p>
      <w:pPr>
        <w:pStyle w:val="CommentText"/>
      </w:pPr>
      <w:r>
        <w:t>锚点：[SRC-2.2]、[SRC-2.3]</w:t>
      </w:r>
    </w:p>
    <w:p>
      <w:pPr>
        <w:pStyle w:val="CommentText"/>
      </w:pPr>
      <w:r>
        <w:t>建议：列明变量单位、密度假设、采样周期、符号方向和小温差保护。</w:t>
      </w:r>
    </w:p>
  </w:comment>
  <w:comment w:id="7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[HIGH-05｜高] 项目B缺少与A/C同等级的方法说明</w:t>
      </w:r>
    </w:p>
    <w:p>
      <w:pPr>
        <w:pStyle w:val="CommentText"/>
      </w:pPr>
      <w:r>
        <w:t>锚点：[SRC-2.2]、[SRC-5.2]、[SRC-6.1]</w:t>
      </w:r>
    </w:p>
    <w:p>
      <w:pPr>
        <w:pStyle w:val="CommentText"/>
      </w:pPr>
      <w:r>
        <w:t>建议：补充B的数据、模型、训练窗、验证协议、节能策略与结果解释。</w:t>
      </w:r>
    </w:p>
  </w:comment>
  <w:comment w:id="8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[MED-10｜中] 复现要素对GBM和B项目覆盖不足</w:t>
      </w:r>
    </w:p>
    <w:p>
      <w:pPr>
        <w:pStyle w:val="CommentText"/>
      </w:pPr>
      <w:r>
        <w:t>锚点：[SRC-2.3]、[SRC-3.1]、[SRC-6.1]</w:t>
      </w:r>
    </w:p>
    <w:p>
      <w:pPr>
        <w:pStyle w:val="CommentText"/>
      </w:pPr>
      <w:r>
        <w:t>建议：增加依赖版本、种子、数据版本、代码提交号和运行入口。</w:t>
      </w:r>
    </w:p>
  </w:comment>
  <w:comment w:id="9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[HIGH-02｜高] TFT主线与项目A每日重训GBM口径不一致</w:t>
      </w:r>
    </w:p>
    <w:p>
      <w:pPr>
        <w:pStyle w:val="CommentText"/>
      </w:pPr>
      <w:r>
        <w:t>锚点：[SRC-2.2]、[SRC-3.1]、[SRC-T1]</w:t>
      </w:r>
    </w:p>
    <w:p>
      <w:pPr>
        <w:pStyle w:val="CommentText"/>
      </w:pPr>
      <w:r>
        <w:t>建议：补充换模触发条件、滚动边界、特征、超参、重训频率、随机性来源和适用表格。</w:t>
      </w:r>
    </w:p>
  </w:comment>
  <w:comment w:id="10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[HIGH-03｜高] 项目A考核日在所述训练期内，防泄漏证据不足</w:t>
      </w:r>
    </w:p>
    <w:p>
      <w:pPr>
        <w:pStyle w:val="CommentText"/>
      </w:pPr>
      <w:r>
        <w:t>锚点：[SRC-2.2]、[SRC-3.1]</w:t>
      </w:r>
    </w:p>
    <w:p>
      <w:pPr>
        <w:pStyle w:val="CommentText"/>
      </w:pPr>
      <w:r>
        <w:t>建议：提供时间轴，并证明清洗、标准化、外部天气和累计电度基数均未使用未来信息。</w:t>
      </w:r>
    </w:p>
  </w:comment>
  <w:comment w:id="11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[BLOCK-02｜阻断] 项目B核心结果链路缺失</w:t>
      </w:r>
    </w:p>
    <w:p>
      <w:pPr>
        <w:pStyle w:val="CommentText"/>
      </w:pPr>
      <w:r>
        <w:t>锚点：[SRC-T2]、[SRC-T5B-C]、[SRC-T6B]、[SRC-T7]</w:t>
      </w:r>
    </w:p>
    <w:p>
      <w:pPr>
        <w:pStyle w:val="CommentText"/>
      </w:pPr>
      <w:r>
        <w:t>建议：从最终评测脚本导出逐时、极端工况和设备结果，保留计算日志；不得推测或留占位符。</w:t>
      </w:r>
    </w:p>
  </w:comment>
  <w:comment w:id="12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[MED-02｜中] 项目C表3相对误差单位不统一</w:t>
      </w:r>
    </w:p>
    <w:p>
      <w:pPr>
        <w:pStyle w:val="CommentText"/>
      </w:pPr>
      <w:r>
        <w:t>锚点：[SRC-T3]</w:t>
      </w:r>
    </w:p>
    <w:p>
      <w:pPr>
        <w:pStyle w:val="CommentText"/>
      </w:pPr>
      <w:r>
        <w:t>建议：核对公式后统一百分数或比例格式，表头与单元格采用同一单位。</w:t>
      </w:r>
    </w:p>
  </w:comment>
  <w:comment w:id="13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[BLOCK-04｜阻断] 原始提交稿缺席，无法完成最终格式与逐项核验</w:t>
      </w:r>
    </w:p>
    <w:p>
      <w:pPr>
        <w:pStyle w:val="CommentText"/>
      </w:pPr>
      <w:r>
        <w:t>锚点：[SRC-无法复原的范围]</w:t>
      </w:r>
    </w:p>
    <w:p>
      <w:pPr>
        <w:pStyle w:val="CommentText"/>
      </w:pPr>
      <w:r>
        <w:t>建议：取得正式源文件，在原稿上完成122段、15表、占位符、字数、样式和签字终检。</w:t>
      </w:r>
    </w:p>
  </w:comment>
  <w:comment w:id="14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[MED-03｜中] 极端工况MAPE的百分号与小数口径需统一</w:t>
      </w:r>
    </w:p>
    <w:p>
      <w:pPr>
        <w:pStyle w:val="CommentText"/>
      </w:pPr>
      <w:r>
        <w:t>锚点：[SRC-T5A]</w:t>
      </w:r>
    </w:p>
    <w:p>
      <w:pPr>
        <w:pStyle w:val="CommentText"/>
      </w:pPr>
      <w:r>
        <w:t>建议：统一使用“MAPE（%）”表头或逐值百分号，不要混用。</w:t>
      </w:r>
    </w:p>
  </w:comment>
  <w:comment w:id="15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[HIGH-04｜高] 极端工况结果未形成完整横向证据</w:t>
      </w:r>
    </w:p>
    <w:p>
      <w:pPr>
        <w:pStyle w:val="CommentText"/>
      </w:pPr>
      <w:r>
        <w:t>锚点：[SRC-T5A]、[SRC-T5B-C]、[SRC-T7]</w:t>
      </w:r>
    </w:p>
    <w:p>
      <w:pPr>
        <w:pStyle w:val="CommentText"/>
      </w:pPr>
      <w:r>
        <w:t>建议：按模板补齐A/B/C每个工况的定义、样本数和指标；无样本时写合规说明，不留空。</w:t>
      </w:r>
    </w:p>
  </w:comment>
  <w:comment w:id="16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[LOW-03｜低] “水泵”指标对象过于笼统</w:t>
      </w:r>
    </w:p>
    <w:p>
      <w:pPr>
        <w:pStyle w:val="CommentText"/>
      </w:pPr>
      <w:r>
        <w:t>锚点：[SRC-T6A]、[SRC-T6C]</w:t>
      </w:r>
    </w:p>
    <w:p>
      <w:pPr>
        <w:pStyle w:val="CommentText"/>
      </w:pPr>
      <w:r>
        <w:t>建议：明确冷冻水泵、冷却水泵、总泵功率或聚合口径。</w:t>
      </w:r>
    </w:p>
  </w:comment>
  <w:comment w:id="17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[BLOCK-02｜阻断] 项目B核心结果链路缺失</w:t>
      </w:r>
    </w:p>
    <w:p>
      <w:pPr>
        <w:pStyle w:val="CommentText"/>
      </w:pPr>
      <w:r>
        <w:t>锚点：[SRC-T2]、[SRC-T5B-C]、[SRC-T6B]、[SRC-T7]</w:t>
      </w:r>
    </w:p>
    <w:p>
      <w:pPr>
        <w:pStyle w:val="CommentText"/>
      </w:pPr>
      <w:r>
        <w:t>建议：从最终评测脚本导出逐时、极端工况和设备结果，保留计算日志；不得推测或留占位符。</w:t>
      </w:r>
    </w:p>
  </w:comment>
  <w:comment w:id="18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[HIGH-01｜高] 项目C设备预测指标可能明显超阈值</w:t>
      </w:r>
    </w:p>
    <w:p>
      <w:pPr>
        <w:pStyle w:val="CommentText"/>
      </w:pPr>
      <w:r>
        <w:t>锚点：[SRC-T6C]</w:t>
      </w:r>
    </w:p>
    <w:p>
      <w:pPr>
        <w:pStyle w:val="CommentText"/>
      </w:pPr>
      <w:r>
        <w:t>建议：先核实第三列是否为MAPE；若是，复算24.33和10.01并核对≤6%阈值出处，不能直接改数。</w:t>
      </w:r>
    </w:p>
  </w:comment>
  <w:comment w:id="19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[LOW-03｜低] “水泵”指标对象过于笼统</w:t>
      </w:r>
    </w:p>
    <w:p>
      <w:pPr>
        <w:pStyle w:val="CommentText"/>
      </w:pPr>
      <w:r>
        <w:t>锚点：[SRC-T6A]、[SRC-T6C]</w:t>
      </w:r>
    </w:p>
    <w:p>
      <w:pPr>
        <w:pStyle w:val="CommentText"/>
      </w:pPr>
      <w:r>
        <w:t>建议：明确冷冻水泵、冷却水泵、总泵功率或聚合口径。</w:t>
      </w:r>
    </w:p>
  </w:comment>
  <w:comment w:id="20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[HIGH-01｜高] 项目C设备预测指标可能明显超阈值</w:t>
      </w:r>
    </w:p>
    <w:p>
      <w:pPr>
        <w:pStyle w:val="CommentText"/>
      </w:pPr>
      <w:r>
        <w:t>锚点：[SRC-T6C]</w:t>
      </w:r>
    </w:p>
    <w:p>
      <w:pPr>
        <w:pStyle w:val="CommentText"/>
      </w:pPr>
      <w:r>
        <w:t>建议：先核实第三列是否为MAPE；若是，复算24.33和10.01并核对≤6%阈值出处，不能直接改数。</w:t>
      </w:r>
    </w:p>
  </w:comment>
  <w:comment w:id="21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[HIGH-04｜高] 极端工况结果未形成完整横向证据</w:t>
      </w:r>
    </w:p>
    <w:p>
      <w:pPr>
        <w:pStyle w:val="CommentText"/>
      </w:pPr>
      <w:r>
        <w:t>锚点：[SRC-T5A]、[SRC-T5B-C]、[SRC-T7]</w:t>
      </w:r>
    </w:p>
    <w:p>
      <w:pPr>
        <w:pStyle w:val="CommentText"/>
      </w:pPr>
      <w:r>
        <w:t>建议：按模板补齐A/B/C每个工况的定义、样本数和指标；无样本时写合规说明，不留空。</w:t>
      </w:r>
    </w:p>
  </w:comment>
  <w:comment w:id="22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[BLOCK-02｜阻断] 项目B核心结果链路缺失</w:t>
      </w:r>
    </w:p>
    <w:p>
      <w:pPr>
        <w:pStyle w:val="CommentText"/>
      </w:pPr>
      <w:r>
        <w:t>锚点：[SRC-T2]、[SRC-T5B-C]、[SRC-T6B]、[SRC-T7]</w:t>
      </w:r>
    </w:p>
    <w:p>
      <w:pPr>
        <w:pStyle w:val="CommentText"/>
      </w:pPr>
      <w:r>
        <w:t>建议：从最终评测脚本导出逐时、极端工况和设备结果，保留计算日志；不得推测或留占位符。</w:t>
      </w:r>
    </w:p>
  </w:comment>
  <w:comment w:id="23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[BLOCK-03｜阻断] 节能结果不完整，整体成绩无法形成</w:t>
      </w:r>
    </w:p>
    <w:p>
      <w:pPr>
        <w:pStyle w:val="CommentText"/>
      </w:pPr>
      <w:r>
        <w:t>锚点：[SRC-5/T8]、[SRC-5.2]</w:t>
      </w:r>
    </w:p>
    <w:p>
      <w:pPr>
        <w:pStyle w:val="CommentText"/>
      </w:pPr>
      <w:r>
        <w:t>建议：按官方基准和权重补齐B、C及加权结果，注明单位、周期、边界和公式。</w:t>
      </w:r>
    </w:p>
  </w:comment>
  <w:comment w:id="24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[BLOCK-03｜阻断] 节能结果不完整，整体成绩无法形成</w:t>
      </w:r>
    </w:p>
    <w:p>
      <w:pPr>
        <w:pStyle w:val="CommentText"/>
      </w:pPr>
      <w:r>
        <w:t>锚点：[SRC-5/T8]、[SRC-5.2]</w:t>
      </w:r>
    </w:p>
    <w:p>
      <w:pPr>
        <w:pStyle w:val="CommentText"/>
      </w:pPr>
      <w:r>
        <w:t>建议：按官方基准和权重补齐B、C及加权结果，注明单位、周期、边界和公式。</w:t>
      </w:r>
    </w:p>
  </w:comment>
  <w:comment w:id="25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[BLOCK-03｜阻断] 节能结果不完整，整体成绩无法形成</w:t>
      </w:r>
    </w:p>
    <w:p>
      <w:pPr>
        <w:pStyle w:val="CommentText"/>
      </w:pPr>
      <w:r>
        <w:t>锚点：[SRC-5/T8]、[SRC-5.2]</w:t>
      </w:r>
    </w:p>
    <w:p>
      <w:pPr>
        <w:pStyle w:val="CommentText"/>
      </w:pPr>
      <w:r>
        <w:t>建议：按官方基准和权重补齐B、C及加权结果，注明单位、周期、边界和公式。</w:t>
      </w:r>
    </w:p>
  </w:comment>
  <w:comment w:id="26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[MED-08｜中] 节能计算边界、单位和加权公式未呈现</w:t>
      </w:r>
    </w:p>
    <w:p>
      <w:pPr>
        <w:pStyle w:val="CommentText"/>
      </w:pPr>
      <w:r>
        <w:t>锚点：[SRC-5/T8]</w:t>
      </w:r>
    </w:p>
    <w:p>
      <w:pPr>
        <w:pStyle w:val="CommentText"/>
      </w:pPr>
      <w:r>
        <w:t>建议：补表头单位、周期、设备范围、基准、节能率公式和官方权重。</w:t>
      </w:r>
    </w:p>
  </w:comment>
  <w:comment w:id="27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[HIGH-05｜高] 项目B缺少与A/C同等级的方法说明</w:t>
      </w:r>
    </w:p>
    <w:p>
      <w:pPr>
        <w:pStyle w:val="CommentText"/>
      </w:pPr>
      <w:r>
        <w:t>锚点：[SRC-2.2]、[SRC-5.2]、[SRC-6.1]</w:t>
      </w:r>
    </w:p>
    <w:p>
      <w:pPr>
        <w:pStyle w:val="CommentText"/>
      </w:pPr>
      <w:r>
        <w:t>建议：补充B的数据、模型、训练窗、验证协议、节能策略与结果解释。</w:t>
      </w:r>
    </w:p>
  </w:comment>
  <w:comment w:id="28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[MED-09｜中] 8.9%~19.8%的对象和统计范围不清楚</w:t>
      </w:r>
    </w:p>
    <w:p>
      <w:pPr>
        <w:pStyle w:val="CommentText"/>
      </w:pPr>
      <w:r>
        <w:t>锚点：[SRC-5.3]</w:t>
      </w:r>
    </w:p>
    <w:p>
      <w:pPr>
        <w:pStyle w:val="CommentText"/>
      </w:pPr>
      <w:r>
        <w:t>建议：明确项目、日期、样本数和最小—最大口径，使端点可追溯。</w:t>
      </w:r>
    </w:p>
  </w:comment>
  <w:comment w:id="29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[MED-01｜中] 模板字数限制尚未验证</w:t>
      </w:r>
    </w:p>
    <w:p>
      <w:pPr>
        <w:pStyle w:val="CommentText"/>
      </w:pPr>
      <w:r>
        <w:t>锚点：[SRC-2.1]、[SRC-2.2]、[SRC-5]、[SRC-6]</w:t>
      </w:r>
    </w:p>
    <w:p>
      <w:pPr>
        <w:pStyle w:val="CommentText"/>
      </w:pPr>
      <w:r>
        <w:t>建议：在正式Word中按赛方口径逐节计数；当前摘要不足以作精确字数判断。</w:t>
      </w:r>
    </w:p>
  </w:comment>
  <w:comment w:id="30" w:author="GPT-5.6" w:initials="G56" w:date="2026-09-08T09:21:51Z">
    <w:p>
      <w:pPr>
        <w:pStyle w:val="CommentText"/>
      </w:pPr>
      <w:r>
        <w:rPr>
          <w:rStyle w:val="CommentReference"/>
        </w:rPr>
        <w:annotationRef/>
      </w:r>
      <w:r>
        <w:t>[MED-11｜中] 声明的签字完成状态未知</w:t>
      </w:r>
    </w:p>
    <w:p>
      <w:pPr>
        <w:pStyle w:val="CommentText"/>
      </w:pPr>
      <w:r>
        <w:t>锚点：[SRC-DECL]</w:t>
      </w:r>
    </w:p>
    <w:p>
      <w:pPr>
        <w:pStyle w:val="CommentText"/>
      </w:pPr>
      <w:r>
        <w:t>建议：在正式Word或导出PDF中确认签字/盖章实际存在并满足规则。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AI「赛马制」测试数据报告 · 审查批注版（基于结构化抽取复原）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ptos" w:hAnsi="Aptos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微软雅黑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微软雅黑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微软雅黑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AI赛马制测试数据报告_批注版_byGPT56</dc:title>
  <dc:subject>初赛提交稿审查批注</dc:subject>
  <dc:creator>GPT-5.6</dc:creator>
  <cp:keywords>AI赛马制, 审查, 批注, MAPE, 节能</cp:keywords>
  <dc:description>依据任务提供的结构化抽取复原；未补造缺失竞赛数据。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