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eastAsia="方正小标宋简体"/>
          <w:b w:val="0"/>
          <w:sz w:val="40"/>
        </w:rPr>
        <w:t>中国电信佛山数据中心（南海里水）项目窗口指导细目及审查意见</w:t>
      </w:r>
    </w:p>
    <w:p>
      <w:pPr>
        <w:spacing w:before="0" w:after="240"/>
        <w:jc w:val="center"/>
      </w:pPr>
      <w:r>
        <w:rPr>
          <w:rFonts w:ascii="Times New Roman" w:hAnsi="Times New Roman" w:eastAsia="楷体"/>
          <w:b w:val="0"/>
          <w:sz w:val="24"/>
        </w:rPr>
        <w:t>（二〇二六年九月二日 窗口指导评审用）</w:t>
      </w:r>
    </w:p>
    <w:p>
      <w:pPr>
        <w:spacing w:before="0" w:after="0"/>
        <w:ind w:firstLine="480"/>
      </w:pPr>
      <w:r>
        <w:rPr>
          <w:rFonts w:ascii="Times New Roman" w:hAnsi="Times New Roman" w:eastAsia="仿宋"/>
          <w:b w:val="0"/>
          <w:sz w:val="24"/>
        </w:rPr>
        <w:t>结论：中国电信佛山数据中心（南海里水）项目本次应按里水 36MW 审查，现报送稿不具备出具肯定性窗口意见的条件。摘要中的“韶塘园区、总用地 244.3 亩、规划 6 栋、80000 个 2.5kW 标准机架、IT 功率 200MW”是一整组异项目套版字段，不是里水本次申报量，不得计入本项目申请规模或并场统计。本轮评审只记录问题和整改要求，不确认本项目的需求规模、能耗指标、PUE 水平、绿电比例、用地合规性及财务可行性。</w:t>
      </w:r>
    </w:p>
    <w:p>
      <w:pPr>
        <w:spacing w:before="0" w:after="0"/>
        <w:ind w:firstLine="480"/>
      </w:pPr>
      <w:r>
        <w:rPr>
          <w:rFonts w:ascii="Times New Roman" w:hAnsi="Times New Roman" w:eastAsia="仿宋"/>
          <w:b w:val="0"/>
          <w:sz w:val="24"/>
        </w:rPr>
        <w:t>说明：本件所引报送材料原文均来自申请人提交的申报文本引述，该引述未提供页码，故各条“位置”栏一律如实标注“页码稿中未见”，以章节、摘要表或附件编号定位。本件所列数字均取自申报材料及其可复核的算术结果，未作外部补充。</w:t>
      </w:r>
    </w:p>
    <w:p>
      <w:pPr>
        <w:spacing w:before="240" w:after="80"/>
        <w:ind w:firstLine="600"/>
      </w:pPr>
      <w:r>
        <w:rPr>
          <w:rFonts w:ascii="Times New Roman" w:hAnsi="Times New Roman" w:eastAsia="黑体"/>
          <w:b w:val="0"/>
          <w:sz w:val="30"/>
        </w:rPr>
        <w:t>一、项目基本情况</w:t>
      </w:r>
    </w:p>
    <w:p>
      <w:pPr>
        <w:spacing w:before="0" w:after="0"/>
        <w:ind w:firstLine="480"/>
      </w:pPr>
      <w:r>
        <w:rPr>
          <w:rFonts w:ascii="Times New Roman" w:hAnsi="Times New Roman" w:eastAsia="仿宋"/>
          <w:b w:val="0"/>
          <w:sz w:val="24"/>
        </w:rPr>
        <w:t>项目名称：中国电信佛山数据中心（南海里水）项目。建设地点：佛山市南海区里水大道中 36 号里水电信大院。申报主体：中国电信广东公司。</w:t>
      </w:r>
    </w:p>
    <w:p>
      <w:pPr>
        <w:spacing w:before="0" w:after="0"/>
        <w:ind w:firstLine="480"/>
      </w:pPr>
      <w:r>
        <w:rPr>
          <w:rFonts w:ascii="Times New Roman" w:hAnsi="Times New Roman" w:eastAsia="仿宋"/>
          <w:b w:val="0"/>
          <w:sz w:val="24"/>
        </w:rPr>
        <w:t>本次可相互印证的里水本期口径：用地 46.55 亩，属存量用地，用地性质待调整；新建 1 栋；建设标准机架 14400 个；IT 功率 36MW；投资 94638 万元；建设期 2027 年 3 月至 2028 年 6 月；建设范围为土建加机电，不投资服务器。经复核，14400 个 2.5kW 标准机架恰为 36MW，投资额折合约 2628.8 万元/MW、约 6.57 万元/架，与 36MW 边界自洽。</w:t>
      </w:r>
    </w:p>
    <w:p>
      <w:pPr>
        <w:spacing w:before="0" w:after="0"/>
        <w:ind w:firstLine="480"/>
      </w:pPr>
      <w:r>
        <w:rPr>
          <w:rFonts w:ascii="Times New Roman" w:hAnsi="Times New Roman" w:eastAsia="仿宋"/>
          <w:b w:val="0"/>
          <w:sz w:val="24"/>
        </w:rPr>
        <w:t>摘要表另行出现的一组字段为：项目名称“中国电信粤港澳大湾区一体化数据中心（韶塘园区）”、总用地 244.3 亩、规划 6 栋、80000 个 2.5kW 标准机架、IT 功率 200MW（标注为本次申报范围）。经复核，80000×2.5kW 恰为 200MW，该组字段内部自洽，说明其并非单一数字笔误，而是完整的异项目文本，与里水正文互不兼容。</w:t>
      </w:r>
    </w:p>
    <w:p>
      <w:pPr>
        <w:spacing w:before="0" w:after="0"/>
        <w:ind w:firstLine="480"/>
      </w:pPr>
      <w:r>
        <w:rPr>
          <w:rFonts w:ascii="Times New Roman" w:hAnsi="Times New Roman" w:eastAsia="仿宋"/>
          <w:b w:val="0"/>
          <w:sz w:val="24"/>
        </w:rPr>
        <w:t>能效与能耗：满载测算 IT 电量 36000kW×365×24＝3.1536 亿千瓦时，辅助电量 0.628 亿千瓦时，PUE 1.199；微模块材料另载华南地区 50% 负载 PUE 1.245；液冷机柜标注“本期暂不建，与服务器同期建设”。节能审查栏及附件 1.6、1.11 均为“项目未启动，暂无”。</w:t>
      </w:r>
    </w:p>
    <w:p>
      <w:pPr>
        <w:spacing w:before="0" w:after="0"/>
        <w:ind w:firstLine="480"/>
      </w:pPr>
      <w:r>
        <w:rPr>
          <w:rFonts w:ascii="Times New Roman" w:hAnsi="Times New Roman" w:eastAsia="仿宋"/>
          <w:b w:val="0"/>
          <w:sz w:val="24"/>
        </w:rPr>
        <w:t>需求情况：索引表载“已签约 IT 36MW，本次申请 36MW”；3.6 章节摘要载“已签约 200MW 需求”；3.7.1 载“62MW 需求”，其中邦程智算 7MW 标注在东莞数据中心，唯颐 55MW 称 24000P、附件 1.9 仅为“合作需求书”。</w:t>
      </w:r>
    </w:p>
    <w:p>
      <w:pPr>
        <w:spacing w:before="0" w:after="0"/>
        <w:ind w:firstLine="480"/>
      </w:pPr>
      <w:r>
        <w:rPr>
          <w:rFonts w:ascii="Times New Roman" w:hAnsi="Times New Roman" w:eastAsia="仿宋"/>
          <w:b w:val="0"/>
          <w:sz w:val="24"/>
        </w:rPr>
        <w:t>绿电情况：承诺绿电比例大于 80%；附件 1.8 为 2025 年韶关园区绿电交易合同；摘要表另载绿色环境价值补充交易电价 5 元/兆瓦时；并列 2024 年全省专项采购 2.5 亿千瓦时、2025 年 2 亿千瓦时。</w:t>
      </w:r>
    </w:p>
    <w:p>
      <w:pPr>
        <w:spacing w:before="0" w:after="0"/>
        <w:ind w:firstLine="480"/>
      </w:pPr>
      <w:r>
        <w:rPr>
          <w:rFonts w:ascii="Times New Roman" w:hAnsi="Times New Roman" w:eastAsia="仿宋"/>
          <w:b w:val="0"/>
          <w:sz w:val="24"/>
        </w:rPr>
        <w:t>算力与设备：索引表载智算 11483PFLOPS（FP16）；一期及终期“以 20992 张昇腾 950DT 为例”；3.9 正文另写 1.71 万张 910C。服务器不在本期投资范围。</w:t>
      </w:r>
    </w:p>
    <w:p>
      <w:pPr>
        <w:spacing w:before="0" w:after="0"/>
        <w:ind w:firstLine="480"/>
      </w:pPr>
      <w:r>
        <w:rPr>
          <w:rFonts w:ascii="Times New Roman" w:hAnsi="Times New Roman" w:eastAsia="仿宋"/>
          <w:b w:val="0"/>
          <w:sz w:val="24"/>
        </w:rPr>
        <w:t>财务情况：达产年收入 43338 万元、成本 20788.4 万元、利润总额 29561 万元、回收期 8 年、税后内部收益率 8.3%；摘要另载净现值 132490 万元、内部收益率 17.6%、回收期 7.78 年、投资利润率 8.48%；利润表、现金流表为空表。</w:t>
      </w:r>
    </w:p>
    <w:p>
      <w:pPr>
        <w:spacing w:before="0" w:after="0"/>
        <w:ind w:firstLine="480"/>
      </w:pPr>
      <w:r>
        <w:rPr>
          <w:rFonts w:ascii="Times New Roman" w:hAnsi="Times New Roman" w:eastAsia="仿宋"/>
          <w:b w:val="0"/>
          <w:sz w:val="24"/>
        </w:rPr>
        <w:t>场地现状：里水电信大院内现有综合楼、酒店、幼儿园。柴发油罐相关资料稿中未见。</w:t>
      </w:r>
    </w:p>
    <w:p>
      <w:pPr>
        <w:spacing w:before="240" w:after="80"/>
        <w:ind w:firstLine="600"/>
      </w:pPr>
      <w:r>
        <w:rPr>
          <w:rFonts w:ascii="Times New Roman" w:hAnsi="Times New Roman" w:eastAsia="黑体"/>
          <w:b w:val="0"/>
          <w:sz w:val="30"/>
        </w:rPr>
        <w:t>二、窗口指导细目</w:t>
      </w:r>
    </w:p>
    <w:p>
      <w:pPr>
        <w:spacing w:before="0" w:after="0"/>
        <w:ind w:firstLine="480"/>
      </w:pPr>
      <w:r>
        <w:rPr>
          <w:rFonts w:ascii="Times New Roman" w:hAnsi="Times New Roman" w:eastAsia="仿宋"/>
          <w:b w:val="0"/>
          <w:sz w:val="24"/>
        </w:rPr>
        <w:t>本部分共 13 项，按风险等级分列：高风险 9 项、中风险 3 项、低风险 1 项。每项列位置、原文摘录、问题、现场追问四栏。</w:t>
      </w:r>
    </w:p>
    <w:p>
      <w:pPr>
        <w:spacing w:before="160" w:after="0"/>
        <w:ind w:firstLine="560"/>
      </w:pPr>
      <w:r>
        <w:rPr>
          <w:rFonts w:ascii="Times New Roman" w:hAnsi="Times New Roman" w:eastAsia="楷体"/>
          <w:b/>
          <w:sz w:val="28"/>
        </w:rPr>
        <w:t>（一）高风险问题</w:t>
      </w:r>
    </w:p>
    <w:p>
      <w:pPr>
        <w:spacing w:before="120" w:after="0"/>
        <w:ind w:firstLine="480"/>
      </w:pPr>
      <w:r>
        <w:rPr>
          <w:rFonts w:ascii="Times New Roman" w:hAnsi="Times New Roman" w:eastAsia="仿宋"/>
          <w:b/>
          <w:sz w:val="24"/>
        </w:rPr>
        <w:t>1. 摘要 200MW 不是里水本次申请量，套版字段污染申报边界</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索引表、摘要表、3.1（页码稿中未见）。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索引表“已签约 IT 36MW，本次申请 36MW”；3.1“里水大道中 36 号……46.55 亩；新建 1 栋……14400 标准机架；IT 36MW”；摘要表项目名称“中国电信粤港澳大湾区一体化数据中心（韶塘园区）”，并称“总用地 244.3 亩，规划 6 栋”“80000 个 2.5kW 标准机架，IT 功率为 200MW（本次申报范围）”。</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摘要的项目名称、用地面积、栋数、机架数和 IT 功率是一整组与里水正文互不兼容的字段。经复核，里水侧 14400×2.5kW＝36MW，摘要侧 80000×2.5kW＝200MW，两组数据各自内部自洽，说明摘要并非个别数字笔误，而是完整的异项目模板。按索引表和 3.1，本次应锁定 36MW；摘要 200MW 只能作为待清除的冲突字段，不得计入里水申请规模，也不得进入并场总量统计。</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请申请人当场确认本次唯一申请值为 36MW，并整组撤回或更正“韶塘园区、244.3 亩、6 栋、80000 个机架、200MW”字段；若坚持 200MW，请说明其对应的土地、楼栋、投资额和供电容量分别在何处，并说明为何与 46.55 亩、1 栋、94638 万元同时出现在同一文本中。</w:t>
      </w:r>
    </w:p>
    <w:p>
      <w:pPr>
        <w:spacing w:before="120" w:after="0"/>
        <w:ind w:firstLine="480"/>
      </w:pPr>
      <w:r>
        <w:rPr>
          <w:rFonts w:ascii="Times New Roman" w:hAnsi="Times New Roman" w:eastAsia="仿宋"/>
          <w:b/>
          <w:sz w:val="24"/>
        </w:rPr>
        <w:t>2. 已签约 36MW、已签约 200MW、需求 62MW 三套数字互相冲突</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索引表、3.6 章节摘要、3.6.2、3.7.1、附件 1.9（页码稿中未见）。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“已签约 IT 36MW”；3.6“已签约 200MW 需求”；3.7.1“62MW 需求”；“邦程智算 7MW 写在‘东莞’数据中心；唯颐 55MW，号称 24000P。附件 1.9 仅‘合作需求书’。”</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7MW＋55MW＝62MW，可以解释 3.7.1 的需求总量，但邦程的服务地址标注为东莞，唯颐的支撑材料仅为合作需求书，二者均不能自然等同于里水同址已签约 36MW，更无法支撑 3.6 所称已签约 200MW。同一文本中出现三个相互排斥的需求数字，需求侧证据目前不成立。</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请逐客户列明合同性质、签署主体、服务地址、IT 功率、算力规模、交付期及解约条件；本次 36MW 由哪些同址有效合同组成？若 62MW 仅为意向，3.6 为何表述为已签约 200MW？意向量不得计作已锁定消纳量。</w:t>
      </w:r>
    </w:p>
    <w:p>
      <w:pPr>
        <w:spacing w:before="120" w:after="0"/>
        <w:ind w:firstLine="480"/>
      </w:pPr>
      <w:r>
        <w:rPr>
          <w:rFonts w:ascii="Times New Roman" w:hAnsi="Times New Roman" w:eastAsia="仿宋"/>
          <w:b/>
          <w:sz w:val="24"/>
        </w:rPr>
        <w:t>3. 绿电承诺以韶关园区合同作附件，项目和权益均未对应</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摘要表、3.8、附件 1.8（页码稿中未见）。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“本项目承诺&gt;80%”；“附件 1.8 为 2025 年韶关园区绿电交易合同”；摘要表“绿色环境价值补充交易电价 5 元/兆瓦时”；“2024 年省专购 2.5 亿 kWh，2025 年 2 亿”。</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2025 年韶关园区的绿电交易合同不能证明 2027 至 2028 年里水项目的绿电供给，全省历史采购量也未见向本项目的分配安排。摘要中的“绿色环境价值补充交易电价”仅体现环境价值的价格，未见里水项目的物理结算电量、计量点、绿证数量、环境权益归属和注销安排。现有材料不足以支撑大于 80% 的绿电比例承诺。</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请提交里水项目对应年度、对应电量、对应计量点的电力交易合同或具备约束力的供电承诺，并分列物理结算电量、绿证数量和环境权益；若仍以韶关合同举证，请说明该合同如何将权益合法、唯一地分配到里水项目，且不与韶关园区重复计量。</w:t>
      </w:r>
    </w:p>
    <w:p>
      <w:pPr>
        <w:spacing w:before="120" w:after="0"/>
        <w:ind w:firstLine="480"/>
      </w:pPr>
      <w:r>
        <w:rPr>
          <w:rFonts w:ascii="Times New Roman" w:hAnsi="Times New Roman" w:eastAsia="仿宋"/>
          <w:b/>
          <w:sz w:val="24"/>
        </w:rPr>
        <w:t>4. PUE 1.199 系满载计算，50% 负载材料反为 1.245，液冷又不在本期</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PUE 测算、微模块材料、液冷机柜说明（页码稿中未见）。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“IT 36000kW×365×24×负荷率 1.0＝3.1536 亿 kWh；辅助 0.628 亿；PUE＝1.199。”“华南 50% 负载 PUE 1.245。”“液冷机柜‘本期暂不建，与服务器同期建设’。”</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经复核，（3.1536＋0.628）÷3.1536≈1.1991，满载算术成立。但该结果建立在负荷率 1.0 的全年满载假设之上，投运爬坡期不可能由该假设代表；申请人自行提供的 50% 负载材料为 1.245，高于 1.199。液冷机柜本期不建，也不能以未来液冷收益支撑本期年加权能效。现稿存在以贴近设计点的数值代替运营年度加权值的风险。</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请给出 2027 至 2028 年建设投运期及达产期的逐月 IT 负荷和辅助用电，分别计算设计点 PUE、满载 PUE 和全年加权 PUE；若坚持 1.199 为年度值，请解释爬坡期如何维持满载效率，以及在本期不建液冷的条件下如何低于 50% 负载工况的 1.245。</w:t>
      </w:r>
    </w:p>
    <w:p>
      <w:pPr>
        <w:spacing w:before="120" w:after="0"/>
        <w:ind w:firstLine="480"/>
      </w:pPr>
      <w:r>
        <w:rPr>
          <w:rFonts w:ascii="Times New Roman" w:hAnsi="Times New Roman" w:eastAsia="仿宋"/>
          <w:b/>
          <w:sz w:val="24"/>
        </w:rPr>
        <w:t>5. 年电量口径分裂，节能审查和能评附件均为空</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PUE 测算、财务电费、摘要表节能审查、附件 1.6 及 1.11（页码稿中未见）。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PUE 测算 IT 电量 3.1536 亿 kWh、辅助 0.628 亿 kWh；电费“36000kW×85%×0.75 元≈20104 万”；节能审查“项目未启动，暂无”；附件 1.6、1.11“项目未启动，暂无”。</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经复核，财务电费按 85% 负荷率仅计 IT 电量，36000×0.85×8760＝2.68056 亿千瓦时，乘 0.75 元/千瓦时为 20104.2 万元，与稿内约 20104 万元一致；而 PUE 测算按 100% 负荷率且包含辅助电量，总电量为 3.7816 亿千瓦时。同一项目在能效章与财务章使用了负荷率和电量范围均不相同的两套边界，差额既未说明也未调平。年综合能耗量（吨标准煤）、节能审查意见及单独的“两高”材料在所给引述中均稿中未见，能评成果实质为空。</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请在 36MW 统一边界下重列 IT 电量、辅助电量、总电量、负荷率、电价和年综合能耗量，并说明财务章与能效章为何采用不同负荷率；附件 1.6、1.11 原本应为何种文件，何时提交？在能评成果缺位的情况下，窗口依据什么确认本项目能耗可落实？</w:t>
      </w:r>
    </w:p>
    <w:p>
      <w:pPr>
        <w:spacing w:before="120" w:after="0"/>
        <w:ind w:firstLine="480"/>
      </w:pPr>
      <w:r>
        <w:rPr>
          <w:rFonts w:ascii="Times New Roman" w:hAnsi="Times New Roman" w:eastAsia="仿宋"/>
          <w:b/>
          <w:sz w:val="24"/>
        </w:rPr>
        <w:t>6. “不投服务器”不能将项目用电从能耗边界中剔除</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建设范围、PUE 测算及收入表（页码稿中未见）。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“土建＋机电不投服务器”；同时测算“IT 36000kW”、辅助电量、PUE 及“其他收入 11483P”。</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不投资服务器只改变设备投资归属和资产权属，不改变服务器在本数据中心计量边界内形成 IT 负荷、消耗电量的事实。报告自身已按 36000kW 的 IT 负荷计算电量、PUE 和收入，因此不能一方面以算力和 IT 负荷支撑项目必要性与经营收入，另一方面以“不投服务器”为由将该部分用电排除在项目能耗之外。本轮明确不接受该项剔除。</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服务器由谁投资、何时进场、由谁承担电费、计量点设在何处？若答复为客户承担，请说明该电量为何不属于本项目物理总用电，并提供与 PUE 总电量口径一致的计量边界图和分表设置方案。</w:t>
      </w:r>
    </w:p>
    <w:p>
      <w:pPr>
        <w:spacing w:before="120" w:after="0"/>
        <w:ind w:firstLine="480"/>
      </w:pPr>
      <w:r>
        <w:rPr>
          <w:rFonts w:ascii="Times New Roman" w:hAnsi="Times New Roman" w:eastAsia="仿宋"/>
          <w:b/>
          <w:sz w:val="24"/>
        </w:rPr>
        <w:t>7. 达产年收入将“每月单价”直接并入年收入，利润亦不平</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3.7.3、6.2.2.1 收入表、利润表、现金流表（页码稿中未见）。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“达产年收入 43338 万、成本 20788.4 万、利润总额 29561 万、回收期 8 年、税后 IRR 8.3%。”“其他收入 11483P×3.3 万/P/月×85%＝32210 万”；“利润表、现金流表为空表”。</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经复核，11483×3.3×85%＝32209.815 万元，与稿内 32210 万元一致，但该结果按所列“万元/P/月”口径仅对应一个月；若确为年度收入，应说明月份换算，直接并入达产年收入存在期间错误。收入表四项 7344＋3600＋184＋32210＝43338 万元，与稿内合计一致；但 43338－20788.4＝22549.6 万元，并非所列利润总额 29561 万元，两者相差 7011.4 万元，约占收入的 16.18%。在利润表和现金流表为空的情况下，净现值、内部收益率和回收期均不可复核。</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3.3 万元/P/月的计量单位是否有误，抑或漏乘 12 个月？利润总额为何大于收入减成本？请提交非空的利润表和现金流表，列明折旧、税费、融资成本和电费明细后重算净现值、内部收益率和回收期，并说明原测算结论是否撤回。</w:t>
      </w:r>
    </w:p>
    <w:p>
      <w:pPr>
        <w:spacing w:before="120" w:after="0"/>
        <w:ind w:firstLine="480"/>
      </w:pPr>
      <w:r>
        <w:rPr>
          <w:rFonts w:ascii="Times New Roman" w:hAnsi="Times New Roman" w:eastAsia="仿宋"/>
          <w:b/>
          <w:sz w:val="24"/>
        </w:rPr>
        <w:t>8. 用地性质待调整，且院内设有酒店、幼儿园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3.1、3.2（页码稿中未见）。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“里水大道中 36 号里水电信大院；46.55 亩；新建 1 栋；存在综合楼/酒店/幼儿园。”“存量用地，用地性质待调整；2027.3—2028.6。”</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土地用途尚未完成调整，窗口申请的用地合规前提未成立。院内的酒店和幼儿园属于需重点核实的人群聚集及敏感场所。所给引述未见拟建机房与上述场所的最近距离、噪声和废气预测、交通组织方案，柴发机组和储油设施的设置情况及安全风险结论亦未见。</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土地现状用途和拟调整用途分别是什么，调整程序何时完成，是否影响 2027 年 3 月开工安排？请在总平面图上标明酒店、幼儿园、机房、冷却设备、柴发机组和储油设施的位置及最近距离；若不设置柴发储油设施，请明确说明；若设置，请补充距离、环保和消防安全结论。</w:t>
      </w:r>
    </w:p>
    <w:p>
      <w:pPr>
        <w:spacing w:before="120" w:after="0"/>
        <w:ind w:firstLine="480"/>
      </w:pPr>
      <w:r>
        <w:rPr>
          <w:rFonts w:ascii="Times New Roman" w:hAnsi="Times New Roman" w:eastAsia="仿宋"/>
          <w:b/>
          <w:sz w:val="24"/>
        </w:rPr>
        <w:t>9. 算力与芯片口径互相冲突，且服务器不属本期建设内容</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索引表、3.9 及建设范围（页码稿中未见）。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“智算 11483PFLOPS（FP16）”；“一期/终期 20992 张昇腾 950DT 为例”；“3.9 正文另写 1.71 万张 910C”；“土建＋机电不投服务器”。</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芯片型号和数量存在 20992 张昇腾 950DT 与 1.71 万张 910C 两套并列方案，且前者以“为例”表述，不具确定性。又因服务器不由本期投资，现稿无法将 11483PFLOPS（FP16）落实到确定的采购主体、确定的机柜位置和确定的投产时间，该算力指标目前不能作为本期建设规模和收入的依据。</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11483PFLOPS 具体依据哪一套芯片、按何种单卡参数和服务器配置计算？由谁采购，是否已有合同，何时安装？若仅为举例，请明确该算力不作为本期确定建设内容和达产年收入的测算基础。</w:t>
      </w:r>
    </w:p>
    <w:p>
      <w:pPr>
        <w:spacing w:before="160" w:after="0"/>
        <w:ind w:firstLine="560"/>
      </w:pPr>
      <w:r>
        <w:rPr>
          <w:rFonts w:ascii="Times New Roman" w:hAnsi="Times New Roman" w:eastAsia="楷体"/>
          <w:b/>
          <w:sz w:val="28"/>
        </w:rPr>
        <w:t>（二）中风险问题</w:t>
      </w:r>
    </w:p>
    <w:p>
      <w:pPr>
        <w:spacing w:before="120" w:after="0"/>
        <w:ind w:firstLine="480"/>
      </w:pPr>
      <w:r>
        <w:rPr>
          <w:rFonts w:ascii="Times New Roman" w:hAnsi="Times New Roman" w:eastAsia="仿宋"/>
          <w:b/>
          <w:sz w:val="24"/>
        </w:rPr>
        <w:t>10. 36MW、60000kW 机电口径与 100000kVA 变压器之间未见容量桥接</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机电投资及配置、变压器章节（页码稿中未见）。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“机电投资 60000kW。变压器 100000kVA。”同时本次申请 IT 功率 36MW。</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“投资”使用千瓦为单位，含义不清。60000kW、36MW IT 负荷与 100000kVA 变压器容量之间的辅助负荷、冗余配置、功率因数、分期启用和备用容量，稿中未见逐级桥接表。容量口径不清将影响供电申请、能耗测算和分期建设安排的一致性。</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60000kW 究竟指机电容量、供电申请容量还是笔误？请从 36MW IT 负荷逐级列至总有功功率、视在功率、变压器运行台数与冗余方式，并区分本期与终期容量。</w:t>
      </w:r>
    </w:p>
    <w:p>
      <w:pPr>
        <w:spacing w:before="120" w:after="0"/>
        <w:ind w:firstLine="480"/>
      </w:pPr>
      <w:r>
        <w:rPr>
          <w:rFonts w:ascii="Times New Roman" w:hAnsi="Times New Roman" w:eastAsia="仿宋"/>
          <w:b/>
          <w:sz w:val="24"/>
        </w:rPr>
        <w:t>11. 主体资金和财务摘要存在两套收益口径</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索引表、摘要表、3.7.3 及财务章节（页码稿中未见）。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索引“回收期 7.78”；摘要“NPV 132490 万/IRR 17.6%/回收 7.78/投资利润率 8.48%”；3.7.3“回收期 8 年、税后 IRR 8.3%”。</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内部收益率 17.6% 与税后内部收益率 8.3% 相差悬殊，回收期亦有 7.78 年与 8 年两套表述，稿中未见口径说明。资本金比例、借款规模、利率、建设期利息及投资主体在所给引述中均稿中未见，收益指标无法复核。</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两套内部收益率分别为税前或税后、项目口径或资本金口径，抑或来自不同版本文本？请以同一投资额 94638 万元、同一收入成本口径和同一服务器边界，出具可复核的现金流量表及配套收益指标。</w:t>
      </w:r>
    </w:p>
    <w:p>
      <w:pPr>
        <w:spacing w:before="120" w:after="0"/>
        <w:ind w:firstLine="480"/>
      </w:pPr>
      <w:r>
        <w:rPr>
          <w:rFonts w:ascii="Times New Roman" w:hAnsi="Times New Roman" w:eastAsia="仿宋"/>
          <w:b/>
          <w:sz w:val="24"/>
        </w:rPr>
        <w:t>12. 多处错园区、错城市、错主体技术，套版痕迹形成系统性风险</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摘要表、3.6.2、3.8 附件 1.8、经验表第 11 项（页码稿中未见）。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“韶塘园区”；邦程需求写“东莞”数据中心；附件为“韶关园区绿电交易合同”；“佛山里水机楼”标在深圳市；方案亮点“腾讯自研一体化高压直流柜”。</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项目名称、客户服务地址、绿电合同园区、案例城市及技术方案主体均出现异址或异主体字段，涉及需求、绿电、经验业绩和技术方案四个证据链条，不属于单一笔误，而是系统性套版。在更正之前，相关附件对里水 36MW 的证明力显著削弱。</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请逐项提供“本项目适用/仅作案例/系误植”的分类清单，并由申请人书面确认；在完成更正前，请说明哪些附件仍可作为里水 36MW 的有效证据，哪些应予撤回。</w:t>
      </w:r>
    </w:p>
    <w:p>
      <w:pPr>
        <w:spacing w:before="160" w:after="0"/>
        <w:ind w:firstLine="560"/>
      </w:pPr>
      <w:r>
        <w:rPr>
          <w:rFonts w:ascii="Times New Roman" w:hAnsi="Times New Roman" w:eastAsia="楷体"/>
          <w:b/>
          <w:sz w:val="28"/>
        </w:rPr>
        <w:t>（三）低风险问题</w:t>
      </w:r>
    </w:p>
    <w:p>
      <w:pPr>
        <w:spacing w:before="120" w:after="0"/>
        <w:ind w:firstLine="480"/>
      </w:pPr>
      <w:r>
        <w:rPr>
          <w:rFonts w:ascii="Times New Roman" w:hAnsi="Times New Roman" w:eastAsia="仿宋"/>
          <w:b/>
          <w:sz w:val="24"/>
        </w:rPr>
        <w:t>13. 支撑 2026 年本次窗口的现行政策依据稿中未见</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政策依据章节（具体条目及页码稿中未见）。</w:t>
      </w:r>
    </w:p>
    <w:p>
      <w:pPr>
        <w:spacing w:before="0" w:after="0"/>
        <w:ind w:firstLine="480"/>
      </w:pPr>
      <w:r>
        <w:rPr>
          <w:rFonts w:ascii="Times New Roman" w:hAnsi="Times New Roman" w:eastAsia="黑体"/>
          <w:b w:val="0"/>
          <w:sz w:val="24"/>
        </w:rPr>
        <w:t>【原文摘录】</w:t>
      </w:r>
      <w:r>
        <w:rPr>
          <w:rFonts w:ascii="Times New Roman" w:hAnsi="Times New Roman" w:eastAsia="仿宋"/>
          <w:b w:val="0"/>
          <w:sz w:val="24"/>
        </w:rPr>
        <w:t>所给电信申报材料引述中，支撑本次窗口的政策名称、文号及有效期均稿中未见。</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无法核验申报门槛、能效指标、能耗、绿电比例及用地结论所采用的是现行依据还是历史口径。此项为依据完整性问题，不涉及项目实体条件，但影响结论的可引用性。</w:t>
      </w:r>
    </w:p>
    <w:p>
      <w:pPr>
        <w:spacing w:before="0" w:after="0"/>
        <w:ind w:firstLine="480"/>
      </w:pPr>
      <w:r>
        <w:rPr>
          <w:rFonts w:ascii="Times New Roman" w:hAnsi="Times New Roman" w:eastAsia="黑体"/>
          <w:b w:val="0"/>
          <w:sz w:val="24"/>
        </w:rPr>
        <w:t>【现场追问】</w:t>
      </w:r>
      <w:r>
        <w:rPr>
          <w:rFonts w:ascii="Times New Roman" w:hAnsi="Times New Roman" w:eastAsia="仿宋"/>
          <w:b w:val="0"/>
          <w:sz w:val="24"/>
        </w:rPr>
        <w:t>请列出截至申报时仍然有效的逐项依据、适用条款及有效期；若仅有历史文件，请勿将历史目标表述为当前准入结论。</w:t>
      </w:r>
    </w:p>
    <w:p>
      <w:pPr>
        <w:spacing w:before="240" w:after="80"/>
        <w:ind w:firstLine="600"/>
      </w:pPr>
      <w:r>
        <w:rPr>
          <w:rFonts w:ascii="Times New Roman" w:hAnsi="Times New Roman" w:eastAsia="黑体"/>
          <w:b w:val="0"/>
          <w:sz w:val="30"/>
        </w:rPr>
        <w:t>三、审查意见</w:t>
      </w:r>
    </w:p>
    <w:p>
      <w:pPr>
        <w:spacing w:before="160" w:after="0"/>
        <w:ind w:firstLine="560"/>
      </w:pPr>
      <w:r>
        <w:rPr>
          <w:rFonts w:ascii="Times New Roman" w:hAnsi="Times New Roman" w:eastAsia="楷体"/>
          <w:b/>
          <w:sz w:val="28"/>
        </w:rPr>
        <w:t>（一）总体结论</w:t>
      </w:r>
    </w:p>
    <w:p>
      <w:pPr>
        <w:spacing w:before="0" w:after="0"/>
        <w:ind w:firstLine="480"/>
      </w:pPr>
      <w:r>
        <w:rPr>
          <w:rFonts w:ascii="Times New Roman" w:hAnsi="Times New Roman" w:eastAsia="仿宋"/>
          <w:b w:val="0"/>
          <w:sz w:val="24"/>
        </w:rPr>
        <w:t>一、中国电信佛山数据中心（南海里水）项目现报送稿不具备出具肯定性窗口意见的条件。本轮评审形成的是问题清单和整改要求，不构成对项目需求规模、能耗指标、能效水平、绿电比例、用地合规性及财务可行性的任何肯定性结论。</w:t>
      </w:r>
    </w:p>
    <w:p>
      <w:pPr>
        <w:spacing w:before="0" w:after="0"/>
        <w:ind w:firstLine="480"/>
      </w:pPr>
      <w:r>
        <w:rPr>
          <w:rFonts w:ascii="Times New Roman" w:hAnsi="Times New Roman" w:eastAsia="仿宋"/>
          <w:b w:val="0"/>
          <w:sz w:val="24"/>
        </w:rPr>
        <w:t>二、本次审查范围锁定为里水 36MW。可相互印证的本期口径为：里水大道中 36 号、46.55 亩、新建 1 栋、14400 个标准机架、IT 功率 36MW、投资 94638 万元。经复核，14400×2.5kW 恰为 36MW，投资额亦与该规模自洽。摘要中“韶塘园区、244.3 亩、6 栋、80000 个 2.5kW 标准机架、200MW”为一整组异项目套版字段，其内部虽自洽（80000×2.5kW＝200MW），但与里水正文互不兼容，属于应整组撤回的冲突内容，不得作为里水申报量，不得进入并场规模统计。</w:t>
      </w:r>
    </w:p>
    <w:p>
      <w:pPr>
        <w:spacing w:before="0" w:after="0"/>
        <w:ind w:firstLine="480"/>
      </w:pPr>
      <w:r>
        <w:rPr>
          <w:rFonts w:ascii="Times New Roman" w:hAnsi="Times New Roman" w:eastAsia="仿宋"/>
          <w:b w:val="0"/>
          <w:sz w:val="24"/>
        </w:rPr>
        <w:t>三、下列事项本轮不予确认：需求侧已签约规模；PUE 1.199 作为投运年度加权值；绿电比例大于 80% 的承诺；将服务器用电排除于本项目能耗边界之外的处理方式；达产年收入、利润总额及各项收益指标；用地性质调整完成前的用地合规前提；11483PFLOPS 算力作为本期确定建设内容。</w:t>
      </w:r>
    </w:p>
    <w:p>
      <w:pPr>
        <w:spacing w:before="160" w:after="0"/>
        <w:ind w:firstLine="560"/>
      </w:pPr>
      <w:r>
        <w:rPr>
          <w:rFonts w:ascii="Times New Roman" w:hAnsi="Times New Roman" w:eastAsia="楷体"/>
          <w:b/>
          <w:sz w:val="28"/>
        </w:rPr>
        <w:t>（二）“两高”及能耗审查意见</w:t>
      </w:r>
    </w:p>
    <w:p>
      <w:pPr>
        <w:spacing w:before="0" w:after="0"/>
        <w:ind w:firstLine="480"/>
      </w:pPr>
      <w:r>
        <w:rPr>
          <w:rFonts w:ascii="Times New Roman" w:hAnsi="Times New Roman" w:eastAsia="仿宋"/>
          <w:b w:val="0"/>
          <w:sz w:val="24"/>
        </w:rPr>
        <w:t>一、能评成果实质为空。节能审查栏及附件 1.6、1.11 均标注“项目未启动，暂无”，年综合能耗量在所给引述中亦未见。在缺少能耗量测算和节能审查成果的情况下，本轮无法对项目能耗可落实性作出判断，也不具备形成能耗审查结论的基础。</w:t>
      </w:r>
    </w:p>
    <w:p>
      <w:pPr>
        <w:spacing w:before="0" w:after="0"/>
        <w:ind w:firstLine="480"/>
      </w:pPr>
      <w:r>
        <w:rPr>
          <w:rFonts w:ascii="Times New Roman" w:hAnsi="Times New Roman" w:eastAsia="仿宋"/>
          <w:b w:val="0"/>
          <w:sz w:val="24"/>
        </w:rPr>
        <w:t>二、能耗边界必须统一。能效章按负荷率 1.0 计 IT 电量 3.1536 亿千瓦时并计辅助电量 0.628 亿千瓦时，总电量 3.7816 亿千瓦时；财务章按负荷率 85% 仅计 IT 电量 2.68056 亿千瓦时。两套边界在负荷率和电量范围上均不一致，请按 36MW 统一口径重列并说明差异。</w:t>
      </w:r>
    </w:p>
    <w:p>
      <w:pPr>
        <w:spacing w:before="0" w:after="0"/>
        <w:ind w:firstLine="480"/>
      </w:pPr>
      <w:r>
        <w:rPr>
          <w:rFonts w:ascii="Times New Roman" w:hAnsi="Times New Roman" w:eastAsia="仿宋"/>
          <w:b w:val="0"/>
          <w:sz w:val="24"/>
        </w:rPr>
        <w:t>三、服务器用电不得从能耗边界中剔除。申请人不投资服务器仅影响资产归属，不改变该部分负荷在本数据中心计量边界内产生实际用电的事实；报告自身已以 36000kW 的 IT 负荷测算电量、能效和收入。本轮明确：项目能耗核算应涵盖计量边界内的全部物理用电，包括客户投资服务器所形成的用电。</w:t>
      </w:r>
    </w:p>
    <w:p>
      <w:pPr>
        <w:spacing w:before="0" w:after="0"/>
        <w:ind w:firstLine="480"/>
      </w:pPr>
      <w:r>
        <w:rPr>
          <w:rFonts w:ascii="Times New Roman" w:hAnsi="Times New Roman" w:eastAsia="仿宋"/>
          <w:b w:val="0"/>
          <w:sz w:val="24"/>
        </w:rPr>
        <w:t>四、能效指标应按运营年加权值考核。PUE 1.199 系满载设计值，与申请人自行提供的 50% 负载 1.245 不一致，且本期不建液冷机柜。请提交投运期逐月负荷曲线及年加权 PUE 计算过程，分别给出投运首年和达产年数值。</w:t>
      </w:r>
    </w:p>
    <w:p>
      <w:pPr>
        <w:spacing w:before="0" w:after="0"/>
        <w:ind w:firstLine="480"/>
      </w:pPr>
      <w:r>
        <w:rPr>
          <w:rFonts w:ascii="Times New Roman" w:hAnsi="Times New Roman" w:eastAsia="仿宋"/>
          <w:b w:val="0"/>
          <w:sz w:val="24"/>
        </w:rPr>
        <w:t>五、绿电应落实为现场可计量的物理电量。本轮明确要求：绿电比例以项目现场可计量、可结算的物理电量为准，不接受以绿证购买替代年度绿电比例，也不接受以韶关园区合同或公司层面历史采购量代替里水项目级落实证据。请分列物理电量、绿证和环境权益，并明确归属与注销主体。</w:t>
      </w:r>
    </w:p>
    <w:p>
      <w:pPr>
        <w:spacing w:before="0" w:after="0"/>
        <w:ind w:firstLine="480"/>
      </w:pPr>
      <w:r>
        <w:rPr>
          <w:rFonts w:ascii="Times New Roman" w:hAnsi="Times New Roman" w:eastAsia="仿宋"/>
          <w:b w:val="0"/>
          <w:sz w:val="24"/>
        </w:rPr>
        <w:t>六、在年综合能耗量、统一电量边界、年加权 PUE、项目级绿电权益和完整服务器用电口径五项证据齐备之前，本轮不对本项目的能耗和“两高”相关内容作出肯定性判断。</w:t>
      </w:r>
    </w:p>
    <w:p>
      <w:pPr>
        <w:spacing w:before="160" w:after="0"/>
        <w:ind w:firstLine="560"/>
      </w:pPr>
      <w:r>
        <w:rPr>
          <w:rFonts w:ascii="Times New Roman" w:hAnsi="Times New Roman" w:eastAsia="楷体"/>
          <w:b/>
          <w:sz w:val="28"/>
        </w:rPr>
        <w:t>（三）窗口指导意见与整改要求</w:t>
      </w:r>
    </w:p>
    <w:p>
      <w:pPr>
        <w:spacing w:before="0" w:after="0"/>
        <w:ind w:firstLine="480"/>
      </w:pPr>
      <w:r>
        <w:rPr>
          <w:rFonts w:ascii="Times New Roman" w:hAnsi="Times New Roman" w:eastAsia="仿宋"/>
          <w:b w:val="0"/>
          <w:sz w:val="24"/>
        </w:rPr>
        <w:t>综合上述，建议本项目按里水 36MW 退回补正，补正齐备后另行安排审查。整改要求如下：</w:t>
      </w:r>
    </w:p>
    <w:p>
      <w:pPr>
        <w:spacing w:before="0" w:after="0"/>
        <w:ind w:firstLine="480"/>
      </w:pPr>
      <w:r>
        <w:rPr>
          <w:rFonts w:ascii="Times New Roman" w:hAnsi="Times New Roman" w:eastAsia="仿宋"/>
          <w:b w:val="0"/>
          <w:sz w:val="24"/>
        </w:rPr>
        <w:t>一、清除套版摘要。整组撤回或更正“韶塘园区、244.3 亩、6 栋、80000 个 2.5kW 标准机架、200MW（本次申报范围）”字段，并以书面形式确认本次唯一申请值为 36MW；同步排查全文，消除东莞、韶关、深圳等异址表述及“腾讯自研一体化高压直流柜”等异主体技术表述。</w:t>
      </w:r>
    </w:p>
    <w:p>
      <w:pPr>
        <w:spacing w:before="0" w:after="0"/>
        <w:ind w:firstLine="480"/>
      </w:pPr>
      <w:r>
        <w:rPr>
          <w:rFonts w:ascii="Times New Roman" w:hAnsi="Times New Roman" w:eastAsia="仿宋"/>
          <w:b w:val="0"/>
          <w:sz w:val="24"/>
        </w:rPr>
        <w:t>二、重做同址需求表。逐客户列明合同性质、签署主体、服务地址、IT 功率、算力、交付期及解约条件，明确 36MW 由哪些里水同址有效合同构成；意向需求单独列示，不得计作已签约量；消除“已签约 36MW”“已签约 200MW”“需求 62MW”三者之间的冲突。</w:t>
      </w:r>
    </w:p>
    <w:p>
      <w:pPr>
        <w:spacing w:before="0" w:after="0"/>
        <w:ind w:firstLine="480"/>
      </w:pPr>
      <w:r>
        <w:rPr>
          <w:rFonts w:ascii="Times New Roman" w:hAnsi="Times New Roman" w:eastAsia="仿宋"/>
          <w:b w:val="0"/>
          <w:sz w:val="24"/>
        </w:rPr>
        <w:t>三、统一能耗与能效测算。按 36MW 统一边界重列 IT 电量、辅助电量、总电量、负荷率、电价和年综合能耗量，补充逐月负荷曲线及年加权 PUE 计算过程，并明确服务器用电全额计入项目能耗。</w:t>
      </w:r>
    </w:p>
    <w:p>
      <w:pPr>
        <w:spacing w:before="0" w:after="0"/>
        <w:ind w:firstLine="480"/>
      </w:pPr>
      <w:r>
        <w:rPr>
          <w:rFonts w:ascii="Times New Roman" w:hAnsi="Times New Roman" w:eastAsia="仿宋"/>
          <w:b w:val="0"/>
          <w:sz w:val="24"/>
        </w:rPr>
        <w:t>四、补齐能评及相关附件。说明附件 1.6、1.11 应为何种文件并限期提交，落实节能审查程序；在能评成果形成前，不得以设计点数值作为能耗和能效结论。</w:t>
      </w:r>
    </w:p>
    <w:p>
      <w:pPr>
        <w:spacing w:before="0" w:after="0"/>
        <w:ind w:firstLine="480"/>
      </w:pPr>
      <w:r>
        <w:rPr>
          <w:rFonts w:ascii="Times New Roman" w:hAnsi="Times New Roman" w:eastAsia="仿宋"/>
          <w:b w:val="0"/>
          <w:sz w:val="24"/>
        </w:rPr>
        <w:t>五、落实项目级绿电证据。提交里水项目对应年度、对应电量、对应计量点的交易合同或具备约束力的供电承诺，分列物理电量、绿证和环境权益，并说明与韶关园区不存在重复计量。</w:t>
      </w:r>
    </w:p>
    <w:p>
      <w:pPr>
        <w:spacing w:before="0" w:after="0"/>
        <w:ind w:firstLine="480"/>
      </w:pPr>
      <w:r>
        <w:rPr>
          <w:rFonts w:ascii="Times New Roman" w:hAnsi="Times New Roman" w:eastAsia="仿宋"/>
          <w:b w:val="0"/>
          <w:sz w:val="24"/>
        </w:rPr>
        <w:t>六、完成用地和敏感点前置工作。说明存量用地现状用途、拟调整用途、调整程序及完成时点；在总平面图上标明酒店、幼儿园与机房、冷却设备、柴发机组和储油设施的位置及最近距离，并补充噪声、废气、消防和安全风险结论。</w:t>
      </w:r>
    </w:p>
    <w:p>
      <w:pPr>
        <w:spacing w:before="0" w:after="0"/>
        <w:ind w:firstLine="480"/>
      </w:pPr>
      <w:r>
        <w:rPr>
          <w:rFonts w:ascii="Times New Roman" w:hAnsi="Times New Roman" w:eastAsia="仿宋"/>
          <w:b w:val="0"/>
          <w:sz w:val="24"/>
        </w:rPr>
        <w:t>七、明确算力与设备边界。统一芯片型号和数量口径，说明 11483PFLOPS 的计算依据、采购主体、合同状态和安装时点；服务器不属本期投资的，其算力不得作为本期建设规模和收入测算依据。</w:t>
      </w:r>
    </w:p>
    <w:p>
      <w:pPr>
        <w:spacing w:before="0" w:after="0"/>
        <w:ind w:firstLine="480"/>
      </w:pPr>
      <w:r>
        <w:rPr>
          <w:rFonts w:ascii="Times New Roman" w:hAnsi="Times New Roman" w:eastAsia="仿宋"/>
          <w:b w:val="0"/>
          <w:sz w:val="24"/>
        </w:rPr>
        <w:t>八、重出财务测算。提交非空的利润表和现金流量表，更正“万元/P/月”与年度收入之间的期间错误，说明利润总额与收入减成本相差 7011.4 万元的原因，统一两套内部收益率和回收期口径，并按同一投资额和同一收入成本边界重算各项收益指标。</w:t>
      </w:r>
    </w:p>
    <w:p>
      <w:pPr>
        <w:spacing w:before="0" w:after="0"/>
        <w:ind w:firstLine="480"/>
      </w:pPr>
      <w:r>
        <w:rPr>
          <w:rFonts w:ascii="Times New Roman" w:hAnsi="Times New Roman" w:eastAsia="仿宋"/>
          <w:b w:val="0"/>
          <w:sz w:val="24"/>
        </w:rPr>
        <w:t>九、桥接供电容量。列明 36MW IT 负荷至总有功功率、视在功率、变压器容量和台数、冗余方式的逐级换算，澄清“机电投资 60000kW”的含义，并区分本期与终期。</w:t>
      </w:r>
    </w:p>
    <w:p>
      <w:pPr>
        <w:spacing w:before="0" w:after="0"/>
        <w:ind w:firstLine="480"/>
      </w:pPr>
      <w:r>
        <w:rPr>
          <w:rFonts w:ascii="Times New Roman" w:hAnsi="Times New Roman" w:eastAsia="仿宋"/>
          <w:b w:val="0"/>
          <w:sz w:val="24"/>
        </w:rPr>
        <w:t>十、补充现行政策依据。列出截至申报时仍然有效的逐项依据、适用条款及有效期。</w:t>
      </w:r>
    </w:p>
    <w:p>
      <w:pPr>
        <w:spacing w:before="0" w:after="0"/>
        <w:ind w:firstLine="480"/>
      </w:pPr>
      <w:r>
        <w:rPr>
          <w:rFonts w:ascii="Times New Roman" w:hAnsi="Times New Roman" w:eastAsia="仿宋"/>
          <w:b w:val="0"/>
          <w:sz w:val="24"/>
        </w:rPr>
        <w:t>十一、本件不构成对项目的任何肯定性评价，亦不得作为项目开工、用地、用能、供电和融资的依据。</w:t>
      </w:r>
    </w:p>
    <w:p>
      <w:pPr>
        <w:spacing w:before="240" w:after="80"/>
        <w:ind w:firstLine="600"/>
      </w:pPr>
      <w:r>
        <w:rPr>
          <w:rFonts w:ascii="Times New Roman" w:hAnsi="Times New Roman" w:eastAsia="黑体"/>
          <w:b w:val="0"/>
          <w:sz w:val="30"/>
        </w:rPr>
        <w:t>附件：现场口播提问卡（六问）</w:t>
      </w:r>
    </w:p>
    <w:p>
      <w:pPr>
        <w:spacing w:before="0" w:after="0"/>
        <w:ind w:firstLine="480"/>
      </w:pPr>
      <w:r>
        <w:rPr>
          <w:rFonts w:ascii="Times New Roman" w:hAnsi="Times New Roman" w:eastAsia="仿宋"/>
          <w:b w:val="0"/>
          <w:sz w:val="24"/>
        </w:rPr>
        <w:t>本附件仅供评审现场提问使用，不作为正式意见的组成部分。</w:t>
      </w:r>
    </w:p>
    <w:p>
      <w:pPr>
        <w:spacing w:before="0" w:after="0"/>
        <w:ind w:firstLine="480"/>
      </w:pPr>
      <w:r>
        <w:rPr>
          <w:rFonts w:ascii="Times New Roman" w:hAnsi="Times New Roman" w:eastAsia="仿宋"/>
          <w:b w:val="0"/>
          <w:sz w:val="24"/>
        </w:rPr>
        <w:t>问题一，当场确认只有 36MW。索引表和里水正文均为 36MW、14400 个机架、46.55 亩、新建 1 栋，摘要却写韶塘园区 200MW、80000 个机架、244.3 亩、6 栋，且 80000×2.5kW 恰为 200MW、14400×2.5kW 恰为 36MW，两组数据各自成套。若答摘要误植，则追问是否同意整组撤回、本次只审 36MW；若答 200MW，则追问对应的里水土地、楼栋、投资和供电容量分别在哪里。</w:t>
      </w:r>
    </w:p>
    <w:p>
      <w:pPr>
        <w:spacing w:before="0" w:after="0"/>
        <w:ind w:firstLine="480"/>
      </w:pPr>
      <w:r>
        <w:rPr>
          <w:rFonts w:ascii="Times New Roman" w:hAnsi="Times New Roman" w:eastAsia="仿宋"/>
          <w:b w:val="0"/>
          <w:sz w:val="24"/>
        </w:rPr>
        <w:t>问题二，36MW 由哪些同址合同组成。稿内同时出现“已签约 36MW”“已签约 200MW”和“需求 62MW”，其中邦程 7MW 标注东莞，唯颐 55MW 的附件仅为合作需求书。若答 62MW 覆盖 36MW，则追问其中哪 36MW 已签约、服务地址是否在里水、何时上架；若答客户信息保密，则追问能否核验脱敏合同的地址、功率和期限。意向不得替代签约。</w:t>
      </w:r>
    </w:p>
    <w:p>
      <w:pPr>
        <w:spacing w:before="0" w:after="0"/>
        <w:ind w:firstLine="480"/>
      </w:pPr>
      <w:r>
        <w:rPr>
          <w:rFonts w:ascii="Times New Roman" w:hAnsi="Times New Roman" w:eastAsia="仿宋"/>
          <w:b w:val="0"/>
          <w:sz w:val="24"/>
        </w:rPr>
        <w:t>问题三，PUE 1.199 是否贴着满载点。1.199 按负荷率 1.0 算得，材料又载 50% 负载 1.245，且液冷机柜本期暂不建。若答 1.199 为全年值，则追问爬坡期如何维持满载效率、逐月负荷表在何处；若答依靠液冷改善，则追问液冷既不在本期建设，其依据是什么。</w:t>
      </w:r>
    </w:p>
    <w:p>
      <w:pPr>
        <w:spacing w:before="0" w:after="0"/>
        <w:ind w:firstLine="480"/>
      </w:pPr>
      <w:r>
        <w:rPr>
          <w:rFonts w:ascii="Times New Roman" w:hAnsi="Times New Roman" w:eastAsia="仿宋"/>
          <w:b w:val="0"/>
          <w:sz w:val="24"/>
        </w:rPr>
        <w:t>问题四，不投服务器为何能拿掉用电。报告一方面称土建机电不投服务器，另一方面以 36000kW 的 IT 负荷计算电量、PUE 和 11483P 收入，节能审查及附件 1.6、1.11 又均为“暂无”。若答电费由客户承担，则追问计量点内的物理总用电是否仍属于本数据中心，36MW 对应的年综合能耗量和能评结论在哪里；若答后续补测算，则追问在此之前依据什么确认能耗可落实。</w:t>
      </w:r>
    </w:p>
    <w:p>
      <w:pPr>
        <w:spacing w:before="0" w:after="0"/>
        <w:ind w:firstLine="480"/>
      </w:pPr>
      <w:r>
        <w:rPr>
          <w:rFonts w:ascii="Times New Roman" w:hAnsi="Times New Roman" w:eastAsia="仿宋"/>
          <w:b w:val="0"/>
          <w:sz w:val="24"/>
        </w:rPr>
        <w:t>问题五，里水绿电和敏感点是否有项目级证据。项目承诺绿电大于 80%，附件却是 2025 年韶关园区合同；里水属存量用地、性质待调整，院内还有酒店和幼儿园。若答由公司统筹绿电，则追问分配到里水的年度电量、计量点、绿证和权益归属，并说明为何不落实现场物理电量；若答场地可以兼容，则追问用途调整时点、最近距离及柴发储油设施结论。</w:t>
      </w:r>
    </w:p>
    <w:p>
      <w:pPr>
        <w:spacing w:before="0" w:after="0"/>
        <w:ind w:firstLine="480"/>
      </w:pPr>
      <w:r>
        <w:rPr>
          <w:rFonts w:ascii="Times New Roman" w:hAnsi="Times New Roman" w:eastAsia="仿宋"/>
          <w:b w:val="0"/>
          <w:sz w:val="24"/>
        </w:rPr>
        <w:t>问题六，财务表为何算不平。“其他收入”按 3.3 万元/P/月算出 32210 万元后直接进入达产年收入；收入减成本为 22549.6 万元，所列利润总额却是 29561 万元，相差 7011.4 万元，利润表和现金流表还是空表。若答单位或期间写错，则追问何时提交完整重算，现有净现值、内部收益率和回收期是否全部撤回；若答另有口径，则追问该口径的计算过程在何处。</w:t>
      </w:r>
    </w:p>
    <w:sectPr w:rsidR="00FC693F" w:rsidRPr="0006063C" w:rsidSect="00034616">
      <w:footerReference w:type="default" r:id="rId9"/>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仿宋"/>
        <w:b w:val="0"/>
        <w:sz w:val="2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60" w:after="0"/>
    </w:pPr>
    <w:rPr>
      <w:rFonts w:ascii="Times New Roman" w:hAnsi="Times New Roman"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