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40" w:line="360" w:lineRule="auto"/>
        <w:jc w:val="center"/>
      </w:pPr>
      <w:r>
        <w:rPr>
          <w:rFonts w:ascii="Times New Roman" w:hAnsi="Times New Roman" w:eastAsia="方正小标宋简体"/>
          <w:b/>
          <w:color w:val="1F1F1F"/>
          <w:sz w:val="52"/>
        </w:rPr>
        <w:t>南网总部基地绿色智慧近零碳园区规划方案</w:t>
      </w:r>
    </w:p>
    <w:p>
      <w:pPr>
        <w:spacing w:before="0" w:after="200" w:line="360" w:lineRule="auto"/>
        <w:jc w:val="center"/>
      </w:pPr>
      <w:r>
        <w:rPr>
          <w:rFonts w:ascii="Times New Roman" w:hAnsi="Times New Roman" w:eastAsia="仿宋_GB2312"/>
          <w:b/>
          <w:color w:val="1F1F1F"/>
          <w:sz w:val="28"/>
        </w:rPr>
        <w:t>（规划方案 · 工作稿）</w:t>
      </w:r>
    </w:p>
    <w:p>
      <w:pPr>
        <w:spacing w:before="0" w:after="200" w:line="360" w:lineRule="auto"/>
        <w:jc w:val="left"/>
      </w:pPr>
      <w:r>
        <w:rPr>
          <w:rFonts w:ascii="Times New Roman" w:hAnsi="Times New Roman" w:eastAsia="仿宋_GB2312"/>
          <w:b w:val="0"/>
          <w:color w:val="1F1F1F"/>
          <w:sz w:val="28"/>
        </w:rPr>
        <w:t>编制单位：南网能源公司（主笔）</w:t>
      </w:r>
    </w:p>
    <w:p>
      <w:pPr>
        <w:spacing w:before="0" w:after="200" w:line="360" w:lineRule="auto"/>
        <w:jc w:val="left"/>
      </w:pPr>
      <w:r>
        <w:rPr>
          <w:rFonts w:ascii="Times New Roman" w:hAnsi="Times New Roman" w:eastAsia="仿宋_GB2312"/>
          <w:b w:val="0"/>
          <w:color w:val="1F1F1F"/>
          <w:sz w:val="28"/>
        </w:rPr>
        <w:t>规划对象：南网总部基地既有园区</w:t>
      </w:r>
    </w:p>
    <w:p>
      <w:pPr>
        <w:spacing w:before="0" w:after="200" w:line="360" w:lineRule="auto"/>
        <w:jc w:val="left"/>
      </w:pPr>
      <w:r>
        <w:rPr>
          <w:rFonts w:ascii="Times New Roman" w:hAnsi="Times New Roman" w:eastAsia="仿宋_GB2312"/>
          <w:b w:val="0"/>
          <w:color w:val="1F1F1F"/>
          <w:sz w:val="28"/>
        </w:rPr>
        <w:t>编制日期：2026 年 9 月 2 日</w:t>
      </w:r>
    </w:p>
    <w:p>
      <w:pPr>
        <w:spacing w:before="720" w:after="200" w:line="312" w:lineRule="auto"/>
        <w:ind w:firstLine="480"/>
        <w:jc w:val="left"/>
      </w:pPr>
      <w:r>
        <w:rPr>
          <w:rFonts w:ascii="Times New Roman" w:hAnsi="Times New Roman" w:eastAsia="仿宋_GB2312"/>
          <w:b w:val="0"/>
          <w:color w:val="1F1F1F"/>
          <w:sz w:val="24"/>
        </w:rPr>
        <w:t>稿件性质：园区规划方案，用于确定总部基地既有园的规划目标、指标体系、总体布局、专项规划、重点项目库与分期建设计划，作为后续预可行性方案、专项设计与年度建设计划的上位依据。本稿不是调研报告、方向论证材料或请示件。稿中缺失或未经核证的数据以【待核】标注，核证后按程序更新指标值，不改变规划结构。</w:t>
      </w:r>
    </w:p>
    <w:p>
      <w:pPr>
        <w:pageBreakBefore/>
        <w:spacing w:before="0" w:after="240" w:line="360" w:lineRule="auto"/>
        <w:jc w:val="center"/>
      </w:pPr>
      <w:r>
        <w:rPr>
          <w:rFonts w:ascii="Times New Roman" w:hAnsi="Times New Roman" w:eastAsia="黑体"/>
          <w:color w:val="1F1F1F"/>
          <w:sz w:val="32"/>
        </w:rPr>
        <w:t>目　录</w:t>
      </w:r>
    </w:p>
    <w:p>
      <w:pPr>
        <w:spacing w:before="0" w:after="120" w:line="312" w:lineRule="auto"/>
      </w:pPr>
      <w:r>
        <w:rPr>
          <w:rFonts w:ascii="Times New Roman" w:hAnsi="Times New Roman" w:eastAsia="宋体"/>
          <w:color w:val="1F1F1F"/>
          <w:sz w:val="24"/>
        </w:rPr>
        <w:fldChar w:fldCharType="begin"/>
        <w:instrText xml:space="preserve">TOC \o "1-2" \h \z \u</w:instrText>
        <w:fldChar w:fldCharType="separate"/>
        <w:t xml:space="preserve">（目录域：在 Word 中右键“更新域”生成）</w:t>
        <w:fldChar w:fldCharType="end"/>
      </w:r>
    </w:p>
    <w:p>
      <w:pPr>
        <w:pStyle w:val="Heading1"/>
        <w:keepNext/>
        <w:pageBreakBefore/>
        <w:spacing w:before="360" w:after="240" w:line="360" w:lineRule="auto"/>
        <w:jc w:val="center"/>
      </w:pPr>
      <w:r>
        <w:rPr>
          <w:rFonts w:ascii="Times New Roman" w:hAnsi="Times New Roman" w:eastAsia="黑体"/>
          <w:b w:val="0"/>
          <w:color w:val="1F1F1F"/>
          <w:sz w:val="36"/>
        </w:rPr>
        <w:t>第一章 规划范围、期限与依据</w:t>
      </w:r>
    </w:p>
    <w:p>
      <w:pPr>
        <w:pStyle w:val="Heading2"/>
        <w:keepNext/>
        <w:spacing w:before="240" w:after="120" w:line="360" w:lineRule="auto"/>
      </w:pPr>
      <w:r>
        <w:rPr>
          <w:rFonts w:ascii="Times New Roman" w:hAnsi="Times New Roman" w:eastAsia="黑体"/>
          <w:b w:val="0"/>
          <w:color w:val="1F1F1F"/>
          <w:sz w:val="32"/>
        </w:rPr>
        <w:t>一、规划范围</w:t>
      </w:r>
    </w:p>
    <w:p>
      <w:pPr>
        <w:spacing w:before="0" w:after="120" w:line="360" w:lineRule="auto"/>
        <w:ind w:firstLine="480"/>
      </w:pPr>
      <w:r>
        <w:rPr>
          <w:rFonts w:ascii="Times New Roman" w:hAnsi="Times New Roman" w:eastAsia="仿宋_GB2312"/>
          <w:b w:val="0"/>
          <w:color w:val="1F1F1F"/>
          <w:sz w:val="32"/>
        </w:rPr>
        <w:t>规划范围为南网总部基地既有园区全部用地、建筑及其配套系统，包括：办公楼群及其围护结构、室内环境与照明末端；园区冷站、冰蓄冷系统、输配水系统与空调末端；数据机房及其供配电、制冷系统；园区供配电系统、既有光伏、充电设施；园区道路、庭院、绿地、水体与公共空间；园区信息化与自动化系统。</w:t>
      </w:r>
    </w:p>
    <w:p>
      <w:pPr>
        <w:spacing w:before="0" w:after="120" w:line="360" w:lineRule="auto"/>
        <w:ind w:firstLine="480"/>
      </w:pPr>
      <w:r>
        <w:rPr>
          <w:rFonts w:ascii="Times New Roman" w:hAnsi="Times New Roman" w:eastAsia="仿宋_GB2312"/>
          <w:b w:val="0"/>
          <w:color w:val="1F1F1F"/>
          <w:sz w:val="32"/>
        </w:rPr>
        <w:t>碳核算与用能核算边界按全园确定，同时分设“办公区”与“数据机房”两个子账。全园总账用于近零碳目标考核，两个子账用于分析各自的降碳路径与责任划分。数据机房是否在认证申报时单列，随认证口径确定后另行处理，不影响本规划的边界设定。</w:t>
      </w:r>
    </w:p>
    <w:p>
      <w:pPr>
        <w:pStyle w:val="Heading2"/>
        <w:keepNext/>
        <w:spacing w:before="240" w:after="120" w:line="360" w:lineRule="auto"/>
      </w:pPr>
      <w:r>
        <w:rPr>
          <w:rFonts w:ascii="Times New Roman" w:hAnsi="Times New Roman" w:eastAsia="黑体"/>
          <w:b w:val="0"/>
          <w:color w:val="1F1F1F"/>
          <w:sz w:val="32"/>
        </w:rPr>
        <w:t>二、规划期限</w:t>
      </w:r>
    </w:p>
    <w:p>
      <w:pPr>
        <w:spacing w:before="0" w:after="120" w:line="360" w:lineRule="auto"/>
        <w:ind w:firstLine="480"/>
      </w:pPr>
      <w:r>
        <w:rPr>
          <w:rFonts w:ascii="Times New Roman" w:hAnsi="Times New Roman" w:eastAsia="仿宋_GB2312"/>
          <w:b w:val="0"/>
          <w:color w:val="1F1F1F"/>
          <w:sz w:val="32"/>
        </w:rPr>
        <w:t>规划基期为 2027 年，以 2027 年一个完整供冷季的实测数据作为基期基线。规划期为 2027—2035 年，分三期：</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92"/>
        <w:gridCol w:w="1954"/>
        <w:gridCol w:w="4209"/>
        <w:gridCol w:w="1490"/>
      </w:tblGrid>
      <w:tr>
        <w:trPr>
          <w:cantSplit/>
          <w:tblHeader/>
        </w:trPr>
        <w:tc>
          <w:tcPr>
            <w:tcW w:type="dxa" w:w="1192"/>
            <w:shd w:val="clear" w:color="auto" w:fill="E7EEF3"/>
          </w:tcPr>
          <w:p>
            <w:pPr>
              <w:keepNext/>
              <w:spacing w:before="0" w:after="0" w:line="276" w:lineRule="auto"/>
              <w:jc w:val="center"/>
            </w:pPr>
            <w:r/>
            <w:r>
              <w:rPr>
                <w:rFonts w:ascii="Times New Roman" w:hAnsi="Times New Roman" w:eastAsia="宋体"/>
                <w:b/>
                <w:color w:val="1F1F1F"/>
                <w:sz w:val="18"/>
              </w:rPr>
              <w:t>分期</w:t>
            </w:r>
          </w:p>
        </w:tc>
        <w:tc>
          <w:tcPr>
            <w:tcW w:type="dxa" w:w="1954"/>
            <w:shd w:val="clear" w:color="auto" w:fill="E7EEF3"/>
          </w:tcPr>
          <w:p>
            <w:pPr>
              <w:keepNext/>
              <w:spacing w:before="0" w:after="0" w:line="276" w:lineRule="auto"/>
              <w:jc w:val="center"/>
            </w:pPr>
            <w:r/>
            <w:r>
              <w:rPr>
                <w:rFonts w:ascii="Times New Roman" w:hAnsi="Times New Roman" w:eastAsia="宋体"/>
                <w:b/>
                <w:color w:val="1F1F1F"/>
                <w:sz w:val="18"/>
              </w:rPr>
              <w:t>年限</w:t>
            </w:r>
          </w:p>
        </w:tc>
        <w:tc>
          <w:tcPr>
            <w:tcW w:type="dxa" w:w="4209"/>
            <w:shd w:val="clear" w:color="auto" w:fill="E7EEF3"/>
          </w:tcPr>
          <w:p>
            <w:pPr>
              <w:keepNext/>
              <w:spacing w:before="0" w:after="0" w:line="276" w:lineRule="auto"/>
              <w:jc w:val="center"/>
            </w:pPr>
            <w:r/>
            <w:r>
              <w:rPr>
                <w:rFonts w:ascii="Times New Roman" w:hAnsi="Times New Roman" w:eastAsia="宋体"/>
                <w:b/>
                <w:color w:val="1F1F1F"/>
                <w:sz w:val="18"/>
              </w:rPr>
              <w:t>阶段任务</w:t>
            </w:r>
          </w:p>
        </w:tc>
        <w:tc>
          <w:tcPr>
            <w:tcW w:type="dxa" w:w="1490"/>
            <w:shd w:val="clear" w:color="auto" w:fill="E7EEF3"/>
          </w:tcPr>
          <w:p>
            <w:pPr>
              <w:keepNext/>
              <w:spacing w:before="0" w:after="0" w:line="276" w:lineRule="auto"/>
              <w:jc w:val="center"/>
            </w:pPr>
            <w:r/>
            <w:r>
              <w:rPr>
                <w:rFonts w:ascii="Times New Roman" w:hAnsi="Times New Roman" w:eastAsia="宋体"/>
                <w:b/>
                <w:color w:val="1F1F1F"/>
                <w:sz w:val="18"/>
              </w:rPr>
              <w:t>目标年</w:t>
            </w:r>
          </w:p>
        </w:tc>
      </w:tr>
      <w:tr>
        <w:trPr>
          <w:cantSplit/>
        </w:trPr>
        <w:tc>
          <w:tcPr>
            <w:tcW w:type="dxa" w:w="1192"/>
          </w:tcPr>
          <w:p>
            <w:pPr>
              <w:spacing w:before="0" w:after="0" w:line="276" w:lineRule="auto"/>
            </w:pPr>
            <w:r/>
            <w:r>
              <w:rPr>
                <w:rFonts w:ascii="Times New Roman" w:hAnsi="Times New Roman" w:eastAsia="宋体"/>
                <w:b w:val="0"/>
                <w:color w:val="1F1F1F"/>
                <w:sz w:val="18"/>
              </w:rPr>
              <w:t>近期</w:t>
            </w:r>
          </w:p>
        </w:tc>
        <w:tc>
          <w:tcPr>
            <w:tcW w:type="dxa" w:w="1954"/>
          </w:tcPr>
          <w:p>
            <w:pPr>
              <w:spacing w:before="0" w:after="0" w:line="276" w:lineRule="auto"/>
            </w:pPr>
            <w:r/>
            <w:r>
              <w:rPr>
                <w:rFonts w:ascii="Times New Roman" w:hAnsi="Times New Roman" w:eastAsia="宋体"/>
                <w:b w:val="0"/>
                <w:color w:val="1F1F1F"/>
                <w:sz w:val="18"/>
              </w:rPr>
              <w:t>2027—2028 年</w:t>
            </w:r>
          </w:p>
        </w:tc>
        <w:tc>
          <w:tcPr>
            <w:tcW w:type="dxa" w:w="4209"/>
          </w:tcPr>
          <w:p>
            <w:pPr>
              <w:spacing w:before="0" w:after="0" w:line="276" w:lineRule="auto"/>
            </w:pPr>
            <w:r/>
            <w:r>
              <w:rPr>
                <w:rFonts w:ascii="Times New Roman" w:hAnsi="Times New Roman" w:eastAsia="宋体"/>
                <w:b w:val="0"/>
                <w:color w:val="1F1F1F"/>
                <w:sz w:val="18"/>
              </w:rPr>
              <w:t>建立基线与碳账，完成平台总体设计，园中园试点建成并取得一个供冷季数据，达到低碳档</w:t>
            </w:r>
          </w:p>
        </w:tc>
        <w:tc>
          <w:tcPr>
            <w:tcW w:type="dxa" w:w="1490"/>
          </w:tcPr>
          <w:p>
            <w:pPr>
              <w:spacing w:before="0" w:after="0" w:line="276" w:lineRule="auto"/>
            </w:pPr>
            <w:r/>
            <w:r>
              <w:rPr>
                <w:rFonts w:ascii="Times New Roman" w:hAnsi="Times New Roman" w:eastAsia="宋体"/>
                <w:b w:val="0"/>
                <w:color w:val="1F1F1F"/>
                <w:sz w:val="18"/>
              </w:rPr>
              <w:t>2028 年</w:t>
            </w:r>
          </w:p>
        </w:tc>
      </w:tr>
      <w:tr>
        <w:trPr>
          <w:cantSplit/>
        </w:trPr>
        <w:tc>
          <w:tcPr>
            <w:tcW w:type="dxa" w:w="1192"/>
          </w:tcPr>
          <w:p>
            <w:pPr>
              <w:spacing w:before="0" w:after="0" w:line="276" w:lineRule="auto"/>
            </w:pPr>
            <w:r/>
            <w:r>
              <w:rPr>
                <w:rFonts w:ascii="Times New Roman" w:hAnsi="Times New Roman" w:eastAsia="宋体"/>
                <w:b w:val="0"/>
                <w:color w:val="1F1F1F"/>
                <w:sz w:val="18"/>
              </w:rPr>
              <w:t>中期</w:t>
            </w:r>
          </w:p>
        </w:tc>
        <w:tc>
          <w:tcPr>
            <w:tcW w:type="dxa" w:w="1954"/>
          </w:tcPr>
          <w:p>
            <w:pPr>
              <w:spacing w:before="0" w:after="0" w:line="276" w:lineRule="auto"/>
            </w:pPr>
            <w:r/>
            <w:r>
              <w:rPr>
                <w:rFonts w:ascii="Times New Roman" w:hAnsi="Times New Roman" w:eastAsia="宋体"/>
                <w:b w:val="0"/>
                <w:color w:val="1F1F1F"/>
                <w:sz w:val="18"/>
              </w:rPr>
              <w:t>2029—2030 年</w:t>
            </w:r>
          </w:p>
        </w:tc>
        <w:tc>
          <w:tcPr>
            <w:tcW w:type="dxa" w:w="4209"/>
          </w:tcPr>
          <w:p>
            <w:pPr>
              <w:spacing w:before="0" w:after="0" w:line="276" w:lineRule="auto"/>
            </w:pPr>
            <w:r/>
            <w:r>
              <w:rPr>
                <w:rFonts w:ascii="Times New Roman" w:hAnsi="Times New Roman" w:eastAsia="宋体"/>
                <w:b w:val="0"/>
                <w:color w:val="1F1F1F"/>
                <w:sz w:val="18"/>
              </w:rPr>
              <w:t>全园推广，建成绿色、智慧、近零碳园区，达到近零碳档</w:t>
            </w:r>
          </w:p>
        </w:tc>
        <w:tc>
          <w:tcPr>
            <w:tcW w:type="dxa" w:w="1490"/>
          </w:tcPr>
          <w:p>
            <w:pPr>
              <w:spacing w:before="0" w:after="0" w:line="276" w:lineRule="auto"/>
            </w:pPr>
            <w:r/>
            <w:r>
              <w:rPr>
                <w:rFonts w:ascii="Times New Roman" w:hAnsi="Times New Roman" w:eastAsia="宋体"/>
                <w:b w:val="0"/>
                <w:color w:val="1F1F1F"/>
                <w:sz w:val="18"/>
              </w:rPr>
              <w:t>2030 年</w:t>
            </w:r>
          </w:p>
        </w:tc>
      </w:tr>
      <w:tr>
        <w:trPr>
          <w:cantSplit/>
        </w:trPr>
        <w:tc>
          <w:tcPr>
            <w:tcW w:type="dxa" w:w="1192"/>
          </w:tcPr>
          <w:p>
            <w:pPr>
              <w:spacing w:before="0" w:after="0" w:line="276" w:lineRule="auto"/>
            </w:pPr>
            <w:r/>
            <w:r>
              <w:rPr>
                <w:rFonts w:ascii="Times New Roman" w:hAnsi="Times New Roman" w:eastAsia="宋体"/>
                <w:b w:val="0"/>
                <w:color w:val="1F1F1F"/>
                <w:sz w:val="18"/>
              </w:rPr>
              <w:t>远期</w:t>
            </w:r>
          </w:p>
        </w:tc>
        <w:tc>
          <w:tcPr>
            <w:tcW w:type="dxa" w:w="1954"/>
          </w:tcPr>
          <w:p>
            <w:pPr>
              <w:spacing w:before="0" w:after="0" w:line="276" w:lineRule="auto"/>
            </w:pPr>
            <w:r/>
            <w:r>
              <w:rPr>
                <w:rFonts w:ascii="Times New Roman" w:hAnsi="Times New Roman" w:eastAsia="宋体"/>
                <w:b w:val="0"/>
                <w:color w:val="1F1F1F"/>
                <w:sz w:val="18"/>
              </w:rPr>
              <w:t>2031—2035 年</w:t>
            </w:r>
          </w:p>
        </w:tc>
        <w:tc>
          <w:tcPr>
            <w:tcW w:type="dxa" w:w="4209"/>
          </w:tcPr>
          <w:p>
            <w:pPr>
              <w:spacing w:before="0" w:after="0" w:line="276" w:lineRule="auto"/>
            </w:pPr>
            <w:r/>
            <w:r>
              <w:rPr>
                <w:rFonts w:ascii="Times New Roman" w:hAnsi="Times New Roman" w:eastAsia="宋体"/>
                <w:b w:val="0"/>
                <w:color w:val="1F1F1F"/>
                <w:sz w:val="18"/>
              </w:rPr>
              <w:t>深化运营，向南网内其他园区复制；结合绿电与抵消机制条件研究碳中和路径</w:t>
            </w:r>
          </w:p>
        </w:tc>
        <w:tc>
          <w:tcPr>
            <w:tcW w:type="dxa" w:w="1490"/>
          </w:tcPr>
          <w:p>
            <w:pPr>
              <w:spacing w:before="0" w:after="0" w:line="276" w:lineRule="auto"/>
            </w:pPr>
            <w:r/>
            <w:r>
              <w:rPr>
                <w:rFonts w:ascii="Times New Roman" w:hAnsi="Times New Roman" w:eastAsia="宋体"/>
                <w:b w:val="0"/>
                <w:color w:val="1F1F1F"/>
                <w:sz w:val="18"/>
              </w:rPr>
              <w:t>2035 年</w:t>
            </w:r>
          </w:p>
        </w:tc>
      </w:tr>
    </w:tbl>
    <w:p>
      <w:pPr>
        <w:spacing w:after="80"/>
      </w:pPr>
    </w:p>
    <w:p>
      <w:pPr>
        <w:pStyle w:val="Heading2"/>
        <w:keepNext/>
        <w:spacing w:before="240" w:after="120" w:line="360" w:lineRule="auto"/>
      </w:pPr>
      <w:r>
        <w:rPr>
          <w:rFonts w:ascii="Times New Roman" w:hAnsi="Times New Roman" w:eastAsia="黑体"/>
          <w:b w:val="0"/>
          <w:color w:val="1F1F1F"/>
          <w:sz w:val="32"/>
        </w:rPr>
        <w:t>三、规划依据</w:t>
      </w:r>
    </w:p>
    <w:p>
      <w:pPr>
        <w:spacing w:before="0" w:after="120" w:line="360" w:lineRule="auto"/>
        <w:ind w:firstLine="480"/>
      </w:pPr>
      <w:r>
        <w:rPr>
          <w:rFonts w:ascii="Times New Roman" w:hAnsi="Times New Roman" w:eastAsia="仿宋_GB2312"/>
          <w:b/>
          <w:color w:val="1F1F1F"/>
          <w:sz w:val="32"/>
        </w:rPr>
        <w:t>（一）国家政策与规划。</w:t>
      </w:r>
      <w:r>
        <w:rPr>
          <w:rFonts w:ascii="Times New Roman" w:hAnsi="Times New Roman" w:eastAsia="仿宋_GB2312"/>
          <w:b w:val="0"/>
          <w:color w:val="1F1F1F"/>
          <w:sz w:val="32"/>
        </w:rPr>
        <w:t xml:space="preserve"> 中共中央办公厅、国务院办公厅关于做好节能降碳工作的意见；国务院节能降碳行动方案；国家发展改革委、国家能源局、国家数据局加快构建新型电力系统行动方案；国家发展改革委、国家能源局关于推进“人工智能+”能源高质量发展的实施意见；国管局等部门公共机构绿色低碳引领行动实施方案（作大型总部办公园区的方向参照）；住房和城乡建设部建筑节能与绿色建筑发展规划及城乡建设领域碳达峰实施方案。</w:t>
      </w:r>
    </w:p>
    <w:p>
      <w:pPr>
        <w:spacing w:before="0" w:after="120" w:line="360" w:lineRule="auto"/>
        <w:ind w:firstLine="480"/>
      </w:pPr>
      <w:r>
        <w:rPr>
          <w:rFonts w:ascii="Times New Roman" w:hAnsi="Times New Roman" w:eastAsia="仿宋_GB2312"/>
          <w:b/>
          <w:color w:val="1F1F1F"/>
          <w:sz w:val="32"/>
        </w:rPr>
        <w:t>（二）标准规范。</w:t>
      </w:r>
      <w:r>
        <w:rPr>
          <w:rFonts w:ascii="Times New Roman" w:hAnsi="Times New Roman" w:eastAsia="仿宋_GB2312"/>
          <w:b w:val="0"/>
          <w:color w:val="1F1F1F"/>
          <w:sz w:val="32"/>
        </w:rPr>
        <w:t xml:space="preserve"> 《建筑节能与可再生能源利用通用规范》GB 55015；《建筑与市政工程无障碍通用规范》GB 55019；《公共建筑节能设计标准》GB 50189；《民用建筑能耗标准》GB/T 51161；《绿色建筑评价标准》GB/T 50378；《既有建筑绿色改造评价标准》GB/T 51141；《近零能耗建筑技术标准》GB/T 51350；《零碳建筑技术标准》（稿件状态与实施时间【待核】，其园区层级台阶作目标档位参照，正式文本发布后校核）；室内空气质量、照明、声环境等相关国家标准；健康建筑相关标准（团体标准，作引导性指标参照）。</w:t>
      </w:r>
    </w:p>
    <w:p>
      <w:pPr>
        <w:spacing w:before="0" w:after="120" w:line="360" w:lineRule="auto"/>
        <w:ind w:firstLine="480"/>
      </w:pPr>
      <w:r>
        <w:rPr>
          <w:rFonts w:ascii="Times New Roman" w:hAnsi="Times New Roman" w:eastAsia="仿宋_GB2312"/>
          <w:b/>
          <w:color w:val="1F1F1F"/>
          <w:sz w:val="32"/>
        </w:rPr>
        <w:t>（三）公司层面依据。</w:t>
      </w:r>
      <w:r>
        <w:rPr>
          <w:rFonts w:ascii="Times New Roman" w:hAnsi="Times New Roman" w:eastAsia="仿宋_GB2312"/>
          <w:b w:val="0"/>
          <w:color w:val="1F1F1F"/>
          <w:sz w:val="32"/>
        </w:rPr>
        <w:t xml:space="preserve"> 南网以新型电网为枢纽推进协同发展的战略部署（表述以正式文件为准）；2026 年 8 月 26 日总部基地节能改造规划方案研讨会已定事项；2026 年 8 月 27 日关于推进总部基地框架方案编制有关工作的安排；南网总部基地北京调研报告（2026 年 8 月）；《南网总部基地建设框架方案》修订稿（2026 年 8 月 30 日）。总部基地建设方案 V3 仅作园区家底、现状与卡点的资料来源，不作为本规划的立意与编制依据。</w:t>
      </w:r>
    </w:p>
    <w:p>
      <w:pPr>
        <w:pStyle w:val="Heading2"/>
        <w:keepNext/>
        <w:spacing w:before="240" w:after="120" w:line="360" w:lineRule="auto"/>
      </w:pPr>
      <w:r>
        <w:rPr>
          <w:rFonts w:ascii="Times New Roman" w:hAnsi="Times New Roman" w:eastAsia="黑体"/>
          <w:b w:val="0"/>
          <w:color w:val="1F1F1F"/>
          <w:sz w:val="32"/>
        </w:rPr>
        <w:t>四、规划定位与原则</w:t>
      </w:r>
    </w:p>
    <w:p>
      <w:pPr>
        <w:spacing w:before="0" w:after="120" w:line="360" w:lineRule="auto"/>
        <w:ind w:firstLine="480"/>
      </w:pPr>
      <w:r>
        <w:rPr>
          <w:rFonts w:ascii="Times New Roman" w:hAnsi="Times New Roman" w:eastAsia="仿宋_GB2312"/>
          <w:b w:val="0"/>
          <w:color w:val="1F1F1F"/>
          <w:sz w:val="32"/>
        </w:rPr>
        <w:t>总部基地是南网整体的名片和战略资产价值体系的验证场，走“内部验证—行业复制”路径；基地本身不是第二增长曲线，能源公司承担主笔与实施牵头，战略主体是南网。本规划以绿色、智慧、近零碳为三条主线，相互支撑：绿色管能与碳、水与生态；智慧管数字底座与运营；近零碳是园区的目标属性，由绿色提供减碳与抵消路径、由智慧提供可核验的数据。已锁定的六要素——绿色、高效、智慧、普惠、健康、人文——落到专项规划与指标体系中，不再单独成篇。</w:t>
      </w:r>
    </w:p>
    <w:p>
      <w:pPr>
        <w:spacing w:before="0" w:after="120" w:line="360" w:lineRule="auto"/>
        <w:ind w:firstLine="480"/>
      </w:pPr>
      <w:r>
        <w:rPr>
          <w:rFonts w:ascii="Times New Roman" w:hAnsi="Times New Roman" w:eastAsia="仿宋_GB2312"/>
          <w:b w:val="0"/>
          <w:color w:val="1F1F1F"/>
          <w:sz w:val="32"/>
        </w:rPr>
        <w:t>规划遵循四条原则：</w:t>
      </w:r>
    </w:p>
    <w:p>
      <w:pPr>
        <w:spacing w:before="0" w:after="80" w:line="360" w:lineRule="auto"/>
        <w:ind w:left="480" w:hanging="480"/>
      </w:pPr>
      <w:r>
        <w:rPr>
          <w:rFonts w:ascii="Times New Roman" w:hAnsi="Times New Roman" w:eastAsia="仿宋_GB2312"/>
          <w:b w:val="0"/>
          <w:color w:val="1F1F1F"/>
          <w:sz w:val="32"/>
        </w:rPr>
        <w:t>1．</w:t>
      </w:r>
      <w:r>
        <w:rPr>
          <w:rFonts w:ascii="Times New Roman" w:hAnsi="Times New Roman" w:eastAsia="仿宋_GB2312"/>
          <w:b/>
          <w:color w:val="1F1F1F"/>
          <w:sz w:val="32"/>
        </w:rPr>
        <w:t>不停机、分区实施。</w:t>
      </w:r>
      <w:r>
        <w:rPr>
          <w:rFonts w:ascii="Times New Roman" w:hAnsi="Times New Roman" w:eastAsia="仿宋_GB2312"/>
          <w:b w:val="0"/>
          <w:color w:val="1F1F1F"/>
          <w:sz w:val="32"/>
        </w:rPr>
        <w:t xml:space="preserve"> 约 5000 人持续办公【待核】，一切改造以园中园、分区试点方式推进，不做成片停机的整体改造。</w:t>
      </w:r>
    </w:p>
    <w:p>
      <w:pPr>
        <w:spacing w:before="0" w:after="80" w:line="360" w:lineRule="auto"/>
        <w:ind w:left="480" w:hanging="480"/>
      </w:pPr>
      <w:r>
        <w:rPr>
          <w:rFonts w:ascii="Times New Roman" w:hAnsi="Times New Roman" w:eastAsia="仿宋_GB2312"/>
          <w:b w:val="0"/>
          <w:color w:val="1F1F1F"/>
          <w:sz w:val="32"/>
        </w:rPr>
        <w:t>2．</w:t>
      </w:r>
      <w:r>
        <w:rPr>
          <w:rFonts w:ascii="Times New Roman" w:hAnsi="Times New Roman" w:eastAsia="仿宋_GB2312"/>
          <w:b/>
          <w:color w:val="1F1F1F"/>
          <w:sz w:val="32"/>
        </w:rPr>
        <w:t>先测后改、以数定标。</w:t>
      </w:r>
      <w:r>
        <w:rPr>
          <w:rFonts w:ascii="Times New Roman" w:hAnsi="Times New Roman" w:eastAsia="仿宋_GB2312"/>
          <w:b w:val="0"/>
          <w:color w:val="1F1F1F"/>
          <w:sz w:val="32"/>
        </w:rPr>
        <w:t xml:space="preserve"> 实测基线先于指标值，指标值先于设备选型；口述与资料宣称的数据只作量级参照。</w:t>
      </w:r>
    </w:p>
    <w:p>
      <w:pPr>
        <w:spacing w:before="0" w:after="80" w:line="360" w:lineRule="auto"/>
        <w:ind w:left="480" w:hanging="480"/>
      </w:pPr>
      <w:r>
        <w:rPr>
          <w:rFonts w:ascii="Times New Roman" w:hAnsi="Times New Roman" w:eastAsia="仿宋_GB2312"/>
          <w:b w:val="0"/>
          <w:color w:val="1F1F1F"/>
          <w:sz w:val="32"/>
        </w:rPr>
        <w:t>3．</w:t>
      </w:r>
      <w:r>
        <w:rPr>
          <w:rFonts w:ascii="Times New Roman" w:hAnsi="Times New Roman" w:eastAsia="仿宋_GB2312"/>
          <w:b/>
          <w:color w:val="1F1F1F"/>
          <w:sz w:val="32"/>
        </w:rPr>
        <w:t>一次规划、分期建设。</w:t>
      </w:r>
      <w:r>
        <w:rPr>
          <w:rFonts w:ascii="Times New Roman" w:hAnsi="Times New Roman" w:eastAsia="仿宋_GB2312"/>
          <w:b w:val="0"/>
          <w:color w:val="1F1F1F"/>
          <w:sz w:val="32"/>
        </w:rPr>
        <w:t xml:space="preserve"> 平台、计量、碳账等底座性内容一次规划到位，工程分期实施，避免二次集成。</w:t>
      </w:r>
    </w:p>
    <w:p>
      <w:pPr>
        <w:spacing w:before="0" w:after="80" w:line="360" w:lineRule="auto"/>
        <w:ind w:left="480" w:hanging="480"/>
      </w:pPr>
      <w:r>
        <w:rPr>
          <w:rFonts w:ascii="Times New Roman" w:hAnsi="Times New Roman" w:eastAsia="仿宋_GB2312"/>
          <w:b w:val="0"/>
          <w:color w:val="1F1F1F"/>
          <w:sz w:val="32"/>
        </w:rPr>
        <w:t>4．</w:t>
      </w:r>
      <w:r>
        <w:rPr>
          <w:rFonts w:ascii="Times New Roman" w:hAnsi="Times New Roman" w:eastAsia="仿宋_GB2312"/>
          <w:b/>
          <w:color w:val="1F1F1F"/>
          <w:sz w:val="32"/>
        </w:rPr>
        <w:t>成果可复制。</w:t>
      </w:r>
      <w:r>
        <w:rPr>
          <w:rFonts w:ascii="Times New Roman" w:hAnsi="Times New Roman" w:eastAsia="仿宋_GB2312"/>
          <w:b w:val="0"/>
          <w:color w:val="1F1F1F"/>
          <w:sz w:val="32"/>
        </w:rPr>
        <w:t xml:space="preserve"> 每个项目的产出除工程实体外，须包含可带走的方法、数据或规则，供南网内其他园区复用。</w:t>
      </w:r>
    </w:p>
    <w:p>
      <w:pPr>
        <w:pStyle w:val="Heading1"/>
        <w:keepNext/>
        <w:pageBreakBefore/>
        <w:spacing w:before="360" w:after="240" w:line="360" w:lineRule="auto"/>
        <w:jc w:val="center"/>
      </w:pPr>
      <w:r>
        <w:rPr>
          <w:rFonts w:ascii="Times New Roman" w:hAnsi="Times New Roman" w:eastAsia="黑体"/>
          <w:b w:val="0"/>
          <w:color w:val="1F1F1F"/>
          <w:sz w:val="36"/>
        </w:rPr>
        <w:t>第二章 现状与约束</w:t>
      </w:r>
    </w:p>
    <w:p>
      <w:pPr>
        <w:pStyle w:val="Heading2"/>
        <w:keepNext/>
        <w:spacing w:before="240" w:after="120" w:line="360" w:lineRule="auto"/>
      </w:pPr>
      <w:r>
        <w:rPr>
          <w:rFonts w:ascii="Times New Roman" w:hAnsi="Times New Roman" w:eastAsia="黑体"/>
          <w:b w:val="0"/>
          <w:color w:val="1F1F1F"/>
          <w:sz w:val="32"/>
        </w:rPr>
        <w:t>一、园区家底</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29"/>
        <w:gridCol w:w="5445"/>
        <w:gridCol w:w="1970"/>
      </w:tblGrid>
      <w:tr>
        <w:trPr>
          <w:cantSplit/>
          <w:tblHeader/>
        </w:trPr>
        <w:tc>
          <w:tcPr>
            <w:tcW w:type="dxa" w:w="1429"/>
            <w:shd w:val="clear" w:color="auto" w:fill="E7EEF3"/>
          </w:tcPr>
          <w:p>
            <w:pPr>
              <w:keepNext/>
              <w:spacing w:before="0" w:after="0" w:line="276" w:lineRule="auto"/>
              <w:jc w:val="center"/>
            </w:pPr>
            <w:r/>
            <w:r>
              <w:rPr>
                <w:rFonts w:ascii="Times New Roman" w:hAnsi="Times New Roman" w:eastAsia="宋体"/>
                <w:b/>
                <w:color w:val="1F1F1F"/>
                <w:sz w:val="18"/>
              </w:rPr>
              <w:t>项目</w:t>
            </w:r>
          </w:p>
        </w:tc>
        <w:tc>
          <w:tcPr>
            <w:tcW w:type="dxa" w:w="5445"/>
            <w:shd w:val="clear" w:color="auto" w:fill="E7EEF3"/>
          </w:tcPr>
          <w:p>
            <w:pPr>
              <w:keepNext/>
              <w:spacing w:before="0" w:after="0" w:line="276" w:lineRule="auto"/>
              <w:jc w:val="center"/>
            </w:pPr>
            <w:r/>
            <w:r>
              <w:rPr>
                <w:rFonts w:ascii="Times New Roman" w:hAnsi="Times New Roman" w:eastAsia="宋体"/>
                <w:b/>
                <w:color w:val="1F1F1F"/>
                <w:sz w:val="18"/>
              </w:rPr>
              <w:t>现状</w:t>
            </w:r>
          </w:p>
        </w:tc>
        <w:tc>
          <w:tcPr>
            <w:tcW w:type="dxa" w:w="1970"/>
            <w:shd w:val="clear" w:color="auto" w:fill="E7EEF3"/>
          </w:tcPr>
          <w:p>
            <w:pPr>
              <w:keepNext/>
              <w:spacing w:before="0" w:after="0" w:line="276" w:lineRule="auto"/>
              <w:jc w:val="center"/>
            </w:pPr>
            <w:r/>
            <w:r>
              <w:rPr>
                <w:rFonts w:ascii="Times New Roman" w:hAnsi="Times New Roman" w:eastAsia="宋体"/>
                <w:b/>
                <w:color w:val="1F1F1F"/>
                <w:sz w:val="18"/>
              </w:rPr>
              <w:t>资料来源与口径</w:t>
            </w:r>
          </w:p>
        </w:tc>
      </w:tr>
      <w:tr>
        <w:trPr>
          <w:cantSplit/>
        </w:trPr>
        <w:tc>
          <w:tcPr>
            <w:tcW w:type="dxa" w:w="1429"/>
          </w:tcPr>
          <w:p>
            <w:pPr>
              <w:spacing w:before="0" w:after="0" w:line="276" w:lineRule="auto"/>
            </w:pPr>
            <w:r/>
            <w:r>
              <w:rPr>
                <w:rFonts w:ascii="Times New Roman" w:hAnsi="Times New Roman" w:eastAsia="宋体"/>
                <w:b w:val="0"/>
                <w:color w:val="1F1F1F"/>
                <w:sz w:val="18"/>
              </w:rPr>
              <w:t>区位与性质</w:t>
            </w:r>
          </w:p>
        </w:tc>
        <w:tc>
          <w:tcPr>
            <w:tcW w:type="dxa" w:w="5445"/>
          </w:tcPr>
          <w:p>
            <w:pPr>
              <w:spacing w:before="0" w:after="0" w:line="276" w:lineRule="auto"/>
            </w:pPr>
            <w:r/>
            <w:r>
              <w:rPr>
                <w:rFonts w:ascii="Times New Roman" w:hAnsi="Times New Roman" w:eastAsia="宋体"/>
                <w:b w:val="0"/>
                <w:color w:val="1F1F1F"/>
                <w:sz w:val="18"/>
              </w:rPr>
              <w:t>广州科学城，南网总部既有办公园区，多栋办公楼群与配套设施</w:t>
            </w:r>
          </w:p>
        </w:tc>
        <w:tc>
          <w:tcPr>
            <w:tcW w:type="dxa" w:w="1970"/>
          </w:tcPr>
          <w:p>
            <w:pPr>
              <w:spacing w:before="0" w:after="0" w:line="276" w:lineRule="auto"/>
            </w:pPr>
            <w:r/>
            <w:r>
              <w:rPr>
                <w:rFonts w:ascii="Times New Roman" w:hAnsi="Times New Roman" w:eastAsia="宋体"/>
                <w:b w:val="0"/>
                <w:color w:val="1F1F1F"/>
                <w:sz w:val="18"/>
              </w:rPr>
              <w:t>建设方案 V3、交流纪要</w:t>
            </w:r>
          </w:p>
        </w:tc>
      </w:tr>
      <w:tr>
        <w:trPr>
          <w:cantSplit/>
        </w:trPr>
        <w:tc>
          <w:tcPr>
            <w:tcW w:type="dxa" w:w="1429"/>
          </w:tcPr>
          <w:p>
            <w:pPr>
              <w:spacing w:before="0" w:after="0" w:line="276" w:lineRule="auto"/>
            </w:pPr>
            <w:r/>
            <w:r>
              <w:rPr>
                <w:rFonts w:ascii="Times New Roman" w:hAnsi="Times New Roman" w:eastAsia="宋体"/>
                <w:b w:val="0"/>
                <w:color w:val="1F1F1F"/>
                <w:sz w:val="18"/>
              </w:rPr>
              <w:t>人员规模</w:t>
            </w:r>
          </w:p>
        </w:tc>
        <w:tc>
          <w:tcPr>
            <w:tcW w:type="dxa" w:w="5445"/>
          </w:tcPr>
          <w:p>
            <w:pPr>
              <w:spacing w:before="0" w:after="0" w:line="276" w:lineRule="auto"/>
            </w:pPr>
            <w:r/>
            <w:r>
              <w:rPr>
                <w:rFonts w:ascii="Times New Roman" w:hAnsi="Times New Roman" w:eastAsia="宋体"/>
                <w:b w:val="0"/>
                <w:color w:val="1F1F1F"/>
                <w:sz w:val="18"/>
              </w:rPr>
              <w:t>约 5000 人持续办公</w:t>
            </w:r>
          </w:p>
        </w:tc>
        <w:tc>
          <w:tcPr>
            <w:tcW w:type="dxa" w:w="1970"/>
          </w:tcPr>
          <w:p>
            <w:pPr>
              <w:spacing w:before="0" w:after="0" w:line="276" w:lineRule="auto"/>
            </w:pPr>
            <w:r/>
            <w:r>
              <w:rPr>
                <w:rFonts w:ascii="Times New Roman" w:hAnsi="Times New Roman" w:eastAsia="宋体"/>
                <w:b w:val="0"/>
                <w:color w:val="1F1F1F"/>
                <w:sz w:val="18"/>
              </w:rPr>
              <w:t>交流纪要【待核】</w:t>
            </w:r>
          </w:p>
        </w:tc>
      </w:tr>
      <w:tr>
        <w:trPr>
          <w:cantSplit/>
        </w:trPr>
        <w:tc>
          <w:tcPr>
            <w:tcW w:type="dxa" w:w="1429"/>
          </w:tcPr>
          <w:p>
            <w:pPr>
              <w:spacing w:before="0" w:after="0" w:line="276" w:lineRule="auto"/>
            </w:pPr>
            <w:r/>
            <w:r>
              <w:rPr>
                <w:rFonts w:ascii="Times New Roman" w:hAnsi="Times New Roman" w:eastAsia="宋体"/>
                <w:b w:val="0"/>
                <w:color w:val="1F1F1F"/>
                <w:sz w:val="18"/>
              </w:rPr>
              <w:t>建筑与风貌</w:t>
            </w:r>
          </w:p>
        </w:tc>
        <w:tc>
          <w:tcPr>
            <w:tcW w:type="dxa" w:w="5445"/>
          </w:tcPr>
          <w:p>
            <w:pPr>
              <w:spacing w:before="0" w:after="0" w:line="276" w:lineRule="auto"/>
            </w:pPr>
            <w:r/>
            <w:r>
              <w:rPr>
                <w:rFonts w:ascii="Times New Roman" w:hAnsi="Times New Roman" w:eastAsia="宋体"/>
                <w:b w:val="0"/>
                <w:color w:val="1F1F1F"/>
                <w:sz w:val="18"/>
              </w:rPr>
              <w:t>既有建筑具有历史风貌价值，外立面不可大改；屋顶光伏空间有限，立面尚未布置光伏</w:t>
            </w:r>
          </w:p>
        </w:tc>
        <w:tc>
          <w:tcPr>
            <w:tcW w:type="dxa" w:w="1970"/>
          </w:tcPr>
          <w:p>
            <w:pPr>
              <w:spacing w:before="0" w:after="0" w:line="276" w:lineRule="auto"/>
            </w:pPr>
            <w:r/>
            <w:r>
              <w:rPr>
                <w:rFonts w:ascii="Times New Roman" w:hAnsi="Times New Roman" w:eastAsia="宋体"/>
                <w:b w:val="0"/>
                <w:color w:val="1F1F1F"/>
                <w:sz w:val="18"/>
              </w:rPr>
              <w:t>交流纪要【待核】</w:t>
            </w:r>
          </w:p>
        </w:tc>
      </w:tr>
      <w:tr>
        <w:trPr>
          <w:cantSplit/>
        </w:trPr>
        <w:tc>
          <w:tcPr>
            <w:tcW w:type="dxa" w:w="1429"/>
          </w:tcPr>
          <w:p>
            <w:pPr>
              <w:spacing w:before="0" w:after="0" w:line="276" w:lineRule="auto"/>
            </w:pPr>
            <w:r/>
            <w:r>
              <w:rPr>
                <w:rFonts w:ascii="Times New Roman" w:hAnsi="Times New Roman" w:eastAsia="宋体"/>
                <w:b w:val="0"/>
                <w:color w:val="1F1F1F"/>
                <w:sz w:val="18"/>
              </w:rPr>
              <w:t>主要机电设备</w:t>
            </w:r>
          </w:p>
        </w:tc>
        <w:tc>
          <w:tcPr>
            <w:tcW w:type="dxa" w:w="5445"/>
          </w:tcPr>
          <w:p>
            <w:pPr>
              <w:spacing w:before="0" w:after="0" w:line="276" w:lineRule="auto"/>
            </w:pPr>
            <w:r/>
            <w:r>
              <w:rPr>
                <w:rFonts w:ascii="Times New Roman" w:hAnsi="Times New Roman" w:eastAsia="宋体"/>
                <w:b w:val="0"/>
                <w:color w:val="1F1F1F"/>
                <w:sz w:val="18"/>
              </w:rPr>
              <w:t>2016 年投运，运行已满十年、未到报废年限；采购约在 2014—2015 年</w:t>
            </w:r>
          </w:p>
        </w:tc>
        <w:tc>
          <w:tcPr>
            <w:tcW w:type="dxa" w:w="1970"/>
          </w:tcPr>
          <w:p>
            <w:pPr>
              <w:spacing w:before="0" w:after="0" w:line="276" w:lineRule="auto"/>
            </w:pPr>
            <w:r/>
            <w:r>
              <w:rPr>
                <w:rFonts w:ascii="Times New Roman" w:hAnsi="Times New Roman" w:eastAsia="宋体"/>
                <w:b w:val="0"/>
                <w:color w:val="1F1F1F"/>
                <w:sz w:val="18"/>
              </w:rPr>
              <w:t>交流纪要【待核】</w:t>
            </w:r>
          </w:p>
        </w:tc>
      </w:tr>
      <w:tr>
        <w:trPr>
          <w:cantSplit/>
        </w:trPr>
        <w:tc>
          <w:tcPr>
            <w:tcW w:type="dxa" w:w="1429"/>
          </w:tcPr>
          <w:p>
            <w:pPr>
              <w:spacing w:before="0" w:after="0" w:line="276" w:lineRule="auto"/>
            </w:pPr>
            <w:r/>
            <w:r>
              <w:rPr>
                <w:rFonts w:ascii="Times New Roman" w:hAnsi="Times New Roman" w:eastAsia="宋体"/>
                <w:b w:val="0"/>
                <w:color w:val="1F1F1F"/>
                <w:sz w:val="18"/>
              </w:rPr>
              <w:t>供冷系统</w:t>
            </w:r>
          </w:p>
        </w:tc>
        <w:tc>
          <w:tcPr>
            <w:tcW w:type="dxa" w:w="5445"/>
          </w:tcPr>
          <w:p>
            <w:pPr>
              <w:spacing w:before="0" w:after="0" w:line="276" w:lineRule="auto"/>
            </w:pPr>
            <w:r/>
            <w:r>
              <w:rPr>
                <w:rFonts w:ascii="Times New Roman" w:hAnsi="Times New Roman" w:eastAsia="宋体"/>
                <w:b w:val="0"/>
                <w:color w:val="1F1F1F"/>
                <w:sz w:val="18"/>
              </w:rPr>
              <w:t>集中冷站，配冰蓄冷系统；蓄冷主机在零度以下运行，经济性建立在固定低谷电价之上</w:t>
            </w:r>
          </w:p>
        </w:tc>
        <w:tc>
          <w:tcPr>
            <w:tcW w:type="dxa" w:w="1970"/>
          </w:tcPr>
          <w:p>
            <w:pPr>
              <w:spacing w:before="0" w:after="0" w:line="276" w:lineRule="auto"/>
            </w:pPr>
            <w:r/>
            <w:r>
              <w:rPr>
                <w:rFonts w:ascii="Times New Roman" w:hAnsi="Times New Roman" w:eastAsia="宋体"/>
                <w:b w:val="0"/>
                <w:color w:val="1F1F1F"/>
                <w:sz w:val="18"/>
              </w:rPr>
              <w:t>交流纪要【待核】</w:t>
            </w:r>
          </w:p>
        </w:tc>
      </w:tr>
      <w:tr>
        <w:trPr>
          <w:cantSplit/>
        </w:trPr>
        <w:tc>
          <w:tcPr>
            <w:tcW w:type="dxa" w:w="1429"/>
          </w:tcPr>
          <w:p>
            <w:pPr>
              <w:spacing w:before="0" w:after="0" w:line="276" w:lineRule="auto"/>
            </w:pPr>
            <w:r/>
            <w:r>
              <w:rPr>
                <w:rFonts w:ascii="Times New Roman" w:hAnsi="Times New Roman" w:eastAsia="宋体"/>
                <w:b w:val="0"/>
                <w:color w:val="1F1F1F"/>
                <w:sz w:val="18"/>
              </w:rPr>
              <w:t>数据机房</w:t>
            </w:r>
          </w:p>
        </w:tc>
        <w:tc>
          <w:tcPr>
            <w:tcW w:type="dxa" w:w="5445"/>
          </w:tcPr>
          <w:p>
            <w:pPr>
              <w:spacing w:before="0" w:after="0" w:line="276" w:lineRule="auto"/>
            </w:pPr>
            <w:r/>
            <w:r>
              <w:rPr>
                <w:rFonts w:ascii="Times New Roman" w:hAnsi="Times New Roman" w:eastAsia="宋体"/>
                <w:b w:val="0"/>
                <w:color w:val="1F1F1F"/>
                <w:sz w:val="18"/>
              </w:rPr>
              <w:t>园区内设数据机房，能耗量级大；是否计入园区用电口径存在两种说法</w:t>
            </w:r>
          </w:p>
        </w:tc>
        <w:tc>
          <w:tcPr>
            <w:tcW w:type="dxa" w:w="1970"/>
          </w:tcPr>
          <w:p>
            <w:pPr>
              <w:spacing w:before="0" w:after="0" w:line="276" w:lineRule="auto"/>
            </w:pPr>
            <w:r/>
            <w:r>
              <w:rPr>
                <w:rFonts w:ascii="Times New Roman" w:hAnsi="Times New Roman" w:eastAsia="宋体"/>
                <w:b w:val="0"/>
                <w:color w:val="1F1F1F"/>
                <w:sz w:val="18"/>
              </w:rPr>
              <w:t>交流纪要【待核】</w:t>
            </w:r>
          </w:p>
        </w:tc>
      </w:tr>
      <w:tr>
        <w:trPr>
          <w:cantSplit/>
        </w:trPr>
        <w:tc>
          <w:tcPr>
            <w:tcW w:type="dxa" w:w="1429"/>
          </w:tcPr>
          <w:p>
            <w:pPr>
              <w:spacing w:before="0" w:after="0" w:line="276" w:lineRule="auto"/>
            </w:pPr>
            <w:r/>
            <w:r>
              <w:rPr>
                <w:rFonts w:ascii="Times New Roman" w:hAnsi="Times New Roman" w:eastAsia="宋体"/>
                <w:b w:val="0"/>
                <w:color w:val="1F1F1F"/>
                <w:sz w:val="18"/>
              </w:rPr>
              <w:t>年用电量</w:t>
            </w:r>
          </w:p>
        </w:tc>
        <w:tc>
          <w:tcPr>
            <w:tcW w:type="dxa" w:w="5445"/>
          </w:tcPr>
          <w:p>
            <w:pPr>
              <w:spacing w:before="0" w:after="0" w:line="276" w:lineRule="auto"/>
            </w:pPr>
            <w:r/>
            <w:r>
              <w:rPr>
                <w:rFonts w:ascii="Times New Roman" w:hAnsi="Times New Roman" w:eastAsia="宋体"/>
                <w:b w:val="0"/>
                <w:color w:val="1F1F1F"/>
                <w:sz w:val="18"/>
              </w:rPr>
              <w:t>约 7000 万度，存在“含/不含数据机房”两种并存口径；其中空调与办公建筑约 3500 万度</w:t>
            </w:r>
          </w:p>
        </w:tc>
        <w:tc>
          <w:tcPr>
            <w:tcW w:type="dxa" w:w="1970"/>
          </w:tcPr>
          <w:p>
            <w:pPr>
              <w:spacing w:before="0" w:after="0" w:line="276" w:lineRule="auto"/>
            </w:pPr>
            <w:r/>
            <w:r>
              <w:rPr>
                <w:rFonts w:ascii="Times New Roman" w:hAnsi="Times New Roman" w:eastAsia="宋体"/>
                <w:b w:val="0"/>
                <w:color w:val="1F1F1F"/>
                <w:sz w:val="18"/>
              </w:rPr>
              <w:t>会中口述【待核】</w:t>
            </w:r>
          </w:p>
        </w:tc>
      </w:tr>
      <w:tr>
        <w:trPr>
          <w:cantSplit/>
        </w:trPr>
        <w:tc>
          <w:tcPr>
            <w:tcW w:type="dxa" w:w="1429"/>
          </w:tcPr>
          <w:p>
            <w:pPr>
              <w:spacing w:before="0" w:after="0" w:line="276" w:lineRule="auto"/>
            </w:pPr>
            <w:r/>
            <w:r>
              <w:rPr>
                <w:rFonts w:ascii="Times New Roman" w:hAnsi="Times New Roman" w:eastAsia="宋体"/>
                <w:b w:val="0"/>
                <w:color w:val="1F1F1F"/>
                <w:sz w:val="18"/>
              </w:rPr>
              <w:t>既有光伏</w:t>
            </w:r>
          </w:p>
        </w:tc>
        <w:tc>
          <w:tcPr>
            <w:tcW w:type="dxa" w:w="5445"/>
          </w:tcPr>
          <w:p>
            <w:pPr>
              <w:spacing w:before="0" w:after="0" w:line="276" w:lineRule="auto"/>
            </w:pPr>
            <w:r/>
            <w:r>
              <w:rPr>
                <w:rFonts w:ascii="Times New Roman" w:hAnsi="Times New Roman" w:eastAsia="宋体"/>
                <w:b w:val="0"/>
                <w:color w:val="1F1F1F"/>
                <w:sz w:val="18"/>
              </w:rPr>
              <w:t>现状装机约 2 点几兆瓦，不足 3 兆瓦；并网点、发电量与消纳方式待查</w:t>
            </w:r>
          </w:p>
        </w:tc>
        <w:tc>
          <w:tcPr>
            <w:tcW w:type="dxa" w:w="1970"/>
          </w:tcPr>
          <w:p>
            <w:pPr>
              <w:spacing w:before="0" w:after="0" w:line="276" w:lineRule="auto"/>
            </w:pPr>
            <w:r/>
            <w:r>
              <w:rPr>
                <w:rFonts w:ascii="Times New Roman" w:hAnsi="Times New Roman" w:eastAsia="宋体"/>
                <w:b w:val="0"/>
                <w:color w:val="1F1F1F"/>
                <w:sz w:val="18"/>
              </w:rPr>
              <w:t>会中口述【待核】</w:t>
            </w:r>
          </w:p>
        </w:tc>
      </w:tr>
      <w:tr>
        <w:trPr>
          <w:cantSplit/>
        </w:trPr>
        <w:tc>
          <w:tcPr>
            <w:tcW w:type="dxa" w:w="1429"/>
          </w:tcPr>
          <w:p>
            <w:pPr>
              <w:spacing w:before="0" w:after="0" w:line="276" w:lineRule="auto"/>
            </w:pPr>
            <w:r/>
            <w:r>
              <w:rPr>
                <w:rFonts w:ascii="Times New Roman" w:hAnsi="Times New Roman" w:eastAsia="宋体"/>
                <w:b w:val="0"/>
                <w:color w:val="1F1F1F"/>
                <w:sz w:val="18"/>
              </w:rPr>
              <w:t>可用场地</w:t>
            </w:r>
          </w:p>
        </w:tc>
        <w:tc>
          <w:tcPr>
            <w:tcW w:type="dxa" w:w="5445"/>
          </w:tcPr>
          <w:p>
            <w:pPr>
              <w:spacing w:before="0" w:after="0" w:line="276" w:lineRule="auto"/>
            </w:pPr>
            <w:r/>
            <w:r>
              <w:rPr>
                <w:rFonts w:ascii="Times New Roman" w:hAnsi="Times New Roman" w:eastAsia="宋体"/>
                <w:b w:val="0"/>
                <w:color w:val="1F1F1F"/>
                <w:sz w:val="18"/>
              </w:rPr>
              <w:t>1 号楼后空地可作试点场地；庭院、架空层、连廊、车棚等半开放空间待普查</w:t>
            </w:r>
          </w:p>
        </w:tc>
        <w:tc>
          <w:tcPr>
            <w:tcW w:type="dxa" w:w="1970"/>
          </w:tcPr>
          <w:p>
            <w:pPr>
              <w:spacing w:before="0" w:after="0" w:line="276" w:lineRule="auto"/>
            </w:pPr>
            <w:r/>
            <w:r>
              <w:rPr>
                <w:rFonts w:ascii="Times New Roman" w:hAnsi="Times New Roman" w:eastAsia="宋体"/>
                <w:b w:val="0"/>
                <w:color w:val="1F1F1F"/>
                <w:sz w:val="18"/>
              </w:rPr>
              <w:t>交流纪要【待核】</w:t>
            </w:r>
          </w:p>
        </w:tc>
      </w:tr>
      <w:tr>
        <w:trPr>
          <w:cantSplit/>
        </w:trPr>
        <w:tc>
          <w:tcPr>
            <w:tcW w:type="dxa" w:w="1429"/>
          </w:tcPr>
          <w:p>
            <w:pPr>
              <w:spacing w:before="0" w:after="0" w:line="276" w:lineRule="auto"/>
            </w:pPr>
            <w:r/>
            <w:r>
              <w:rPr>
                <w:rFonts w:ascii="Times New Roman" w:hAnsi="Times New Roman" w:eastAsia="宋体"/>
                <w:b w:val="0"/>
                <w:color w:val="1F1F1F"/>
                <w:sz w:val="18"/>
              </w:rPr>
              <w:t>信息化系统</w:t>
            </w:r>
          </w:p>
        </w:tc>
        <w:tc>
          <w:tcPr>
            <w:tcW w:type="dxa" w:w="5445"/>
          </w:tcPr>
          <w:p>
            <w:pPr>
              <w:spacing w:before="0" w:after="0" w:line="276" w:lineRule="auto"/>
            </w:pPr>
            <w:r/>
            <w:r>
              <w:rPr>
                <w:rFonts w:ascii="Times New Roman" w:hAnsi="Times New Roman" w:eastAsia="宋体"/>
                <w:b w:val="0"/>
                <w:color w:val="1F1F1F"/>
                <w:sz w:val="18"/>
              </w:rPr>
              <w:t>楼宇自控、能耗监测、安防、办公等系统分头建设，分项计量覆盖程度与数据接口待踏勘</w:t>
            </w:r>
          </w:p>
        </w:tc>
        <w:tc>
          <w:tcPr>
            <w:tcW w:type="dxa" w:w="1970"/>
          </w:tcPr>
          <w:p>
            <w:pPr>
              <w:spacing w:before="0" w:after="0" w:line="276" w:lineRule="auto"/>
            </w:pPr>
            <w:r/>
            <w:r>
              <w:rPr>
                <w:rFonts w:ascii="Times New Roman" w:hAnsi="Times New Roman" w:eastAsia="宋体"/>
                <w:b w:val="0"/>
                <w:color w:val="1F1F1F"/>
                <w:sz w:val="18"/>
              </w:rPr>
              <w:t>【待核】</w:t>
            </w:r>
          </w:p>
        </w:tc>
      </w:tr>
    </w:tbl>
    <w:p>
      <w:pPr>
        <w:spacing w:after="80"/>
      </w:pPr>
    </w:p>
    <w:p>
      <w:pPr>
        <w:pStyle w:val="Heading2"/>
        <w:keepNext/>
        <w:spacing w:before="240" w:after="120" w:line="360" w:lineRule="auto"/>
      </w:pPr>
      <w:r>
        <w:rPr>
          <w:rFonts w:ascii="Times New Roman" w:hAnsi="Times New Roman" w:eastAsia="黑体"/>
          <w:b w:val="0"/>
          <w:color w:val="1F1F1F"/>
          <w:sz w:val="32"/>
        </w:rPr>
        <w:t>二、能耗与碳排放现状</w:t>
      </w:r>
    </w:p>
    <w:p>
      <w:pPr>
        <w:spacing w:before="0" w:after="120" w:line="360" w:lineRule="auto"/>
        <w:ind w:firstLine="480"/>
      </w:pPr>
      <w:r>
        <w:rPr>
          <w:rFonts w:ascii="Times New Roman" w:hAnsi="Times New Roman" w:eastAsia="仿宋_GB2312"/>
          <w:b w:val="0"/>
          <w:color w:val="1F1F1F"/>
          <w:sz w:val="32"/>
        </w:rPr>
        <w:t>园区用能以电力为主，供冷负荷是用能重心。按会中口述口径，空调与办公建筑用电约占园区用电的一半【待核】；数据机房用电量级尚无数据【待核】。园区尚未建立碳账本，无经复核的碳排放基线。本规划以 2027 年供冷季实测数据作为基期基线，基线形成前，本规划的降碳率指标只给台阶，不给绝对值。</w:t>
      </w:r>
    </w:p>
    <w:p>
      <w:pPr>
        <w:pStyle w:val="Heading2"/>
        <w:keepNext/>
        <w:spacing w:before="240" w:after="120" w:line="360" w:lineRule="auto"/>
      </w:pPr>
      <w:r>
        <w:rPr>
          <w:rFonts w:ascii="Times New Roman" w:hAnsi="Times New Roman" w:eastAsia="黑体"/>
          <w:b w:val="0"/>
          <w:color w:val="1F1F1F"/>
          <w:sz w:val="32"/>
        </w:rPr>
        <w:t>三、机电系统与冷站</w:t>
      </w:r>
    </w:p>
    <w:p>
      <w:pPr>
        <w:spacing w:before="0" w:after="120" w:line="360" w:lineRule="auto"/>
        <w:ind w:firstLine="480"/>
      </w:pPr>
      <w:r>
        <w:rPr>
          <w:rFonts w:ascii="Times New Roman" w:hAnsi="Times New Roman" w:eastAsia="仿宋_GB2312"/>
          <w:b w:val="0"/>
          <w:color w:val="1F1F1F"/>
          <w:sz w:val="32"/>
        </w:rPr>
        <w:t>冷站是园区用能的第一大系统，也是近期改造的主战场。现状特征与判断如下：</w:t>
      </w:r>
    </w:p>
    <w:p>
      <w:pPr>
        <w:spacing w:before="0" w:after="80" w:line="360" w:lineRule="auto"/>
        <w:ind w:left="480" w:hanging="240"/>
      </w:pPr>
      <w:r>
        <w:rPr>
          <w:rFonts w:ascii="Times New Roman" w:hAnsi="Times New Roman" w:eastAsia="仿宋_GB2312"/>
          <w:b w:val="0"/>
          <w:color w:val="1F1F1F"/>
          <w:sz w:val="32"/>
        </w:rPr>
        <w:t>▪ 主机、水泵、冷却塔与输配管网运行满十年，具备诊断与调优条件，尚不具备整体更换理由；不换主机条件下的节能潜力，会中估算与产品资料两方独立给出的区间均为 10%—20%【待核】。</w:t>
      </w:r>
    </w:p>
    <w:p>
      <w:pPr>
        <w:spacing w:before="0" w:after="80" w:line="360" w:lineRule="auto"/>
        <w:ind w:left="480" w:hanging="240"/>
      </w:pPr>
      <w:r>
        <w:rPr>
          <w:rFonts w:ascii="Times New Roman" w:hAnsi="Times New Roman" w:eastAsia="仿宋_GB2312"/>
          <w:b w:val="0"/>
          <w:color w:val="1F1F1F"/>
          <w:sz w:val="32"/>
        </w:rPr>
        <w:t>▪ 冰蓄冷控制策略以固定低谷电价为前提；国家已取消固定低谷时段，广东实施细则预计转向约 15 分钟级实时电价【待核】，现有策略在细则落地后将失去经济性基础。</w:t>
      </w:r>
    </w:p>
    <w:p>
      <w:pPr>
        <w:spacing w:before="0" w:after="80" w:line="360" w:lineRule="auto"/>
        <w:ind w:left="480" w:hanging="240"/>
      </w:pPr>
      <w:r>
        <w:rPr>
          <w:rFonts w:ascii="Times New Roman" w:hAnsi="Times New Roman" w:eastAsia="仿宋_GB2312"/>
          <w:b w:val="0"/>
          <w:color w:val="1F1F1F"/>
          <w:sz w:val="32"/>
        </w:rPr>
        <w:t>▪ 空调末端、照明与办公行为尚未联动，会议室、公共区存在非使用时段用能。</w:t>
      </w:r>
    </w:p>
    <w:p>
      <w:pPr>
        <w:spacing w:before="0" w:after="80" w:line="360" w:lineRule="auto"/>
        <w:ind w:left="480" w:hanging="240"/>
      </w:pPr>
      <w:r>
        <w:rPr>
          <w:rFonts w:ascii="Times New Roman" w:hAnsi="Times New Roman" w:eastAsia="仿宋_GB2312"/>
          <w:b w:val="0"/>
          <w:color w:val="1F1F1F"/>
          <w:sz w:val="32"/>
        </w:rPr>
        <w:t>▪ 数据机房制冷与办公区供冷系统的关系、机房余热的可回收量级均待摸底【待核】。</w:t>
      </w:r>
    </w:p>
    <w:p>
      <w:pPr>
        <w:pStyle w:val="Heading2"/>
        <w:keepNext/>
        <w:spacing w:before="240" w:after="120" w:line="360" w:lineRule="auto"/>
      </w:pPr>
      <w:r>
        <w:rPr>
          <w:rFonts w:ascii="Times New Roman" w:hAnsi="Times New Roman" w:eastAsia="黑体"/>
          <w:b w:val="0"/>
          <w:color w:val="1F1F1F"/>
          <w:sz w:val="32"/>
        </w:rPr>
        <w:t>四、空间与风貌</w:t>
      </w:r>
    </w:p>
    <w:p>
      <w:pPr>
        <w:spacing w:before="0" w:after="120" w:line="360" w:lineRule="auto"/>
        <w:ind w:firstLine="480"/>
      </w:pPr>
      <w:r>
        <w:rPr>
          <w:rFonts w:ascii="Times New Roman" w:hAnsi="Times New Roman" w:eastAsia="仿宋_GB2312"/>
          <w:b w:val="0"/>
          <w:color w:val="1F1F1F"/>
          <w:sz w:val="32"/>
        </w:rPr>
        <w:t>园区建筑风貌具有延续价值，外立面不作大改，围护结构改造与立面光伏受到限制。可利用的空间资源集中在屋顶、露台、车棚、庭院、架空层、连廊与 1 号楼后空地等处，这些空间是光伏加装、微气候改善、半开放公共空间与试点建设的主要载体。园区无障碍现状、步行系统连续性与休憩节点分布待专项排查【待核】。</w:t>
      </w:r>
    </w:p>
    <w:p>
      <w:pPr>
        <w:pStyle w:val="Heading2"/>
        <w:keepNext/>
        <w:spacing w:before="240" w:after="120" w:line="360" w:lineRule="auto"/>
      </w:pPr>
      <w:r>
        <w:rPr>
          <w:rFonts w:ascii="Times New Roman" w:hAnsi="Times New Roman" w:eastAsia="黑体"/>
          <w:b w:val="0"/>
          <w:color w:val="1F1F1F"/>
          <w:sz w:val="32"/>
        </w:rPr>
        <w:t>五、主要约束与规划应对</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09"/>
        <w:gridCol w:w="2516"/>
        <w:gridCol w:w="4319"/>
      </w:tblGrid>
      <w:tr>
        <w:trPr>
          <w:cantSplit/>
          <w:tblHeader/>
        </w:trPr>
        <w:tc>
          <w:tcPr>
            <w:tcW w:type="dxa" w:w="2009"/>
            <w:shd w:val="clear" w:color="auto" w:fill="E7EEF3"/>
          </w:tcPr>
          <w:p>
            <w:pPr>
              <w:keepNext/>
              <w:spacing w:before="0" w:after="0" w:line="276" w:lineRule="auto"/>
              <w:jc w:val="center"/>
            </w:pPr>
            <w:r/>
            <w:r>
              <w:rPr>
                <w:rFonts w:ascii="Times New Roman" w:hAnsi="Times New Roman" w:eastAsia="宋体"/>
                <w:b/>
                <w:color w:val="1F1F1F"/>
                <w:sz w:val="18"/>
              </w:rPr>
              <w:t>约束</w:t>
            </w:r>
          </w:p>
        </w:tc>
        <w:tc>
          <w:tcPr>
            <w:tcW w:type="dxa" w:w="2516"/>
            <w:shd w:val="clear" w:color="auto" w:fill="E7EEF3"/>
          </w:tcPr>
          <w:p>
            <w:pPr>
              <w:keepNext/>
              <w:spacing w:before="0" w:after="0" w:line="276" w:lineRule="auto"/>
              <w:jc w:val="center"/>
            </w:pPr>
            <w:r/>
            <w:r>
              <w:rPr>
                <w:rFonts w:ascii="Times New Roman" w:hAnsi="Times New Roman" w:eastAsia="宋体"/>
                <w:b/>
                <w:color w:val="1F1F1F"/>
                <w:sz w:val="18"/>
              </w:rPr>
              <w:t>对规划的影响</w:t>
            </w:r>
          </w:p>
        </w:tc>
        <w:tc>
          <w:tcPr>
            <w:tcW w:type="dxa" w:w="4319"/>
            <w:shd w:val="clear" w:color="auto" w:fill="E7EEF3"/>
          </w:tcPr>
          <w:p>
            <w:pPr>
              <w:keepNext/>
              <w:spacing w:before="0" w:after="0" w:line="276" w:lineRule="auto"/>
              <w:jc w:val="center"/>
            </w:pPr>
            <w:r/>
            <w:r>
              <w:rPr>
                <w:rFonts w:ascii="Times New Roman" w:hAnsi="Times New Roman" w:eastAsia="宋体"/>
                <w:b/>
                <w:color w:val="1F1F1F"/>
                <w:sz w:val="18"/>
              </w:rPr>
              <w:t>规划应对</w:t>
            </w:r>
          </w:p>
        </w:tc>
      </w:tr>
      <w:tr>
        <w:trPr>
          <w:cantSplit/>
        </w:trPr>
        <w:tc>
          <w:tcPr>
            <w:tcW w:type="dxa" w:w="2009"/>
          </w:tcPr>
          <w:p>
            <w:pPr>
              <w:spacing w:before="0" w:after="0" w:line="276" w:lineRule="auto"/>
            </w:pPr>
            <w:r/>
            <w:r>
              <w:rPr>
                <w:rFonts w:ascii="Times New Roman" w:hAnsi="Times New Roman" w:eastAsia="宋体"/>
                <w:b w:val="0"/>
                <w:color w:val="1F1F1F"/>
                <w:sz w:val="18"/>
              </w:rPr>
              <w:t>连续办公，不能成片停机</w:t>
            </w:r>
          </w:p>
        </w:tc>
        <w:tc>
          <w:tcPr>
            <w:tcW w:type="dxa" w:w="2516"/>
          </w:tcPr>
          <w:p>
            <w:pPr>
              <w:spacing w:before="0" w:after="0" w:line="276" w:lineRule="auto"/>
            </w:pPr>
            <w:r/>
            <w:r>
              <w:rPr>
                <w:rFonts w:ascii="Times New Roman" w:hAnsi="Times New Roman" w:eastAsia="宋体"/>
                <w:b w:val="0"/>
                <w:color w:val="1F1F1F"/>
                <w:sz w:val="18"/>
              </w:rPr>
              <w:t>排除整体停机改造与大规模管线更换</w:t>
            </w:r>
          </w:p>
        </w:tc>
        <w:tc>
          <w:tcPr>
            <w:tcW w:type="dxa" w:w="4319"/>
          </w:tcPr>
          <w:p>
            <w:pPr>
              <w:spacing w:before="0" w:after="0" w:line="276" w:lineRule="auto"/>
            </w:pPr>
            <w:r/>
            <w:r>
              <w:rPr>
                <w:rFonts w:ascii="Times New Roman" w:hAnsi="Times New Roman" w:eastAsia="宋体"/>
                <w:b w:val="0"/>
                <w:color w:val="1F1F1F"/>
                <w:sz w:val="18"/>
              </w:rPr>
              <w:t>园中园、分区试点；改造以控制回路、末端与增量设施为主，施工安排在非办公时段与低负荷季</w:t>
            </w:r>
          </w:p>
        </w:tc>
      </w:tr>
      <w:tr>
        <w:trPr>
          <w:cantSplit/>
        </w:trPr>
        <w:tc>
          <w:tcPr>
            <w:tcW w:type="dxa" w:w="2009"/>
          </w:tcPr>
          <w:p>
            <w:pPr>
              <w:spacing w:before="0" w:after="0" w:line="276" w:lineRule="auto"/>
            </w:pPr>
            <w:r/>
            <w:r>
              <w:rPr>
                <w:rFonts w:ascii="Times New Roman" w:hAnsi="Times New Roman" w:eastAsia="宋体"/>
                <w:b w:val="0"/>
                <w:color w:val="1F1F1F"/>
                <w:sz w:val="18"/>
              </w:rPr>
              <w:t>风貌与外立面不可大改</w:t>
            </w:r>
          </w:p>
        </w:tc>
        <w:tc>
          <w:tcPr>
            <w:tcW w:type="dxa" w:w="2516"/>
          </w:tcPr>
          <w:p>
            <w:pPr>
              <w:spacing w:before="0" w:after="0" w:line="276" w:lineRule="auto"/>
            </w:pPr>
            <w:r/>
            <w:r>
              <w:rPr>
                <w:rFonts w:ascii="Times New Roman" w:hAnsi="Times New Roman" w:eastAsia="宋体"/>
                <w:b w:val="0"/>
                <w:color w:val="1F1F1F"/>
                <w:sz w:val="18"/>
              </w:rPr>
              <w:t>围护结构与立面光伏不可作主路径</w:t>
            </w:r>
          </w:p>
        </w:tc>
        <w:tc>
          <w:tcPr>
            <w:tcW w:type="dxa" w:w="4319"/>
          </w:tcPr>
          <w:p>
            <w:pPr>
              <w:spacing w:before="0" w:after="0" w:line="276" w:lineRule="auto"/>
            </w:pPr>
            <w:r/>
            <w:r>
              <w:rPr>
                <w:rFonts w:ascii="Times New Roman" w:hAnsi="Times New Roman" w:eastAsia="宋体"/>
                <w:b w:val="0"/>
                <w:color w:val="1F1F1F"/>
                <w:sz w:val="18"/>
              </w:rPr>
              <w:t>针灸式局部更新；光伏布置于屋顶、露台、车棚；微气候改善以庭院与植被承担</w:t>
            </w:r>
          </w:p>
        </w:tc>
      </w:tr>
      <w:tr>
        <w:trPr>
          <w:cantSplit/>
        </w:trPr>
        <w:tc>
          <w:tcPr>
            <w:tcW w:type="dxa" w:w="2009"/>
          </w:tcPr>
          <w:p>
            <w:pPr>
              <w:spacing w:before="0" w:after="0" w:line="276" w:lineRule="auto"/>
            </w:pPr>
            <w:r/>
            <w:r>
              <w:rPr>
                <w:rFonts w:ascii="Times New Roman" w:hAnsi="Times New Roman" w:eastAsia="宋体"/>
                <w:b w:val="0"/>
                <w:color w:val="1F1F1F"/>
                <w:sz w:val="18"/>
              </w:rPr>
              <w:t>设备满十年未到报废</w:t>
            </w:r>
          </w:p>
        </w:tc>
        <w:tc>
          <w:tcPr>
            <w:tcW w:type="dxa" w:w="2516"/>
          </w:tcPr>
          <w:p>
            <w:pPr>
              <w:spacing w:before="0" w:after="0" w:line="276" w:lineRule="auto"/>
            </w:pPr>
            <w:r/>
            <w:r>
              <w:rPr>
                <w:rFonts w:ascii="Times New Roman" w:hAnsi="Times New Roman" w:eastAsia="宋体"/>
                <w:b w:val="0"/>
                <w:color w:val="1F1F1F"/>
                <w:sz w:val="18"/>
              </w:rPr>
              <w:t>缺乏整体换新理由</w:t>
            </w:r>
          </w:p>
        </w:tc>
        <w:tc>
          <w:tcPr>
            <w:tcW w:type="dxa" w:w="4319"/>
          </w:tcPr>
          <w:p>
            <w:pPr>
              <w:spacing w:before="0" w:after="0" w:line="276" w:lineRule="auto"/>
            </w:pPr>
            <w:r/>
            <w:r>
              <w:rPr>
                <w:rFonts w:ascii="Times New Roman" w:hAnsi="Times New Roman" w:eastAsia="宋体"/>
                <w:b w:val="0"/>
                <w:color w:val="1F1F1F"/>
                <w:sz w:val="18"/>
              </w:rPr>
              <w:t>先诊断分档、后定改造深度；不换主机的群控与调优优先</w:t>
            </w:r>
          </w:p>
        </w:tc>
      </w:tr>
      <w:tr>
        <w:trPr>
          <w:cantSplit/>
        </w:trPr>
        <w:tc>
          <w:tcPr>
            <w:tcW w:type="dxa" w:w="2009"/>
          </w:tcPr>
          <w:p>
            <w:pPr>
              <w:spacing w:before="0" w:after="0" w:line="276" w:lineRule="auto"/>
            </w:pPr>
            <w:r/>
            <w:r>
              <w:rPr>
                <w:rFonts w:ascii="Times New Roman" w:hAnsi="Times New Roman" w:eastAsia="宋体"/>
                <w:b w:val="0"/>
                <w:color w:val="1F1F1F"/>
                <w:sz w:val="18"/>
              </w:rPr>
              <w:t>屋顶光伏空间有限</w:t>
            </w:r>
          </w:p>
        </w:tc>
        <w:tc>
          <w:tcPr>
            <w:tcW w:type="dxa" w:w="2516"/>
          </w:tcPr>
          <w:p>
            <w:pPr>
              <w:spacing w:before="0" w:after="0" w:line="276" w:lineRule="auto"/>
            </w:pPr>
            <w:r/>
            <w:r>
              <w:rPr>
                <w:rFonts w:ascii="Times New Roman" w:hAnsi="Times New Roman" w:eastAsia="宋体"/>
                <w:b w:val="0"/>
                <w:color w:val="1F1F1F"/>
                <w:sz w:val="18"/>
              </w:rPr>
              <w:t>本地可再生能源贡献比例有限</w:t>
            </w:r>
          </w:p>
        </w:tc>
        <w:tc>
          <w:tcPr>
            <w:tcW w:type="dxa" w:w="4319"/>
          </w:tcPr>
          <w:p>
            <w:pPr>
              <w:spacing w:before="0" w:after="0" w:line="276" w:lineRule="auto"/>
            </w:pPr>
            <w:r/>
            <w:r>
              <w:rPr>
                <w:rFonts w:ascii="Times New Roman" w:hAnsi="Times New Roman" w:eastAsia="宋体"/>
                <w:b w:val="0"/>
                <w:color w:val="1F1F1F"/>
                <w:sz w:val="18"/>
              </w:rPr>
              <w:t>光伏应装尽装但不作达标主路径；降碳主力为需求侧节能与绿电交易</w:t>
            </w:r>
          </w:p>
        </w:tc>
      </w:tr>
      <w:tr>
        <w:trPr>
          <w:cantSplit/>
        </w:trPr>
        <w:tc>
          <w:tcPr>
            <w:tcW w:type="dxa" w:w="2009"/>
          </w:tcPr>
          <w:p>
            <w:pPr>
              <w:spacing w:before="0" w:after="0" w:line="276" w:lineRule="auto"/>
            </w:pPr>
            <w:r/>
            <w:r>
              <w:rPr>
                <w:rFonts w:ascii="Times New Roman" w:hAnsi="Times New Roman" w:eastAsia="宋体"/>
                <w:b w:val="0"/>
                <w:color w:val="1F1F1F"/>
                <w:sz w:val="18"/>
              </w:rPr>
              <w:t>电价机制转向实时电价</w:t>
            </w:r>
          </w:p>
        </w:tc>
        <w:tc>
          <w:tcPr>
            <w:tcW w:type="dxa" w:w="2516"/>
          </w:tcPr>
          <w:p>
            <w:pPr>
              <w:spacing w:before="0" w:after="0" w:line="276" w:lineRule="auto"/>
            </w:pPr>
            <w:r/>
            <w:r>
              <w:rPr>
                <w:rFonts w:ascii="Times New Roman" w:hAnsi="Times New Roman" w:eastAsia="宋体"/>
                <w:b w:val="0"/>
                <w:color w:val="1F1F1F"/>
                <w:sz w:val="18"/>
              </w:rPr>
              <w:t>现有蓄冷经济性失效</w:t>
            </w:r>
          </w:p>
        </w:tc>
        <w:tc>
          <w:tcPr>
            <w:tcW w:type="dxa" w:w="4319"/>
          </w:tcPr>
          <w:p>
            <w:pPr>
              <w:spacing w:before="0" w:after="0" w:line="276" w:lineRule="auto"/>
            </w:pPr>
            <w:r/>
            <w:r>
              <w:rPr>
                <w:rFonts w:ascii="Times New Roman" w:hAnsi="Times New Roman" w:eastAsia="宋体"/>
                <w:b w:val="0"/>
                <w:color w:val="1F1F1F"/>
                <w:sz w:val="18"/>
              </w:rPr>
              <w:t>蓄冷策略与交易、需求响应接口列为近期必做项目</w:t>
            </w:r>
          </w:p>
        </w:tc>
      </w:tr>
      <w:tr>
        <w:trPr>
          <w:cantSplit/>
        </w:trPr>
        <w:tc>
          <w:tcPr>
            <w:tcW w:type="dxa" w:w="2009"/>
          </w:tcPr>
          <w:p>
            <w:pPr>
              <w:spacing w:before="0" w:after="0" w:line="276" w:lineRule="auto"/>
            </w:pPr>
            <w:r/>
            <w:r>
              <w:rPr>
                <w:rFonts w:ascii="Times New Roman" w:hAnsi="Times New Roman" w:eastAsia="宋体"/>
                <w:b w:val="0"/>
                <w:color w:val="1F1F1F"/>
                <w:sz w:val="18"/>
              </w:rPr>
              <w:t>数据机房核算口径未定</w:t>
            </w:r>
          </w:p>
        </w:tc>
        <w:tc>
          <w:tcPr>
            <w:tcW w:type="dxa" w:w="2516"/>
          </w:tcPr>
          <w:p>
            <w:pPr>
              <w:spacing w:before="0" w:after="0" w:line="276" w:lineRule="auto"/>
            </w:pPr>
            <w:r/>
            <w:r>
              <w:rPr>
                <w:rFonts w:ascii="Times New Roman" w:hAnsi="Times New Roman" w:eastAsia="宋体"/>
                <w:b w:val="0"/>
                <w:color w:val="1F1F1F"/>
                <w:sz w:val="18"/>
              </w:rPr>
              <w:t>影响目标基数、余热利用与算力普惠安排</w:t>
            </w:r>
          </w:p>
        </w:tc>
        <w:tc>
          <w:tcPr>
            <w:tcW w:type="dxa" w:w="4319"/>
          </w:tcPr>
          <w:p>
            <w:pPr>
              <w:spacing w:before="0" w:after="0" w:line="276" w:lineRule="auto"/>
            </w:pPr>
            <w:r/>
            <w:r>
              <w:rPr>
                <w:rFonts w:ascii="Times New Roman" w:hAnsi="Times New Roman" w:eastAsia="宋体"/>
                <w:b w:val="0"/>
                <w:color w:val="1F1F1F"/>
                <w:sz w:val="18"/>
              </w:rPr>
              <w:t>全园总账加两个子账，先立账再定档</w:t>
            </w:r>
          </w:p>
        </w:tc>
      </w:tr>
    </w:tbl>
    <w:p>
      <w:pPr>
        <w:spacing w:after="80"/>
      </w:pPr>
    </w:p>
    <w:p>
      <w:pPr>
        <w:pStyle w:val="Heading2"/>
        <w:keepNext/>
        <w:spacing w:before="240" w:after="120" w:line="360" w:lineRule="auto"/>
      </w:pPr>
      <w:r>
        <w:rPr>
          <w:rFonts w:ascii="Times New Roman" w:hAnsi="Times New Roman" w:eastAsia="黑体"/>
          <w:b w:val="0"/>
          <w:color w:val="1F1F1F"/>
          <w:sz w:val="32"/>
        </w:rPr>
        <w:t>六、基础资料缺口</w:t>
      </w:r>
    </w:p>
    <w:p>
      <w:pPr>
        <w:spacing w:before="0" w:after="120" w:line="360" w:lineRule="auto"/>
        <w:ind w:firstLine="480"/>
      </w:pPr>
      <w:r>
        <w:rPr>
          <w:rFonts w:ascii="Times New Roman" w:hAnsi="Times New Roman" w:eastAsia="仿宋_GB2312"/>
          <w:b w:val="0"/>
          <w:color w:val="1F1F1F"/>
          <w:sz w:val="32"/>
        </w:rPr>
        <w:t>以下基础资料在本规划中以【待核】处理，规划结构不因其缺失而改变；资料到位后更新对应指标值与项目规模。</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40"/>
        <w:gridCol w:w="1901"/>
        <w:gridCol w:w="2184"/>
        <w:gridCol w:w="1619"/>
      </w:tblGrid>
      <w:tr>
        <w:trPr>
          <w:cantSplit/>
          <w:tblHeader/>
        </w:trPr>
        <w:tc>
          <w:tcPr>
            <w:tcW w:type="dxa" w:w="3140"/>
            <w:shd w:val="clear" w:color="auto" w:fill="E7EEF3"/>
          </w:tcPr>
          <w:p>
            <w:pPr>
              <w:keepNext/>
              <w:spacing w:before="0" w:after="0" w:line="276" w:lineRule="auto"/>
              <w:jc w:val="center"/>
            </w:pPr>
            <w:r/>
            <w:r>
              <w:rPr>
                <w:rFonts w:ascii="Times New Roman" w:hAnsi="Times New Roman" w:eastAsia="宋体"/>
                <w:b/>
                <w:color w:val="1F1F1F"/>
                <w:sz w:val="18"/>
              </w:rPr>
              <w:t>资料</w:t>
            </w:r>
          </w:p>
        </w:tc>
        <w:tc>
          <w:tcPr>
            <w:tcW w:type="dxa" w:w="1901"/>
            <w:shd w:val="clear" w:color="auto" w:fill="E7EEF3"/>
          </w:tcPr>
          <w:p>
            <w:pPr>
              <w:keepNext/>
              <w:spacing w:before="0" w:after="0" w:line="276" w:lineRule="auto"/>
              <w:jc w:val="center"/>
            </w:pPr>
            <w:r/>
            <w:r>
              <w:rPr>
                <w:rFonts w:ascii="Times New Roman" w:hAnsi="Times New Roman" w:eastAsia="宋体"/>
                <w:b/>
                <w:color w:val="1F1F1F"/>
                <w:sz w:val="18"/>
              </w:rPr>
              <w:t>用途</w:t>
            </w:r>
          </w:p>
        </w:tc>
        <w:tc>
          <w:tcPr>
            <w:tcW w:type="dxa" w:w="2184"/>
            <w:shd w:val="clear" w:color="auto" w:fill="E7EEF3"/>
          </w:tcPr>
          <w:p>
            <w:pPr>
              <w:keepNext/>
              <w:spacing w:before="0" w:after="0" w:line="276" w:lineRule="auto"/>
              <w:jc w:val="center"/>
            </w:pPr>
            <w:r/>
            <w:r>
              <w:rPr>
                <w:rFonts w:ascii="Times New Roman" w:hAnsi="Times New Roman" w:eastAsia="宋体"/>
                <w:b/>
                <w:color w:val="1F1F1F"/>
                <w:sz w:val="18"/>
              </w:rPr>
              <w:t>获取方式</w:t>
            </w:r>
          </w:p>
        </w:tc>
        <w:tc>
          <w:tcPr>
            <w:tcW w:type="dxa" w:w="1619"/>
            <w:shd w:val="clear" w:color="auto" w:fill="E7EEF3"/>
          </w:tcPr>
          <w:p>
            <w:pPr>
              <w:keepNext/>
              <w:spacing w:before="0" w:after="0" w:line="276" w:lineRule="auto"/>
              <w:jc w:val="center"/>
            </w:pPr>
            <w:r/>
            <w:r>
              <w:rPr>
                <w:rFonts w:ascii="Times New Roman" w:hAnsi="Times New Roman" w:eastAsia="宋体"/>
                <w:b/>
                <w:color w:val="1F1F1F"/>
                <w:sz w:val="18"/>
              </w:rPr>
              <w:t>时限</w:t>
            </w:r>
          </w:p>
        </w:tc>
      </w:tr>
      <w:tr>
        <w:trPr>
          <w:cantSplit/>
        </w:trPr>
        <w:tc>
          <w:tcPr>
            <w:tcW w:type="dxa" w:w="3140"/>
          </w:tcPr>
          <w:p>
            <w:pPr>
              <w:spacing w:before="0" w:after="0" w:line="276" w:lineRule="auto"/>
            </w:pPr>
            <w:r/>
            <w:r>
              <w:rPr>
                <w:rFonts w:ascii="Times New Roman" w:hAnsi="Times New Roman" w:eastAsia="宋体"/>
                <w:b w:val="0"/>
                <w:color w:val="1F1F1F"/>
                <w:sz w:val="18"/>
              </w:rPr>
              <w:t>园区年用电量与分项结构（含机房口径）</w:t>
            </w:r>
          </w:p>
        </w:tc>
        <w:tc>
          <w:tcPr>
            <w:tcW w:type="dxa" w:w="1901"/>
          </w:tcPr>
          <w:p>
            <w:pPr>
              <w:spacing w:before="0" w:after="0" w:line="276" w:lineRule="auto"/>
            </w:pPr>
            <w:r/>
            <w:r>
              <w:rPr>
                <w:rFonts w:ascii="Times New Roman" w:hAnsi="Times New Roman" w:eastAsia="宋体"/>
                <w:b w:val="0"/>
                <w:color w:val="1F1F1F"/>
                <w:sz w:val="18"/>
              </w:rPr>
              <w:t>基期基线、降碳率分母</w:t>
            </w:r>
          </w:p>
        </w:tc>
        <w:tc>
          <w:tcPr>
            <w:tcW w:type="dxa" w:w="2184"/>
          </w:tcPr>
          <w:p>
            <w:pPr>
              <w:spacing w:before="0" w:after="0" w:line="276" w:lineRule="auto"/>
            </w:pPr>
            <w:r/>
            <w:r>
              <w:rPr>
                <w:rFonts w:ascii="Times New Roman" w:hAnsi="Times New Roman" w:eastAsia="宋体"/>
                <w:b w:val="0"/>
                <w:color w:val="1F1F1F"/>
                <w:sz w:val="18"/>
              </w:rPr>
              <w:t>园区平台数据核验</w:t>
            </w:r>
          </w:p>
        </w:tc>
        <w:tc>
          <w:tcPr>
            <w:tcW w:type="dxa" w:w="1619"/>
          </w:tcPr>
          <w:p>
            <w:pPr>
              <w:spacing w:before="0" w:after="0" w:line="276" w:lineRule="auto"/>
            </w:pPr>
            <w:r/>
            <w:r>
              <w:rPr>
                <w:rFonts w:ascii="Times New Roman" w:hAnsi="Times New Roman" w:eastAsia="宋体"/>
                <w:b w:val="0"/>
                <w:color w:val="1F1F1F"/>
                <w:sz w:val="18"/>
              </w:rPr>
              <w:t>预可研启动前</w:t>
            </w:r>
          </w:p>
        </w:tc>
      </w:tr>
      <w:tr>
        <w:trPr>
          <w:cantSplit/>
        </w:trPr>
        <w:tc>
          <w:tcPr>
            <w:tcW w:type="dxa" w:w="3140"/>
          </w:tcPr>
          <w:p>
            <w:pPr>
              <w:spacing w:before="0" w:after="0" w:line="276" w:lineRule="auto"/>
            </w:pPr>
            <w:r/>
            <w:r>
              <w:rPr>
                <w:rFonts w:ascii="Times New Roman" w:hAnsi="Times New Roman" w:eastAsia="宋体"/>
                <w:b w:val="0"/>
                <w:color w:val="1F1F1F"/>
                <w:sz w:val="18"/>
              </w:rPr>
              <w:t>既有光伏装机、并网与发电量</w:t>
            </w:r>
          </w:p>
        </w:tc>
        <w:tc>
          <w:tcPr>
            <w:tcW w:type="dxa" w:w="1901"/>
          </w:tcPr>
          <w:p>
            <w:pPr>
              <w:spacing w:before="0" w:after="0" w:line="276" w:lineRule="auto"/>
            </w:pPr>
            <w:r/>
            <w:r>
              <w:rPr>
                <w:rFonts w:ascii="Times New Roman" w:hAnsi="Times New Roman" w:eastAsia="宋体"/>
                <w:b w:val="0"/>
                <w:color w:val="1F1F1F"/>
                <w:sz w:val="18"/>
              </w:rPr>
              <w:t>可再生能源指标</w:t>
            </w:r>
          </w:p>
        </w:tc>
        <w:tc>
          <w:tcPr>
            <w:tcW w:type="dxa" w:w="2184"/>
          </w:tcPr>
          <w:p>
            <w:pPr>
              <w:spacing w:before="0" w:after="0" w:line="276" w:lineRule="auto"/>
            </w:pPr>
            <w:r/>
            <w:r>
              <w:rPr>
                <w:rFonts w:ascii="Times New Roman" w:hAnsi="Times New Roman" w:eastAsia="宋体"/>
                <w:b w:val="0"/>
                <w:color w:val="1F1F1F"/>
                <w:sz w:val="18"/>
              </w:rPr>
              <w:t>并网资料核验</w:t>
            </w:r>
          </w:p>
        </w:tc>
        <w:tc>
          <w:tcPr>
            <w:tcW w:type="dxa" w:w="1619"/>
          </w:tcPr>
          <w:p>
            <w:pPr>
              <w:spacing w:before="0" w:after="0" w:line="276" w:lineRule="auto"/>
            </w:pPr>
            <w:r/>
            <w:r>
              <w:rPr>
                <w:rFonts w:ascii="Times New Roman" w:hAnsi="Times New Roman" w:eastAsia="宋体"/>
                <w:b w:val="0"/>
                <w:color w:val="1F1F1F"/>
                <w:sz w:val="18"/>
              </w:rPr>
              <w:t>预可研启动前</w:t>
            </w:r>
          </w:p>
        </w:tc>
      </w:tr>
      <w:tr>
        <w:trPr>
          <w:cantSplit/>
        </w:trPr>
        <w:tc>
          <w:tcPr>
            <w:tcW w:type="dxa" w:w="3140"/>
          </w:tcPr>
          <w:p>
            <w:pPr>
              <w:spacing w:before="0" w:after="0" w:line="276" w:lineRule="auto"/>
            </w:pPr>
            <w:r/>
            <w:r>
              <w:rPr>
                <w:rFonts w:ascii="Times New Roman" w:hAnsi="Times New Roman" w:eastAsia="宋体"/>
                <w:b w:val="0"/>
                <w:color w:val="1F1F1F"/>
                <w:sz w:val="18"/>
              </w:rPr>
              <w:t>冷站分项能耗与运行参数</w:t>
            </w:r>
          </w:p>
        </w:tc>
        <w:tc>
          <w:tcPr>
            <w:tcW w:type="dxa" w:w="1901"/>
          </w:tcPr>
          <w:p>
            <w:pPr>
              <w:spacing w:before="0" w:after="0" w:line="276" w:lineRule="auto"/>
            </w:pPr>
            <w:r/>
            <w:r>
              <w:rPr>
                <w:rFonts w:ascii="Times New Roman" w:hAnsi="Times New Roman" w:eastAsia="宋体"/>
                <w:b w:val="0"/>
                <w:color w:val="1F1F1F"/>
                <w:sz w:val="18"/>
              </w:rPr>
              <w:t>冷站能效基线</w:t>
            </w:r>
          </w:p>
        </w:tc>
        <w:tc>
          <w:tcPr>
            <w:tcW w:type="dxa" w:w="2184"/>
          </w:tcPr>
          <w:p>
            <w:pPr>
              <w:spacing w:before="0" w:after="0" w:line="276" w:lineRule="auto"/>
            </w:pPr>
            <w:r/>
            <w:r>
              <w:rPr>
                <w:rFonts w:ascii="Times New Roman" w:hAnsi="Times New Roman" w:eastAsia="宋体"/>
                <w:b w:val="0"/>
                <w:color w:val="1F1F1F"/>
                <w:sz w:val="18"/>
              </w:rPr>
              <w:t>实测诊断（项目 A1）</w:t>
            </w:r>
          </w:p>
        </w:tc>
        <w:tc>
          <w:tcPr>
            <w:tcW w:type="dxa" w:w="1619"/>
          </w:tcPr>
          <w:p>
            <w:pPr>
              <w:spacing w:before="0" w:after="0" w:line="276" w:lineRule="auto"/>
            </w:pPr>
            <w:r/>
            <w:r>
              <w:rPr>
                <w:rFonts w:ascii="Times New Roman" w:hAnsi="Times New Roman" w:eastAsia="宋体"/>
                <w:b w:val="0"/>
                <w:color w:val="1F1F1F"/>
                <w:sz w:val="18"/>
              </w:rPr>
              <w:t>一个完整供冷季</w:t>
            </w:r>
          </w:p>
        </w:tc>
      </w:tr>
      <w:tr>
        <w:trPr>
          <w:cantSplit/>
        </w:trPr>
        <w:tc>
          <w:tcPr>
            <w:tcW w:type="dxa" w:w="3140"/>
          </w:tcPr>
          <w:p>
            <w:pPr>
              <w:spacing w:before="0" w:after="0" w:line="276" w:lineRule="auto"/>
            </w:pPr>
            <w:r/>
            <w:r>
              <w:rPr>
                <w:rFonts w:ascii="Times New Roman" w:hAnsi="Times New Roman" w:eastAsia="宋体"/>
                <w:b w:val="0"/>
                <w:color w:val="1F1F1F"/>
                <w:sz w:val="18"/>
              </w:rPr>
              <w:t>机房余热可回收量与园区热需求</w:t>
            </w:r>
          </w:p>
        </w:tc>
        <w:tc>
          <w:tcPr>
            <w:tcW w:type="dxa" w:w="1901"/>
          </w:tcPr>
          <w:p>
            <w:pPr>
              <w:spacing w:before="0" w:after="0" w:line="276" w:lineRule="auto"/>
            </w:pPr>
            <w:r/>
            <w:r>
              <w:rPr>
                <w:rFonts w:ascii="Times New Roman" w:hAnsi="Times New Roman" w:eastAsia="宋体"/>
                <w:b w:val="0"/>
                <w:color w:val="1F1F1F"/>
                <w:sz w:val="18"/>
              </w:rPr>
              <w:t>余热利用项目规模</w:t>
            </w:r>
          </w:p>
        </w:tc>
        <w:tc>
          <w:tcPr>
            <w:tcW w:type="dxa" w:w="2184"/>
          </w:tcPr>
          <w:p>
            <w:pPr>
              <w:spacing w:before="0" w:after="0" w:line="276" w:lineRule="auto"/>
            </w:pPr>
            <w:r/>
            <w:r>
              <w:rPr>
                <w:rFonts w:ascii="Times New Roman" w:hAnsi="Times New Roman" w:eastAsia="宋体"/>
                <w:b w:val="0"/>
                <w:color w:val="1F1F1F"/>
                <w:sz w:val="18"/>
              </w:rPr>
              <w:t>园区踏勘摸底</w:t>
            </w:r>
          </w:p>
        </w:tc>
        <w:tc>
          <w:tcPr>
            <w:tcW w:type="dxa" w:w="1619"/>
          </w:tcPr>
          <w:p>
            <w:pPr>
              <w:spacing w:before="0" w:after="0" w:line="276" w:lineRule="auto"/>
            </w:pPr>
            <w:r/>
            <w:r>
              <w:rPr>
                <w:rFonts w:ascii="Times New Roman" w:hAnsi="Times New Roman" w:eastAsia="宋体"/>
                <w:b w:val="0"/>
                <w:color w:val="1F1F1F"/>
                <w:sz w:val="18"/>
              </w:rPr>
              <w:t>近期</w:t>
            </w:r>
          </w:p>
        </w:tc>
      </w:tr>
      <w:tr>
        <w:trPr>
          <w:cantSplit/>
        </w:trPr>
        <w:tc>
          <w:tcPr>
            <w:tcW w:type="dxa" w:w="3140"/>
          </w:tcPr>
          <w:p>
            <w:pPr>
              <w:spacing w:before="0" w:after="0" w:line="276" w:lineRule="auto"/>
            </w:pPr>
            <w:r/>
            <w:r>
              <w:rPr>
                <w:rFonts w:ascii="Times New Roman" w:hAnsi="Times New Roman" w:eastAsia="宋体"/>
                <w:b w:val="0"/>
                <w:color w:val="1F1F1F"/>
                <w:sz w:val="18"/>
              </w:rPr>
              <w:t>屋顶、露台、车棚可装光伏面积</w:t>
            </w:r>
          </w:p>
        </w:tc>
        <w:tc>
          <w:tcPr>
            <w:tcW w:type="dxa" w:w="1901"/>
          </w:tcPr>
          <w:p>
            <w:pPr>
              <w:spacing w:before="0" w:after="0" w:line="276" w:lineRule="auto"/>
            </w:pPr>
            <w:r/>
            <w:r>
              <w:rPr>
                <w:rFonts w:ascii="Times New Roman" w:hAnsi="Times New Roman" w:eastAsia="宋体"/>
                <w:b w:val="0"/>
                <w:color w:val="1F1F1F"/>
                <w:sz w:val="18"/>
              </w:rPr>
              <w:t>光伏项目规模</w:t>
            </w:r>
          </w:p>
        </w:tc>
        <w:tc>
          <w:tcPr>
            <w:tcW w:type="dxa" w:w="2184"/>
          </w:tcPr>
          <w:p>
            <w:pPr>
              <w:spacing w:before="0" w:after="0" w:line="276" w:lineRule="auto"/>
            </w:pPr>
            <w:r/>
            <w:r>
              <w:rPr>
                <w:rFonts w:ascii="Times New Roman" w:hAnsi="Times New Roman" w:eastAsia="宋体"/>
                <w:b w:val="0"/>
                <w:color w:val="1F1F1F"/>
                <w:sz w:val="18"/>
              </w:rPr>
              <w:t>卫星影像评估与现场普查</w:t>
            </w:r>
          </w:p>
        </w:tc>
        <w:tc>
          <w:tcPr>
            <w:tcW w:type="dxa" w:w="1619"/>
          </w:tcPr>
          <w:p>
            <w:pPr>
              <w:spacing w:before="0" w:after="0" w:line="276" w:lineRule="auto"/>
            </w:pPr>
            <w:r/>
            <w:r>
              <w:rPr>
                <w:rFonts w:ascii="Times New Roman" w:hAnsi="Times New Roman" w:eastAsia="宋体"/>
                <w:b w:val="0"/>
                <w:color w:val="1F1F1F"/>
                <w:sz w:val="18"/>
              </w:rPr>
              <w:t>近期</w:t>
            </w:r>
          </w:p>
        </w:tc>
      </w:tr>
      <w:tr>
        <w:trPr>
          <w:cantSplit/>
        </w:trPr>
        <w:tc>
          <w:tcPr>
            <w:tcW w:type="dxa" w:w="3140"/>
          </w:tcPr>
          <w:p>
            <w:pPr>
              <w:spacing w:before="0" w:after="0" w:line="276" w:lineRule="auto"/>
            </w:pPr>
            <w:r/>
            <w:r>
              <w:rPr>
                <w:rFonts w:ascii="Times New Roman" w:hAnsi="Times New Roman" w:eastAsia="宋体"/>
                <w:b w:val="0"/>
                <w:color w:val="1F1F1F"/>
                <w:sz w:val="18"/>
              </w:rPr>
              <w:t>分项计量覆盖、设备接口与网络安全边界</w:t>
            </w:r>
          </w:p>
        </w:tc>
        <w:tc>
          <w:tcPr>
            <w:tcW w:type="dxa" w:w="1901"/>
          </w:tcPr>
          <w:p>
            <w:pPr>
              <w:spacing w:before="0" w:after="0" w:line="276" w:lineRule="auto"/>
            </w:pPr>
            <w:r/>
            <w:r>
              <w:rPr>
                <w:rFonts w:ascii="Times New Roman" w:hAnsi="Times New Roman" w:eastAsia="宋体"/>
                <w:b w:val="0"/>
                <w:color w:val="1F1F1F"/>
                <w:sz w:val="18"/>
              </w:rPr>
              <w:t>平台设计输入</w:t>
            </w:r>
          </w:p>
        </w:tc>
        <w:tc>
          <w:tcPr>
            <w:tcW w:type="dxa" w:w="2184"/>
          </w:tcPr>
          <w:p>
            <w:pPr>
              <w:spacing w:before="0" w:after="0" w:line="276" w:lineRule="auto"/>
            </w:pPr>
            <w:r/>
            <w:r>
              <w:rPr>
                <w:rFonts w:ascii="Times New Roman" w:hAnsi="Times New Roman" w:eastAsia="宋体"/>
                <w:b w:val="0"/>
                <w:color w:val="1F1F1F"/>
                <w:sz w:val="18"/>
              </w:rPr>
              <w:t>园区踏勘与运维资料</w:t>
            </w:r>
          </w:p>
        </w:tc>
        <w:tc>
          <w:tcPr>
            <w:tcW w:type="dxa" w:w="1619"/>
          </w:tcPr>
          <w:p>
            <w:pPr>
              <w:spacing w:before="0" w:after="0" w:line="276" w:lineRule="auto"/>
            </w:pPr>
            <w:r/>
            <w:r>
              <w:rPr>
                <w:rFonts w:ascii="Times New Roman" w:hAnsi="Times New Roman" w:eastAsia="宋体"/>
                <w:b w:val="0"/>
                <w:color w:val="1F1F1F"/>
                <w:sz w:val="18"/>
              </w:rPr>
              <w:t>平台总体设计前</w:t>
            </w:r>
          </w:p>
        </w:tc>
      </w:tr>
      <w:tr>
        <w:trPr>
          <w:cantSplit/>
        </w:trPr>
        <w:tc>
          <w:tcPr>
            <w:tcW w:type="dxa" w:w="3140"/>
          </w:tcPr>
          <w:p>
            <w:pPr>
              <w:spacing w:before="0" w:after="0" w:line="276" w:lineRule="auto"/>
            </w:pPr>
            <w:r/>
            <w:r>
              <w:rPr>
                <w:rFonts w:ascii="Times New Roman" w:hAnsi="Times New Roman" w:eastAsia="宋体"/>
                <w:b w:val="0"/>
                <w:color w:val="1F1F1F"/>
                <w:sz w:val="18"/>
              </w:rPr>
              <w:t>《零碳建筑技术标准》稿件状态与台阶值</w:t>
            </w:r>
          </w:p>
        </w:tc>
        <w:tc>
          <w:tcPr>
            <w:tcW w:type="dxa" w:w="1901"/>
          </w:tcPr>
          <w:p>
            <w:pPr>
              <w:spacing w:before="0" w:after="0" w:line="276" w:lineRule="auto"/>
            </w:pPr>
            <w:r/>
            <w:r>
              <w:rPr>
                <w:rFonts w:ascii="Times New Roman" w:hAnsi="Times New Roman" w:eastAsia="宋体"/>
                <w:b w:val="0"/>
                <w:color w:val="1F1F1F"/>
                <w:sz w:val="18"/>
              </w:rPr>
              <w:t>目标档位校核</w:t>
            </w:r>
          </w:p>
        </w:tc>
        <w:tc>
          <w:tcPr>
            <w:tcW w:type="dxa" w:w="2184"/>
          </w:tcPr>
          <w:p>
            <w:pPr>
              <w:spacing w:before="0" w:after="0" w:line="276" w:lineRule="auto"/>
            </w:pPr>
            <w:r/>
            <w:r>
              <w:rPr>
                <w:rFonts w:ascii="Times New Roman" w:hAnsi="Times New Roman" w:eastAsia="宋体"/>
                <w:b w:val="0"/>
                <w:color w:val="1F1F1F"/>
                <w:sz w:val="18"/>
              </w:rPr>
              <w:t>向主编单位书面确认</w:t>
            </w:r>
          </w:p>
        </w:tc>
        <w:tc>
          <w:tcPr>
            <w:tcW w:type="dxa" w:w="1619"/>
          </w:tcPr>
          <w:p>
            <w:pPr>
              <w:spacing w:before="0" w:after="0" w:line="276" w:lineRule="auto"/>
            </w:pPr>
            <w:r/>
            <w:r>
              <w:rPr>
                <w:rFonts w:ascii="Times New Roman" w:hAnsi="Times New Roman" w:eastAsia="宋体"/>
                <w:b w:val="0"/>
                <w:color w:val="1F1F1F"/>
                <w:sz w:val="18"/>
              </w:rPr>
              <w:t>预可研启动前</w:t>
            </w:r>
          </w:p>
        </w:tc>
      </w:tr>
    </w:tbl>
    <w:p>
      <w:pPr>
        <w:spacing w:after="80"/>
      </w:pPr>
    </w:p>
    <w:p>
      <w:pPr>
        <w:pStyle w:val="Heading1"/>
        <w:keepNext/>
        <w:pageBreakBefore/>
        <w:spacing w:before="360" w:after="240" w:line="360" w:lineRule="auto"/>
        <w:jc w:val="center"/>
      </w:pPr>
      <w:r>
        <w:rPr>
          <w:rFonts w:ascii="Times New Roman" w:hAnsi="Times New Roman" w:eastAsia="黑体"/>
          <w:b w:val="0"/>
          <w:color w:val="1F1F1F"/>
          <w:sz w:val="36"/>
        </w:rPr>
        <w:t>第三章 规划目标与指标体系</w:t>
      </w:r>
    </w:p>
    <w:p>
      <w:pPr>
        <w:pStyle w:val="Heading2"/>
        <w:keepNext/>
        <w:spacing w:before="240" w:after="120" w:line="360" w:lineRule="auto"/>
      </w:pPr>
      <w:r>
        <w:rPr>
          <w:rFonts w:ascii="Times New Roman" w:hAnsi="Times New Roman" w:eastAsia="黑体"/>
          <w:b w:val="0"/>
          <w:color w:val="1F1F1F"/>
          <w:sz w:val="32"/>
        </w:rPr>
        <w:t>一、总体目标</w:t>
      </w:r>
    </w:p>
    <w:p>
      <w:pPr>
        <w:spacing w:before="0" w:after="120" w:line="360" w:lineRule="auto"/>
        <w:ind w:firstLine="480"/>
      </w:pPr>
      <w:r>
        <w:rPr>
          <w:rFonts w:ascii="Times New Roman" w:hAnsi="Times New Roman" w:eastAsia="仿宋_GB2312"/>
          <w:b w:val="0"/>
          <w:color w:val="1F1F1F"/>
          <w:sz w:val="32"/>
        </w:rPr>
        <w:t>到 2030 年，把南网总部基地既有园区建成绿色、智慧、近零碳园区：园区碳排放达到近零碳档位；能源系统以冷站为核心完成高效化改造并接入实时电价与需求响应；建成“一个平台、两类功能”的数字底座，园区运行数据可计量、可核验、可交易；园区环境健康可检、场所风貌延续、全员参与减碳并共享园区资源与算力；形成一套可向南网内其他园区复制的碳账口径、调控模型、数据资产与改造运营方法。</w:t>
      </w:r>
    </w:p>
    <w:p>
      <w:pPr>
        <w:pStyle w:val="Heading2"/>
        <w:keepNext/>
        <w:spacing w:before="240" w:after="120" w:line="360" w:lineRule="auto"/>
      </w:pPr>
      <w:r>
        <w:rPr>
          <w:rFonts w:ascii="Times New Roman" w:hAnsi="Times New Roman" w:eastAsia="黑体"/>
          <w:b w:val="0"/>
          <w:color w:val="1F1F1F"/>
          <w:sz w:val="32"/>
        </w:rPr>
        <w:t>二、分项目标</w:t>
      </w:r>
    </w:p>
    <w:p>
      <w:pPr>
        <w:spacing w:before="0" w:after="120" w:line="360" w:lineRule="auto"/>
        <w:ind w:firstLine="480"/>
      </w:pPr>
      <w:r>
        <w:rPr>
          <w:rFonts w:ascii="Times New Roman" w:hAnsi="Times New Roman" w:eastAsia="仿宋_GB2312"/>
          <w:b/>
          <w:color w:val="1F1F1F"/>
          <w:sz w:val="32"/>
        </w:rPr>
        <w:t>（一）近零碳目标。</w:t>
      </w:r>
      <w:r>
        <w:rPr>
          <w:rFonts w:ascii="Times New Roman" w:hAnsi="Times New Roman" w:eastAsia="仿宋_GB2312"/>
          <w:b w:val="0"/>
          <w:color w:val="1F1F1F"/>
          <w:sz w:val="32"/>
        </w:rPr>
        <w:t xml:space="preserve"> 以住建部体系园区层级台阶为目标档位参照：近期（2028 年）达到低碳档，中期（2030 年）达到近零碳档；碳抵消量占比不超过标准规定上限。台阶值以正式发布的《零碳建筑技术标准》为准【待核】。降碳路径按“需求侧节能—本地可再生能源—绿电交易—合规抵消”的次序安排，绿电交易是达到近零碳档的主要抵消手段，本地光伏应装尽装但不作达标主路径。</w:t>
      </w:r>
    </w:p>
    <w:p>
      <w:pPr>
        <w:spacing w:before="0" w:after="120" w:line="360" w:lineRule="auto"/>
        <w:ind w:firstLine="480"/>
      </w:pPr>
      <w:r>
        <w:rPr>
          <w:rFonts w:ascii="Times New Roman" w:hAnsi="Times New Roman" w:eastAsia="仿宋_GB2312"/>
          <w:b/>
          <w:color w:val="1F1F1F"/>
          <w:sz w:val="32"/>
        </w:rPr>
        <w:t>（二）绿色目标。</w:t>
      </w:r>
      <w:r>
        <w:rPr>
          <w:rFonts w:ascii="Times New Roman" w:hAnsi="Times New Roman" w:eastAsia="仿宋_GB2312"/>
          <w:b w:val="0"/>
          <w:color w:val="1F1F1F"/>
          <w:sz w:val="32"/>
        </w:rPr>
        <w:t xml:space="preserve"> 冷站与机电系统在不换主机前提下取得实测节能；蓄冷等柔性资源接入实时电价并保持经济性；园区水循环、海绵化与植被系统改善微气候；室内环境参数按国家标准连续达标，节能改造不以空气品质为代价。</w:t>
      </w:r>
    </w:p>
    <w:p>
      <w:pPr>
        <w:spacing w:before="0" w:after="120" w:line="360" w:lineRule="auto"/>
        <w:ind w:firstLine="480"/>
      </w:pPr>
      <w:r>
        <w:rPr>
          <w:rFonts w:ascii="Times New Roman" w:hAnsi="Times New Roman" w:eastAsia="仿宋_GB2312"/>
          <w:b/>
          <w:color w:val="1F1F1F"/>
          <w:sz w:val="32"/>
        </w:rPr>
        <w:t>（三）智慧目标。</w:t>
      </w:r>
      <w:r>
        <w:rPr>
          <w:rFonts w:ascii="Times New Roman" w:hAnsi="Times New Roman" w:eastAsia="仿宋_GB2312"/>
          <w:b w:val="0"/>
          <w:color w:val="1F1F1F"/>
          <w:sz w:val="32"/>
        </w:rPr>
        <w:t xml:space="preserve"> 一个平台承接园内运营与园外互动两类功能；四级用能计量全覆盖，计量数据同时满足碳核算与电力交易结算；负荷预测与调优模型在线运行；平台与模型本地化部署，数据主权归南网。</w:t>
      </w:r>
    </w:p>
    <w:p>
      <w:pPr>
        <w:spacing w:before="0" w:after="120" w:line="360" w:lineRule="auto"/>
        <w:ind w:firstLine="480"/>
      </w:pPr>
      <w:r>
        <w:rPr>
          <w:rFonts w:ascii="Times New Roman" w:hAnsi="Times New Roman" w:eastAsia="仿宋_GB2312"/>
          <w:b/>
          <w:color w:val="1F1F1F"/>
          <w:sz w:val="32"/>
        </w:rPr>
        <w:t>（四）六要素分解。</w:t>
      </w:r>
      <w:r>
        <w:rPr>
          <w:rFonts w:ascii="Times New Roman" w:hAnsi="Times New Roman" w:eastAsia="仿宋_GB2312"/>
          <w:b w:val="0"/>
          <w:color w:val="1F1F1F"/>
          <w:sz w:val="32"/>
        </w:rPr>
        <w:t xml:space="preserve"> 绿色与高效落在近零碳与能源专项及绿色生态专项；智慧落在智慧运营专项；普惠落在“人人参与、人人受益”三项内容（碳普惠、算力普惠、园区资源普惠），无障碍为标配；健康落在可检可验的室内环境与健康服务；人文落在风貌保护下的场所品质与真实系统展示。</w:t>
      </w:r>
    </w:p>
    <w:p>
      <w:pPr>
        <w:pStyle w:val="Heading2"/>
        <w:keepNext/>
        <w:spacing w:before="240" w:after="120" w:line="360" w:lineRule="auto"/>
      </w:pPr>
      <w:r>
        <w:rPr>
          <w:rFonts w:ascii="Times New Roman" w:hAnsi="Times New Roman" w:eastAsia="黑体"/>
          <w:b w:val="0"/>
          <w:color w:val="1F1F1F"/>
          <w:sz w:val="32"/>
        </w:rPr>
        <w:t>三、指标体系</w:t>
      </w:r>
    </w:p>
    <w:p>
      <w:pPr>
        <w:spacing w:before="0" w:after="120" w:line="360" w:lineRule="auto"/>
        <w:ind w:firstLine="480"/>
      </w:pPr>
      <w:r>
        <w:rPr>
          <w:rFonts w:ascii="Times New Roman" w:hAnsi="Times New Roman" w:eastAsia="仿宋_GB2312"/>
          <w:b w:val="0"/>
          <w:color w:val="1F1F1F"/>
          <w:sz w:val="32"/>
        </w:rPr>
        <w:t>指标分控制性与引导性两类。控制性指标为规划期内必须达到的指标，纳入项目验收与年度运营评估；引导性指标为努力方向，随基期基线与专项设计校定。基期值均以 2027 年供冷季实测结果为准，本表基期列一律为“待实测”。</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14"/>
        <w:gridCol w:w="1744"/>
        <w:gridCol w:w="1050"/>
        <w:gridCol w:w="1014"/>
        <w:gridCol w:w="1262"/>
        <w:gridCol w:w="1239"/>
        <w:gridCol w:w="1521"/>
      </w:tblGrid>
      <w:tr>
        <w:trPr>
          <w:cantSplit/>
          <w:tblHeader/>
        </w:trPr>
        <w:tc>
          <w:tcPr>
            <w:tcW w:type="dxa" w:w="1014"/>
            <w:shd w:val="clear" w:color="auto" w:fill="E7EEF3"/>
          </w:tcPr>
          <w:p>
            <w:pPr>
              <w:keepNext/>
              <w:spacing w:before="0" w:after="0" w:line="276" w:lineRule="auto"/>
              <w:jc w:val="center"/>
            </w:pPr>
            <w:r/>
            <w:r>
              <w:rPr>
                <w:rFonts w:ascii="Times New Roman" w:hAnsi="Times New Roman" w:eastAsia="宋体"/>
                <w:b/>
                <w:color w:val="1F1F1F"/>
                <w:sz w:val="16"/>
              </w:rPr>
              <w:t>序号</w:t>
            </w:r>
          </w:p>
        </w:tc>
        <w:tc>
          <w:tcPr>
            <w:tcW w:type="dxa" w:w="1744"/>
            <w:shd w:val="clear" w:color="auto" w:fill="E7EEF3"/>
          </w:tcPr>
          <w:p>
            <w:pPr>
              <w:keepNext/>
              <w:spacing w:before="0" w:after="0" w:line="276" w:lineRule="auto"/>
              <w:jc w:val="center"/>
            </w:pPr>
            <w:r/>
            <w:r>
              <w:rPr>
                <w:rFonts w:ascii="Times New Roman" w:hAnsi="Times New Roman" w:eastAsia="宋体"/>
                <w:b/>
                <w:color w:val="1F1F1F"/>
                <w:sz w:val="16"/>
              </w:rPr>
              <w:t>指标</w:t>
            </w:r>
          </w:p>
        </w:tc>
        <w:tc>
          <w:tcPr>
            <w:tcW w:type="dxa" w:w="1050"/>
            <w:shd w:val="clear" w:color="auto" w:fill="E7EEF3"/>
          </w:tcPr>
          <w:p>
            <w:pPr>
              <w:keepNext/>
              <w:spacing w:before="0" w:after="0" w:line="276" w:lineRule="auto"/>
              <w:jc w:val="center"/>
            </w:pPr>
            <w:r/>
            <w:r>
              <w:rPr>
                <w:rFonts w:ascii="Times New Roman" w:hAnsi="Times New Roman" w:eastAsia="宋体"/>
                <w:b/>
                <w:color w:val="1F1F1F"/>
                <w:sz w:val="16"/>
              </w:rPr>
              <w:t>要素归属</w:t>
            </w:r>
          </w:p>
        </w:tc>
        <w:tc>
          <w:tcPr>
            <w:tcW w:type="dxa" w:w="1014"/>
            <w:shd w:val="clear" w:color="auto" w:fill="E7EEF3"/>
          </w:tcPr>
          <w:p>
            <w:pPr>
              <w:keepNext/>
              <w:spacing w:before="0" w:after="0" w:line="276" w:lineRule="auto"/>
              <w:jc w:val="center"/>
            </w:pPr>
            <w:r/>
            <w:r>
              <w:rPr>
                <w:rFonts w:ascii="Times New Roman" w:hAnsi="Times New Roman" w:eastAsia="宋体"/>
                <w:b/>
                <w:color w:val="1F1F1F"/>
                <w:sz w:val="16"/>
              </w:rPr>
              <w:t>属性</w:t>
            </w:r>
          </w:p>
        </w:tc>
        <w:tc>
          <w:tcPr>
            <w:tcW w:type="dxa" w:w="1262"/>
            <w:shd w:val="clear" w:color="auto" w:fill="E7EEF3"/>
          </w:tcPr>
          <w:p>
            <w:pPr>
              <w:keepNext/>
              <w:spacing w:before="0" w:after="0" w:line="276" w:lineRule="auto"/>
              <w:jc w:val="center"/>
            </w:pPr>
            <w:r/>
            <w:r>
              <w:rPr>
                <w:rFonts w:ascii="Times New Roman" w:hAnsi="Times New Roman" w:eastAsia="宋体"/>
                <w:b/>
                <w:color w:val="1F1F1F"/>
                <w:sz w:val="16"/>
              </w:rPr>
              <w:t>2028 年</w:t>
            </w:r>
          </w:p>
        </w:tc>
        <w:tc>
          <w:tcPr>
            <w:tcW w:type="dxa" w:w="1239"/>
            <w:shd w:val="clear" w:color="auto" w:fill="E7EEF3"/>
          </w:tcPr>
          <w:p>
            <w:pPr>
              <w:keepNext/>
              <w:spacing w:before="0" w:after="0" w:line="276" w:lineRule="auto"/>
              <w:jc w:val="center"/>
            </w:pPr>
            <w:r/>
            <w:r>
              <w:rPr>
                <w:rFonts w:ascii="Times New Roman" w:hAnsi="Times New Roman" w:eastAsia="宋体"/>
                <w:b/>
                <w:color w:val="1F1F1F"/>
                <w:sz w:val="16"/>
              </w:rPr>
              <w:t>2030 年</w:t>
            </w:r>
          </w:p>
        </w:tc>
        <w:tc>
          <w:tcPr>
            <w:tcW w:type="dxa" w:w="1521"/>
            <w:shd w:val="clear" w:color="auto" w:fill="E7EEF3"/>
          </w:tcPr>
          <w:p>
            <w:pPr>
              <w:keepNext/>
              <w:spacing w:before="0" w:after="0" w:line="276" w:lineRule="auto"/>
              <w:jc w:val="center"/>
            </w:pPr>
            <w:r/>
            <w:r>
              <w:rPr>
                <w:rFonts w:ascii="Times New Roman" w:hAnsi="Times New Roman" w:eastAsia="宋体"/>
                <w:b/>
                <w:color w:val="1F1F1F"/>
                <w:sz w:val="16"/>
              </w:rPr>
              <w:t>说明</w:t>
            </w:r>
          </w:p>
        </w:tc>
      </w:tr>
      <w:tr>
        <w:trPr>
          <w:cantSplit/>
        </w:trPr>
        <w:tc>
          <w:tcPr>
            <w:tcW w:type="dxa" w:w="1014"/>
          </w:tcPr>
          <w:p>
            <w:pPr>
              <w:spacing w:before="0" w:after="0" w:line="276" w:lineRule="auto"/>
            </w:pPr>
            <w:r/>
            <w:r>
              <w:rPr>
                <w:rFonts w:ascii="Times New Roman" w:hAnsi="Times New Roman" w:eastAsia="宋体"/>
                <w:b w:val="0"/>
                <w:color w:val="1F1F1F"/>
                <w:sz w:val="16"/>
              </w:rPr>
              <w:t>1</w:t>
            </w:r>
          </w:p>
        </w:tc>
        <w:tc>
          <w:tcPr>
            <w:tcW w:type="dxa" w:w="1744"/>
          </w:tcPr>
          <w:p>
            <w:pPr>
              <w:spacing w:before="0" w:after="0" w:line="276" w:lineRule="auto"/>
            </w:pPr>
            <w:r/>
            <w:r>
              <w:rPr>
                <w:rFonts w:ascii="Times New Roman" w:hAnsi="Times New Roman" w:eastAsia="宋体"/>
                <w:b w:val="0"/>
                <w:color w:val="1F1F1F"/>
                <w:sz w:val="16"/>
              </w:rPr>
              <w:t>园区碳排放降碳率（较基期基准）</w:t>
            </w:r>
          </w:p>
        </w:tc>
        <w:tc>
          <w:tcPr>
            <w:tcW w:type="dxa" w:w="1050"/>
          </w:tcPr>
          <w:p>
            <w:pPr>
              <w:spacing w:before="0" w:after="0" w:line="276" w:lineRule="auto"/>
            </w:pPr>
            <w:r/>
            <w:r>
              <w:rPr>
                <w:rFonts w:ascii="Times New Roman" w:hAnsi="Times New Roman" w:eastAsia="宋体"/>
                <w:b w:val="0"/>
                <w:color w:val="1F1F1F"/>
                <w:sz w:val="16"/>
              </w:rPr>
              <w:t>近零碳·绿色</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达低碳档</w:t>
            </w:r>
          </w:p>
        </w:tc>
        <w:tc>
          <w:tcPr>
            <w:tcW w:type="dxa" w:w="1239"/>
          </w:tcPr>
          <w:p>
            <w:pPr>
              <w:spacing w:before="0" w:after="0" w:line="276" w:lineRule="auto"/>
            </w:pPr>
            <w:r/>
            <w:r>
              <w:rPr>
                <w:rFonts w:ascii="Times New Roman" w:hAnsi="Times New Roman" w:eastAsia="宋体"/>
                <w:b w:val="0"/>
                <w:color w:val="1F1F1F"/>
                <w:sz w:val="16"/>
              </w:rPr>
              <w:t>达近零碳档</w:t>
            </w:r>
          </w:p>
        </w:tc>
        <w:tc>
          <w:tcPr>
            <w:tcW w:type="dxa" w:w="1521"/>
          </w:tcPr>
          <w:p>
            <w:pPr>
              <w:spacing w:before="0" w:after="0" w:line="276" w:lineRule="auto"/>
            </w:pPr>
            <w:r/>
            <w:r>
              <w:rPr>
                <w:rFonts w:ascii="Times New Roman" w:hAnsi="Times New Roman" w:eastAsia="宋体"/>
                <w:b w:val="0"/>
                <w:color w:val="1F1F1F"/>
                <w:sz w:val="16"/>
              </w:rPr>
              <w:t>台阶值按国家标准正式文本【待核】</w:t>
            </w:r>
          </w:p>
        </w:tc>
      </w:tr>
      <w:tr>
        <w:trPr>
          <w:cantSplit/>
        </w:trPr>
        <w:tc>
          <w:tcPr>
            <w:tcW w:type="dxa" w:w="1014"/>
          </w:tcPr>
          <w:p>
            <w:pPr>
              <w:spacing w:before="0" w:after="0" w:line="276" w:lineRule="auto"/>
            </w:pPr>
            <w:r/>
            <w:r>
              <w:rPr>
                <w:rFonts w:ascii="Times New Roman" w:hAnsi="Times New Roman" w:eastAsia="宋体"/>
                <w:b w:val="0"/>
                <w:color w:val="1F1F1F"/>
                <w:sz w:val="16"/>
              </w:rPr>
              <w:t>2</w:t>
            </w:r>
          </w:p>
        </w:tc>
        <w:tc>
          <w:tcPr>
            <w:tcW w:type="dxa" w:w="1744"/>
          </w:tcPr>
          <w:p>
            <w:pPr>
              <w:spacing w:before="0" w:after="0" w:line="276" w:lineRule="auto"/>
            </w:pPr>
            <w:r/>
            <w:r>
              <w:rPr>
                <w:rFonts w:ascii="Times New Roman" w:hAnsi="Times New Roman" w:eastAsia="宋体"/>
                <w:b w:val="0"/>
                <w:color w:val="1F1F1F"/>
                <w:sz w:val="16"/>
              </w:rPr>
              <w:t>碳抵消量占基准排放比例</w:t>
            </w:r>
          </w:p>
        </w:tc>
        <w:tc>
          <w:tcPr>
            <w:tcW w:type="dxa" w:w="1050"/>
          </w:tcPr>
          <w:p>
            <w:pPr>
              <w:spacing w:before="0" w:after="0" w:line="276" w:lineRule="auto"/>
            </w:pPr>
            <w:r/>
            <w:r>
              <w:rPr>
                <w:rFonts w:ascii="Times New Roman" w:hAnsi="Times New Roman" w:eastAsia="宋体"/>
                <w:b w:val="0"/>
                <w:color w:val="1F1F1F"/>
                <w:sz w:val="16"/>
              </w:rPr>
              <w:t>近零碳·绿色</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不超标准上限</w:t>
            </w:r>
          </w:p>
        </w:tc>
        <w:tc>
          <w:tcPr>
            <w:tcW w:type="dxa" w:w="1239"/>
          </w:tcPr>
          <w:p>
            <w:pPr>
              <w:spacing w:before="0" w:after="0" w:line="276" w:lineRule="auto"/>
            </w:pPr>
            <w:r/>
            <w:r>
              <w:rPr>
                <w:rFonts w:ascii="Times New Roman" w:hAnsi="Times New Roman" w:eastAsia="宋体"/>
                <w:b w:val="0"/>
                <w:color w:val="1F1F1F"/>
                <w:sz w:val="16"/>
              </w:rPr>
              <w:t>不超标准上限</w:t>
            </w:r>
          </w:p>
        </w:tc>
        <w:tc>
          <w:tcPr>
            <w:tcW w:type="dxa" w:w="1521"/>
          </w:tcPr>
          <w:p>
            <w:pPr>
              <w:spacing w:before="0" w:after="0" w:line="276" w:lineRule="auto"/>
            </w:pPr>
            <w:r/>
            <w:r>
              <w:rPr>
                <w:rFonts w:ascii="Times New Roman" w:hAnsi="Times New Roman" w:eastAsia="宋体"/>
                <w:b w:val="0"/>
                <w:color w:val="1F1F1F"/>
                <w:sz w:val="16"/>
              </w:rPr>
              <w:t>上限值【待核】</w:t>
            </w:r>
          </w:p>
        </w:tc>
      </w:tr>
      <w:tr>
        <w:trPr>
          <w:cantSplit/>
        </w:trPr>
        <w:tc>
          <w:tcPr>
            <w:tcW w:type="dxa" w:w="1014"/>
          </w:tcPr>
          <w:p>
            <w:pPr>
              <w:spacing w:before="0" w:after="0" w:line="276" w:lineRule="auto"/>
            </w:pPr>
            <w:r/>
            <w:r>
              <w:rPr>
                <w:rFonts w:ascii="Times New Roman" w:hAnsi="Times New Roman" w:eastAsia="宋体"/>
                <w:b w:val="0"/>
                <w:color w:val="1F1F1F"/>
                <w:sz w:val="16"/>
              </w:rPr>
              <w:t>3</w:t>
            </w:r>
          </w:p>
        </w:tc>
        <w:tc>
          <w:tcPr>
            <w:tcW w:type="dxa" w:w="1744"/>
          </w:tcPr>
          <w:p>
            <w:pPr>
              <w:spacing w:before="0" w:after="0" w:line="276" w:lineRule="auto"/>
            </w:pPr>
            <w:r/>
            <w:r>
              <w:rPr>
                <w:rFonts w:ascii="Times New Roman" w:hAnsi="Times New Roman" w:eastAsia="宋体"/>
                <w:b w:val="0"/>
                <w:color w:val="1F1F1F"/>
                <w:sz w:val="16"/>
              </w:rPr>
              <w:t>园区碳账本覆盖率（纳入核算的用能单元占比）</w:t>
            </w:r>
          </w:p>
        </w:tc>
        <w:tc>
          <w:tcPr>
            <w:tcW w:type="dxa" w:w="1050"/>
          </w:tcPr>
          <w:p>
            <w:pPr>
              <w:spacing w:before="0" w:after="0" w:line="276" w:lineRule="auto"/>
            </w:pPr>
            <w:r/>
            <w:r>
              <w:rPr>
                <w:rFonts w:ascii="Times New Roman" w:hAnsi="Times New Roman" w:eastAsia="宋体"/>
                <w:b w:val="0"/>
                <w:color w:val="1F1F1F"/>
                <w:sz w:val="16"/>
              </w:rPr>
              <w:t>近零碳·智慧</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100%</w:t>
            </w:r>
          </w:p>
        </w:tc>
        <w:tc>
          <w:tcPr>
            <w:tcW w:type="dxa" w:w="1239"/>
          </w:tcPr>
          <w:p>
            <w:pPr>
              <w:spacing w:before="0" w:after="0" w:line="276" w:lineRule="auto"/>
            </w:pPr>
            <w:r/>
            <w:r>
              <w:rPr>
                <w:rFonts w:ascii="Times New Roman" w:hAnsi="Times New Roman" w:eastAsia="宋体"/>
                <w:b w:val="0"/>
                <w:color w:val="1F1F1F"/>
                <w:sz w:val="16"/>
              </w:rPr>
              <w:t>100%</w:t>
            </w:r>
          </w:p>
        </w:tc>
        <w:tc>
          <w:tcPr>
            <w:tcW w:type="dxa" w:w="1521"/>
          </w:tcPr>
          <w:p>
            <w:pPr>
              <w:spacing w:before="0" w:after="0" w:line="276" w:lineRule="auto"/>
            </w:pPr>
            <w:r/>
            <w:r>
              <w:rPr>
                <w:rFonts w:ascii="Times New Roman" w:hAnsi="Times New Roman" w:eastAsia="宋体"/>
                <w:b w:val="0"/>
                <w:color w:val="1F1F1F"/>
                <w:sz w:val="16"/>
              </w:rPr>
              <w:t>全园总账加两个子账</w:t>
            </w:r>
          </w:p>
        </w:tc>
      </w:tr>
      <w:tr>
        <w:trPr>
          <w:cantSplit/>
        </w:trPr>
        <w:tc>
          <w:tcPr>
            <w:tcW w:type="dxa" w:w="1014"/>
          </w:tcPr>
          <w:p>
            <w:pPr>
              <w:spacing w:before="0" w:after="0" w:line="276" w:lineRule="auto"/>
            </w:pPr>
            <w:r/>
            <w:r>
              <w:rPr>
                <w:rFonts w:ascii="Times New Roman" w:hAnsi="Times New Roman" w:eastAsia="宋体"/>
                <w:b w:val="0"/>
                <w:color w:val="1F1F1F"/>
                <w:sz w:val="16"/>
              </w:rPr>
              <w:t>4</w:t>
            </w:r>
          </w:p>
        </w:tc>
        <w:tc>
          <w:tcPr>
            <w:tcW w:type="dxa" w:w="1744"/>
          </w:tcPr>
          <w:p>
            <w:pPr>
              <w:spacing w:before="0" w:after="0" w:line="276" w:lineRule="auto"/>
            </w:pPr>
            <w:r/>
            <w:r>
              <w:rPr>
                <w:rFonts w:ascii="Times New Roman" w:hAnsi="Times New Roman" w:eastAsia="宋体"/>
                <w:b w:val="0"/>
                <w:color w:val="1F1F1F"/>
                <w:sz w:val="16"/>
              </w:rPr>
              <w:t>绿电（本地光伏加绿电交易）占园区用电比例</w:t>
            </w:r>
          </w:p>
        </w:tc>
        <w:tc>
          <w:tcPr>
            <w:tcW w:type="dxa" w:w="1050"/>
          </w:tcPr>
          <w:p>
            <w:pPr>
              <w:spacing w:before="0" w:after="0" w:line="276" w:lineRule="auto"/>
            </w:pPr>
            <w:r/>
            <w:r>
              <w:rPr>
                <w:rFonts w:ascii="Times New Roman" w:hAnsi="Times New Roman" w:eastAsia="宋体"/>
                <w:b w:val="0"/>
                <w:color w:val="1F1F1F"/>
                <w:sz w:val="16"/>
              </w:rPr>
              <w:t>近零碳·绿色</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随抵消结构方案确定</w:t>
            </w:r>
          </w:p>
        </w:tc>
        <w:tc>
          <w:tcPr>
            <w:tcW w:type="dxa" w:w="1239"/>
          </w:tcPr>
          <w:p>
            <w:pPr>
              <w:spacing w:before="0" w:after="0" w:line="276" w:lineRule="auto"/>
            </w:pPr>
            <w:r/>
            <w:r>
              <w:rPr>
                <w:rFonts w:ascii="Times New Roman" w:hAnsi="Times New Roman" w:eastAsia="宋体"/>
                <w:b w:val="0"/>
                <w:color w:val="1F1F1F"/>
                <w:sz w:val="16"/>
              </w:rPr>
              <w:t>满足近零碳档所需</w:t>
            </w:r>
          </w:p>
        </w:tc>
        <w:tc>
          <w:tcPr>
            <w:tcW w:type="dxa" w:w="1521"/>
          </w:tcPr>
          <w:p>
            <w:pPr>
              <w:spacing w:before="0" w:after="0" w:line="276" w:lineRule="auto"/>
            </w:pPr>
            <w:r/>
            <w:r>
              <w:rPr>
                <w:rFonts w:ascii="Times New Roman" w:hAnsi="Times New Roman" w:eastAsia="宋体"/>
                <w:b w:val="0"/>
                <w:color w:val="1F1F1F"/>
                <w:sz w:val="16"/>
              </w:rPr>
              <w:t>绿电交易口径以正式规则为准</w:t>
            </w:r>
          </w:p>
        </w:tc>
      </w:tr>
      <w:tr>
        <w:trPr>
          <w:cantSplit/>
        </w:trPr>
        <w:tc>
          <w:tcPr>
            <w:tcW w:type="dxa" w:w="1014"/>
          </w:tcPr>
          <w:p>
            <w:pPr>
              <w:spacing w:before="0" w:after="0" w:line="276" w:lineRule="auto"/>
            </w:pPr>
            <w:r/>
            <w:r>
              <w:rPr>
                <w:rFonts w:ascii="Times New Roman" w:hAnsi="Times New Roman" w:eastAsia="宋体"/>
                <w:b w:val="0"/>
                <w:color w:val="1F1F1F"/>
                <w:sz w:val="16"/>
              </w:rPr>
              <w:t>5</w:t>
            </w:r>
          </w:p>
        </w:tc>
        <w:tc>
          <w:tcPr>
            <w:tcW w:type="dxa" w:w="1744"/>
          </w:tcPr>
          <w:p>
            <w:pPr>
              <w:spacing w:before="0" w:after="0" w:line="276" w:lineRule="auto"/>
            </w:pPr>
            <w:r/>
            <w:r>
              <w:rPr>
                <w:rFonts w:ascii="Times New Roman" w:hAnsi="Times New Roman" w:eastAsia="宋体"/>
                <w:b w:val="0"/>
                <w:color w:val="1F1F1F"/>
                <w:sz w:val="16"/>
              </w:rPr>
              <w:t>光伏装机容量</w:t>
            </w:r>
          </w:p>
        </w:tc>
        <w:tc>
          <w:tcPr>
            <w:tcW w:type="dxa" w:w="1050"/>
          </w:tcPr>
          <w:p>
            <w:pPr>
              <w:spacing w:before="0" w:after="0" w:line="276" w:lineRule="auto"/>
            </w:pPr>
            <w:r/>
            <w:r>
              <w:rPr>
                <w:rFonts w:ascii="Times New Roman" w:hAnsi="Times New Roman" w:eastAsia="宋体"/>
                <w:b w:val="0"/>
                <w:color w:val="1F1F1F"/>
                <w:sz w:val="16"/>
              </w:rPr>
              <w:t>绿色</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完成普查并实施首批加装</w:t>
            </w:r>
          </w:p>
        </w:tc>
        <w:tc>
          <w:tcPr>
            <w:tcW w:type="dxa" w:w="1239"/>
          </w:tcPr>
          <w:p>
            <w:pPr>
              <w:spacing w:before="0" w:after="0" w:line="276" w:lineRule="auto"/>
            </w:pPr>
            <w:r/>
            <w:r>
              <w:rPr>
                <w:rFonts w:ascii="Times New Roman" w:hAnsi="Times New Roman" w:eastAsia="宋体"/>
                <w:b w:val="0"/>
                <w:color w:val="1F1F1F"/>
                <w:sz w:val="16"/>
              </w:rPr>
              <w:t>普查可装容量应装尽装</w:t>
            </w:r>
          </w:p>
        </w:tc>
        <w:tc>
          <w:tcPr>
            <w:tcW w:type="dxa" w:w="1521"/>
          </w:tcPr>
          <w:p>
            <w:pPr>
              <w:spacing w:before="0" w:after="0" w:line="276" w:lineRule="auto"/>
            </w:pPr>
            <w:r/>
            <w:r>
              <w:rPr>
                <w:rFonts w:ascii="Times New Roman" w:hAnsi="Times New Roman" w:eastAsia="宋体"/>
                <w:b w:val="0"/>
                <w:color w:val="1F1F1F"/>
                <w:sz w:val="16"/>
              </w:rPr>
              <w:t>现状约 2 点几兆瓦【待核】</w:t>
            </w:r>
          </w:p>
        </w:tc>
      </w:tr>
      <w:tr>
        <w:trPr>
          <w:cantSplit/>
        </w:trPr>
        <w:tc>
          <w:tcPr>
            <w:tcW w:type="dxa" w:w="1014"/>
          </w:tcPr>
          <w:p>
            <w:pPr>
              <w:spacing w:before="0" w:after="0" w:line="276" w:lineRule="auto"/>
            </w:pPr>
            <w:r/>
            <w:r>
              <w:rPr>
                <w:rFonts w:ascii="Times New Roman" w:hAnsi="Times New Roman" w:eastAsia="宋体"/>
                <w:b w:val="0"/>
                <w:color w:val="1F1F1F"/>
                <w:sz w:val="16"/>
              </w:rPr>
              <w:t>6</w:t>
            </w:r>
          </w:p>
        </w:tc>
        <w:tc>
          <w:tcPr>
            <w:tcW w:type="dxa" w:w="1744"/>
          </w:tcPr>
          <w:p>
            <w:pPr>
              <w:spacing w:before="0" w:after="0" w:line="276" w:lineRule="auto"/>
            </w:pPr>
            <w:r/>
            <w:r>
              <w:rPr>
                <w:rFonts w:ascii="Times New Roman" w:hAnsi="Times New Roman" w:eastAsia="宋体"/>
                <w:b w:val="0"/>
                <w:color w:val="1F1F1F"/>
                <w:sz w:val="16"/>
              </w:rPr>
              <w:t>冷站综合能效（较基期）</w:t>
            </w:r>
          </w:p>
        </w:tc>
        <w:tc>
          <w:tcPr>
            <w:tcW w:type="dxa" w:w="1050"/>
          </w:tcPr>
          <w:p>
            <w:pPr>
              <w:spacing w:before="0" w:after="0" w:line="276" w:lineRule="auto"/>
            </w:pPr>
            <w:r/>
            <w:r>
              <w:rPr>
                <w:rFonts w:ascii="Times New Roman" w:hAnsi="Times New Roman" w:eastAsia="宋体"/>
                <w:b w:val="0"/>
                <w:color w:val="1F1F1F"/>
                <w:sz w:val="16"/>
              </w:rPr>
              <w:t>高效</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提升不低于 10%</w:t>
            </w:r>
          </w:p>
        </w:tc>
        <w:tc>
          <w:tcPr>
            <w:tcW w:type="dxa" w:w="1239"/>
          </w:tcPr>
          <w:p>
            <w:pPr>
              <w:spacing w:before="0" w:after="0" w:line="276" w:lineRule="auto"/>
            </w:pPr>
            <w:r/>
            <w:r>
              <w:rPr>
                <w:rFonts w:ascii="Times New Roman" w:hAnsi="Times New Roman" w:eastAsia="宋体"/>
                <w:b w:val="0"/>
                <w:color w:val="1F1F1F"/>
                <w:sz w:val="16"/>
              </w:rPr>
              <w:t>提升不低于 15%</w:t>
            </w:r>
          </w:p>
        </w:tc>
        <w:tc>
          <w:tcPr>
            <w:tcW w:type="dxa" w:w="1521"/>
          </w:tcPr>
          <w:p>
            <w:pPr>
              <w:spacing w:before="0" w:after="0" w:line="276" w:lineRule="auto"/>
            </w:pPr>
            <w:r/>
            <w:r>
              <w:rPr>
                <w:rFonts w:ascii="Times New Roman" w:hAnsi="Times New Roman" w:eastAsia="宋体"/>
                <w:b w:val="0"/>
                <w:color w:val="1F1F1F"/>
                <w:sz w:val="16"/>
              </w:rPr>
              <w:t>估算区间 10%—20%【待核】，基线后校定</w:t>
            </w:r>
          </w:p>
        </w:tc>
      </w:tr>
      <w:tr>
        <w:trPr>
          <w:cantSplit/>
        </w:trPr>
        <w:tc>
          <w:tcPr>
            <w:tcW w:type="dxa" w:w="1014"/>
          </w:tcPr>
          <w:p>
            <w:pPr>
              <w:spacing w:before="0" w:after="0" w:line="276" w:lineRule="auto"/>
            </w:pPr>
            <w:r/>
            <w:r>
              <w:rPr>
                <w:rFonts w:ascii="Times New Roman" w:hAnsi="Times New Roman" w:eastAsia="宋体"/>
                <w:b w:val="0"/>
                <w:color w:val="1F1F1F"/>
                <w:sz w:val="16"/>
              </w:rPr>
              <w:t>7</w:t>
            </w:r>
          </w:p>
        </w:tc>
        <w:tc>
          <w:tcPr>
            <w:tcW w:type="dxa" w:w="1744"/>
          </w:tcPr>
          <w:p>
            <w:pPr>
              <w:spacing w:before="0" w:after="0" w:line="276" w:lineRule="auto"/>
            </w:pPr>
            <w:r/>
            <w:r>
              <w:rPr>
                <w:rFonts w:ascii="Times New Roman" w:hAnsi="Times New Roman" w:eastAsia="宋体"/>
                <w:b w:val="0"/>
                <w:color w:val="1F1F1F"/>
                <w:sz w:val="16"/>
              </w:rPr>
              <w:t>单位建筑面积综合能耗</w:t>
            </w:r>
          </w:p>
        </w:tc>
        <w:tc>
          <w:tcPr>
            <w:tcW w:type="dxa" w:w="1050"/>
          </w:tcPr>
          <w:p>
            <w:pPr>
              <w:spacing w:before="0" w:after="0" w:line="276" w:lineRule="auto"/>
            </w:pPr>
            <w:r/>
            <w:r>
              <w:rPr>
                <w:rFonts w:ascii="Times New Roman" w:hAnsi="Times New Roman" w:eastAsia="宋体"/>
                <w:b w:val="0"/>
                <w:color w:val="1F1F1F"/>
                <w:sz w:val="16"/>
              </w:rPr>
              <w:t>高效</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不高于《民用建筑能耗标准》约束值</w:t>
            </w:r>
          </w:p>
        </w:tc>
        <w:tc>
          <w:tcPr>
            <w:tcW w:type="dxa" w:w="1239"/>
          </w:tcPr>
          <w:p>
            <w:pPr>
              <w:spacing w:before="0" w:after="0" w:line="276" w:lineRule="auto"/>
            </w:pPr>
            <w:r/>
            <w:r>
              <w:rPr>
                <w:rFonts w:ascii="Times New Roman" w:hAnsi="Times New Roman" w:eastAsia="宋体"/>
                <w:b w:val="0"/>
                <w:color w:val="1F1F1F"/>
                <w:sz w:val="16"/>
              </w:rPr>
              <w:t>不高于引导值</w:t>
            </w:r>
          </w:p>
        </w:tc>
        <w:tc>
          <w:tcPr>
            <w:tcW w:type="dxa" w:w="1521"/>
          </w:tcPr>
          <w:p>
            <w:pPr>
              <w:spacing w:before="0" w:after="0" w:line="276" w:lineRule="auto"/>
            </w:pPr>
            <w:r/>
            <w:r>
              <w:rPr>
                <w:rFonts w:ascii="Times New Roman" w:hAnsi="Times New Roman" w:eastAsia="宋体"/>
                <w:b w:val="0"/>
                <w:color w:val="1F1F1F"/>
                <w:sz w:val="16"/>
              </w:rPr>
              <w:t>标准值按建筑类型与气候区取用</w:t>
            </w:r>
          </w:p>
        </w:tc>
      </w:tr>
      <w:tr>
        <w:trPr>
          <w:cantSplit/>
        </w:trPr>
        <w:tc>
          <w:tcPr>
            <w:tcW w:type="dxa" w:w="1014"/>
          </w:tcPr>
          <w:p>
            <w:pPr>
              <w:spacing w:before="0" w:after="0" w:line="276" w:lineRule="auto"/>
            </w:pPr>
            <w:r/>
            <w:r>
              <w:rPr>
                <w:rFonts w:ascii="Times New Roman" w:hAnsi="Times New Roman" w:eastAsia="宋体"/>
                <w:b w:val="0"/>
                <w:color w:val="1F1F1F"/>
                <w:sz w:val="16"/>
              </w:rPr>
              <w:t>8</w:t>
            </w:r>
          </w:p>
        </w:tc>
        <w:tc>
          <w:tcPr>
            <w:tcW w:type="dxa" w:w="1744"/>
          </w:tcPr>
          <w:p>
            <w:pPr>
              <w:spacing w:before="0" w:after="0" w:line="276" w:lineRule="auto"/>
            </w:pPr>
            <w:r/>
            <w:r>
              <w:rPr>
                <w:rFonts w:ascii="Times New Roman" w:hAnsi="Times New Roman" w:eastAsia="宋体"/>
                <w:b w:val="0"/>
                <w:color w:val="1F1F1F"/>
                <w:sz w:val="16"/>
              </w:rPr>
              <w:t>蓄冷策略与实时电价、需求响应接口</w:t>
            </w:r>
          </w:p>
        </w:tc>
        <w:tc>
          <w:tcPr>
            <w:tcW w:type="dxa" w:w="1050"/>
          </w:tcPr>
          <w:p>
            <w:pPr>
              <w:spacing w:before="0" w:after="0" w:line="276" w:lineRule="auto"/>
            </w:pPr>
            <w:r/>
            <w:r>
              <w:rPr>
                <w:rFonts w:ascii="Times New Roman" w:hAnsi="Times New Roman" w:eastAsia="宋体"/>
                <w:b w:val="0"/>
                <w:color w:val="1F1F1F"/>
                <w:sz w:val="16"/>
              </w:rPr>
              <w:t>高效·智慧</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过渡期策略上线</w:t>
            </w:r>
          </w:p>
        </w:tc>
        <w:tc>
          <w:tcPr>
            <w:tcW w:type="dxa" w:w="1239"/>
          </w:tcPr>
          <w:p>
            <w:pPr>
              <w:spacing w:before="0" w:after="0" w:line="276" w:lineRule="auto"/>
            </w:pPr>
            <w:r/>
            <w:r>
              <w:rPr>
                <w:rFonts w:ascii="Times New Roman" w:hAnsi="Times New Roman" w:eastAsia="宋体"/>
                <w:b w:val="0"/>
                <w:color w:val="1F1F1F"/>
                <w:sz w:val="16"/>
              </w:rPr>
              <w:t>稳态策略在线运行</w:t>
            </w:r>
          </w:p>
        </w:tc>
        <w:tc>
          <w:tcPr>
            <w:tcW w:type="dxa" w:w="1521"/>
          </w:tcPr>
          <w:p>
            <w:pPr>
              <w:spacing w:before="0" w:after="0" w:line="276" w:lineRule="auto"/>
            </w:pPr>
            <w:r/>
            <w:r>
              <w:rPr>
                <w:rFonts w:ascii="Times New Roman" w:hAnsi="Times New Roman" w:eastAsia="宋体"/>
                <w:b w:val="0"/>
                <w:color w:val="1F1F1F"/>
                <w:sz w:val="16"/>
              </w:rPr>
              <w:t>随广东细则进度调整【待核】</w:t>
            </w:r>
          </w:p>
        </w:tc>
      </w:tr>
      <w:tr>
        <w:trPr>
          <w:cantSplit/>
        </w:trPr>
        <w:tc>
          <w:tcPr>
            <w:tcW w:type="dxa" w:w="1014"/>
          </w:tcPr>
          <w:p>
            <w:pPr>
              <w:spacing w:before="0" w:after="0" w:line="276" w:lineRule="auto"/>
            </w:pPr>
            <w:r/>
            <w:r>
              <w:rPr>
                <w:rFonts w:ascii="Times New Roman" w:hAnsi="Times New Roman" w:eastAsia="宋体"/>
                <w:b w:val="0"/>
                <w:color w:val="1F1F1F"/>
                <w:sz w:val="16"/>
              </w:rPr>
              <w:t>9</w:t>
            </w:r>
          </w:p>
        </w:tc>
        <w:tc>
          <w:tcPr>
            <w:tcW w:type="dxa" w:w="1744"/>
          </w:tcPr>
          <w:p>
            <w:pPr>
              <w:spacing w:before="0" w:after="0" w:line="276" w:lineRule="auto"/>
            </w:pPr>
            <w:r/>
            <w:r>
              <w:rPr>
                <w:rFonts w:ascii="Times New Roman" w:hAnsi="Times New Roman" w:eastAsia="宋体"/>
                <w:b w:val="0"/>
                <w:color w:val="1F1F1F"/>
                <w:sz w:val="16"/>
              </w:rPr>
              <w:t>可调节柔性负荷容量占园区最大负荷比例</w:t>
            </w:r>
          </w:p>
        </w:tc>
        <w:tc>
          <w:tcPr>
            <w:tcW w:type="dxa" w:w="1050"/>
          </w:tcPr>
          <w:p>
            <w:pPr>
              <w:spacing w:before="0" w:after="0" w:line="276" w:lineRule="auto"/>
            </w:pPr>
            <w:r/>
            <w:r>
              <w:rPr>
                <w:rFonts w:ascii="Times New Roman" w:hAnsi="Times New Roman" w:eastAsia="宋体"/>
                <w:b w:val="0"/>
                <w:color w:val="1F1F1F"/>
                <w:sz w:val="16"/>
              </w:rPr>
              <w:t>绿色·高效</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形成资源清单</w:t>
            </w:r>
          </w:p>
        </w:tc>
        <w:tc>
          <w:tcPr>
            <w:tcW w:type="dxa" w:w="1239"/>
          </w:tcPr>
          <w:p>
            <w:pPr>
              <w:spacing w:before="0" w:after="0" w:line="276" w:lineRule="auto"/>
            </w:pPr>
            <w:r/>
            <w:r>
              <w:rPr>
                <w:rFonts w:ascii="Times New Roman" w:hAnsi="Times New Roman" w:eastAsia="宋体"/>
                <w:b w:val="0"/>
                <w:color w:val="1F1F1F"/>
                <w:sz w:val="16"/>
              </w:rPr>
              <w:t>随试点结果确定</w:t>
            </w:r>
          </w:p>
        </w:tc>
        <w:tc>
          <w:tcPr>
            <w:tcW w:type="dxa" w:w="1521"/>
          </w:tcPr>
          <w:p>
            <w:pPr>
              <w:spacing w:before="0" w:after="0" w:line="276" w:lineRule="auto"/>
            </w:pPr>
            <w:r/>
            <w:r>
              <w:rPr>
                <w:rFonts w:ascii="Times New Roman" w:hAnsi="Times New Roman" w:eastAsia="宋体"/>
                <w:b w:val="0"/>
                <w:color w:val="1F1F1F"/>
                <w:sz w:val="16"/>
              </w:rPr>
              <w:t>蓄冷、光伏、储能、充电、算力负荷</w:t>
            </w:r>
          </w:p>
        </w:tc>
      </w:tr>
      <w:tr>
        <w:trPr>
          <w:cantSplit/>
        </w:trPr>
        <w:tc>
          <w:tcPr>
            <w:tcW w:type="dxa" w:w="1014"/>
          </w:tcPr>
          <w:p>
            <w:pPr>
              <w:spacing w:before="0" w:after="0" w:line="276" w:lineRule="auto"/>
            </w:pPr>
            <w:r/>
            <w:r>
              <w:rPr>
                <w:rFonts w:ascii="Times New Roman" w:hAnsi="Times New Roman" w:eastAsia="宋体"/>
                <w:b w:val="0"/>
                <w:color w:val="1F1F1F"/>
                <w:sz w:val="16"/>
              </w:rPr>
              <w:t>10</w:t>
            </w:r>
          </w:p>
        </w:tc>
        <w:tc>
          <w:tcPr>
            <w:tcW w:type="dxa" w:w="1744"/>
          </w:tcPr>
          <w:p>
            <w:pPr>
              <w:spacing w:before="0" w:after="0" w:line="276" w:lineRule="auto"/>
            </w:pPr>
            <w:r/>
            <w:r>
              <w:rPr>
                <w:rFonts w:ascii="Times New Roman" w:hAnsi="Times New Roman" w:eastAsia="宋体"/>
                <w:b w:val="0"/>
                <w:color w:val="1F1F1F"/>
                <w:sz w:val="16"/>
              </w:rPr>
              <w:t>会议室与公共区末端预约联动覆盖率</w:t>
            </w:r>
          </w:p>
        </w:tc>
        <w:tc>
          <w:tcPr>
            <w:tcW w:type="dxa" w:w="1050"/>
          </w:tcPr>
          <w:p>
            <w:pPr>
              <w:spacing w:before="0" w:after="0" w:line="276" w:lineRule="auto"/>
            </w:pPr>
            <w:r/>
            <w:r>
              <w:rPr>
                <w:rFonts w:ascii="Times New Roman" w:hAnsi="Times New Roman" w:eastAsia="宋体"/>
                <w:b w:val="0"/>
                <w:color w:val="1F1F1F"/>
                <w:sz w:val="16"/>
              </w:rPr>
              <w:t>高效·智慧</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试点区 100%</w:t>
            </w:r>
          </w:p>
        </w:tc>
        <w:tc>
          <w:tcPr>
            <w:tcW w:type="dxa" w:w="1239"/>
          </w:tcPr>
          <w:p>
            <w:pPr>
              <w:spacing w:before="0" w:after="0" w:line="276" w:lineRule="auto"/>
            </w:pPr>
            <w:r/>
            <w:r>
              <w:rPr>
                <w:rFonts w:ascii="Times New Roman" w:hAnsi="Times New Roman" w:eastAsia="宋体"/>
                <w:b w:val="0"/>
                <w:color w:val="1F1F1F"/>
                <w:sz w:val="16"/>
              </w:rPr>
              <w:t>全园 100%</w:t>
            </w:r>
          </w:p>
        </w:tc>
        <w:tc>
          <w:tcPr>
            <w:tcW w:type="dxa" w:w="1521"/>
          </w:tcPr>
          <w:p>
            <w:pPr>
              <w:spacing w:before="0" w:after="0" w:line="276" w:lineRule="auto"/>
            </w:pPr>
            <w:r/>
            <w:r>
              <w:rPr>
                <w:rFonts w:ascii="Times New Roman" w:hAnsi="Times New Roman" w:eastAsia="宋体"/>
                <w:b w:val="0"/>
                <w:color w:val="1F1F1F"/>
                <w:sz w:val="16"/>
              </w:rPr>
              <w:t>参照信息港预约联动手法</w:t>
            </w:r>
          </w:p>
        </w:tc>
      </w:tr>
      <w:tr>
        <w:trPr>
          <w:cantSplit/>
        </w:trPr>
        <w:tc>
          <w:tcPr>
            <w:tcW w:type="dxa" w:w="1014"/>
          </w:tcPr>
          <w:p>
            <w:pPr>
              <w:spacing w:before="0" w:after="0" w:line="276" w:lineRule="auto"/>
            </w:pPr>
            <w:r/>
            <w:r>
              <w:rPr>
                <w:rFonts w:ascii="Times New Roman" w:hAnsi="Times New Roman" w:eastAsia="宋体"/>
                <w:b w:val="0"/>
                <w:color w:val="1F1F1F"/>
                <w:sz w:val="16"/>
              </w:rPr>
              <w:t>11</w:t>
            </w:r>
          </w:p>
        </w:tc>
        <w:tc>
          <w:tcPr>
            <w:tcW w:type="dxa" w:w="1744"/>
          </w:tcPr>
          <w:p>
            <w:pPr>
              <w:spacing w:before="0" w:after="0" w:line="276" w:lineRule="auto"/>
            </w:pPr>
            <w:r/>
            <w:r>
              <w:rPr>
                <w:rFonts w:ascii="Times New Roman" w:hAnsi="Times New Roman" w:eastAsia="宋体"/>
                <w:b w:val="0"/>
                <w:color w:val="1F1F1F"/>
                <w:sz w:val="16"/>
              </w:rPr>
              <w:t>四级用能分项计量覆盖率</w:t>
            </w:r>
          </w:p>
        </w:tc>
        <w:tc>
          <w:tcPr>
            <w:tcW w:type="dxa" w:w="1050"/>
          </w:tcPr>
          <w:p>
            <w:pPr>
              <w:spacing w:before="0" w:after="0" w:line="276" w:lineRule="auto"/>
            </w:pPr>
            <w:r/>
            <w:r>
              <w:rPr>
                <w:rFonts w:ascii="Times New Roman" w:hAnsi="Times New Roman" w:eastAsia="宋体"/>
                <w:b w:val="0"/>
                <w:color w:val="1F1F1F"/>
                <w:sz w:val="16"/>
              </w:rPr>
              <w:t>智慧</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100%</w:t>
            </w:r>
          </w:p>
        </w:tc>
        <w:tc>
          <w:tcPr>
            <w:tcW w:type="dxa" w:w="1239"/>
          </w:tcPr>
          <w:p>
            <w:pPr>
              <w:spacing w:before="0" w:after="0" w:line="276" w:lineRule="auto"/>
            </w:pPr>
            <w:r/>
            <w:r>
              <w:rPr>
                <w:rFonts w:ascii="Times New Roman" w:hAnsi="Times New Roman" w:eastAsia="宋体"/>
                <w:b w:val="0"/>
                <w:color w:val="1F1F1F"/>
                <w:sz w:val="16"/>
              </w:rPr>
              <w:t>100%</w:t>
            </w:r>
          </w:p>
        </w:tc>
        <w:tc>
          <w:tcPr>
            <w:tcW w:type="dxa" w:w="1521"/>
          </w:tcPr>
          <w:p>
            <w:pPr>
              <w:spacing w:before="0" w:after="0" w:line="276" w:lineRule="auto"/>
            </w:pPr>
            <w:r/>
            <w:r>
              <w:rPr>
                <w:rFonts w:ascii="Times New Roman" w:hAnsi="Times New Roman" w:eastAsia="宋体"/>
                <w:b w:val="0"/>
                <w:color w:val="1F1F1F"/>
                <w:sz w:val="16"/>
              </w:rPr>
              <w:t>地块—楼宇—区域—楼层</w:t>
            </w:r>
          </w:p>
        </w:tc>
      </w:tr>
      <w:tr>
        <w:trPr>
          <w:cantSplit/>
        </w:trPr>
        <w:tc>
          <w:tcPr>
            <w:tcW w:type="dxa" w:w="1014"/>
          </w:tcPr>
          <w:p>
            <w:pPr>
              <w:spacing w:before="0" w:after="0" w:line="276" w:lineRule="auto"/>
            </w:pPr>
            <w:r/>
            <w:r>
              <w:rPr>
                <w:rFonts w:ascii="Times New Roman" w:hAnsi="Times New Roman" w:eastAsia="宋体"/>
                <w:b w:val="0"/>
                <w:color w:val="1F1F1F"/>
                <w:sz w:val="16"/>
              </w:rPr>
              <w:t>12</w:t>
            </w:r>
          </w:p>
        </w:tc>
        <w:tc>
          <w:tcPr>
            <w:tcW w:type="dxa" w:w="1744"/>
          </w:tcPr>
          <w:p>
            <w:pPr>
              <w:spacing w:before="0" w:after="0" w:line="276" w:lineRule="auto"/>
            </w:pPr>
            <w:r/>
            <w:r>
              <w:rPr>
                <w:rFonts w:ascii="Times New Roman" w:hAnsi="Times New Roman" w:eastAsia="宋体"/>
                <w:b w:val="0"/>
                <w:color w:val="1F1F1F"/>
                <w:sz w:val="16"/>
              </w:rPr>
              <w:t>主要机电设备接入统一平台比例</w:t>
            </w:r>
          </w:p>
        </w:tc>
        <w:tc>
          <w:tcPr>
            <w:tcW w:type="dxa" w:w="1050"/>
          </w:tcPr>
          <w:p>
            <w:pPr>
              <w:spacing w:before="0" w:after="0" w:line="276" w:lineRule="auto"/>
            </w:pPr>
            <w:r/>
            <w:r>
              <w:rPr>
                <w:rFonts w:ascii="Times New Roman" w:hAnsi="Times New Roman" w:eastAsia="宋体"/>
                <w:b w:val="0"/>
                <w:color w:val="1F1F1F"/>
                <w:sz w:val="16"/>
              </w:rPr>
              <w:t>智慧</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试点区 100%</w:t>
            </w:r>
          </w:p>
        </w:tc>
        <w:tc>
          <w:tcPr>
            <w:tcW w:type="dxa" w:w="1239"/>
          </w:tcPr>
          <w:p>
            <w:pPr>
              <w:spacing w:before="0" w:after="0" w:line="276" w:lineRule="auto"/>
            </w:pPr>
            <w:r/>
            <w:r>
              <w:rPr>
                <w:rFonts w:ascii="Times New Roman" w:hAnsi="Times New Roman" w:eastAsia="宋体"/>
                <w:b w:val="0"/>
                <w:color w:val="1F1F1F"/>
                <w:sz w:val="16"/>
              </w:rPr>
              <w:t>全园不低于 90%</w:t>
            </w:r>
          </w:p>
        </w:tc>
        <w:tc>
          <w:tcPr>
            <w:tcW w:type="dxa" w:w="1521"/>
          </w:tcPr>
          <w:p>
            <w:pPr>
              <w:spacing w:before="0" w:after="0" w:line="276" w:lineRule="auto"/>
            </w:pPr>
            <w:r/>
            <w:r>
              <w:rPr>
                <w:rFonts w:ascii="Times New Roman" w:hAnsi="Times New Roman" w:eastAsia="宋体"/>
                <w:b w:val="0"/>
                <w:color w:val="1F1F1F"/>
                <w:sz w:val="16"/>
              </w:rPr>
              <w:t>以设备清单为分母</w:t>
            </w:r>
          </w:p>
        </w:tc>
      </w:tr>
      <w:tr>
        <w:trPr>
          <w:cantSplit/>
        </w:trPr>
        <w:tc>
          <w:tcPr>
            <w:tcW w:type="dxa" w:w="1014"/>
          </w:tcPr>
          <w:p>
            <w:pPr>
              <w:spacing w:before="0" w:after="0" w:line="276" w:lineRule="auto"/>
            </w:pPr>
            <w:r/>
            <w:r>
              <w:rPr>
                <w:rFonts w:ascii="Times New Roman" w:hAnsi="Times New Roman" w:eastAsia="宋体"/>
                <w:b w:val="0"/>
                <w:color w:val="1F1F1F"/>
                <w:sz w:val="16"/>
              </w:rPr>
              <w:t>13</w:t>
            </w:r>
          </w:p>
        </w:tc>
        <w:tc>
          <w:tcPr>
            <w:tcW w:type="dxa" w:w="1744"/>
          </w:tcPr>
          <w:p>
            <w:pPr>
              <w:spacing w:before="0" w:after="0" w:line="276" w:lineRule="auto"/>
            </w:pPr>
            <w:r/>
            <w:r>
              <w:rPr>
                <w:rFonts w:ascii="Times New Roman" w:hAnsi="Times New Roman" w:eastAsia="宋体"/>
                <w:b w:val="0"/>
                <w:color w:val="1F1F1F"/>
                <w:sz w:val="16"/>
              </w:rPr>
              <w:t>平台与模型本地化部署、数据主权条款</w:t>
            </w:r>
          </w:p>
        </w:tc>
        <w:tc>
          <w:tcPr>
            <w:tcW w:type="dxa" w:w="1050"/>
          </w:tcPr>
          <w:p>
            <w:pPr>
              <w:spacing w:before="0" w:after="0" w:line="276" w:lineRule="auto"/>
            </w:pPr>
            <w:r/>
            <w:r>
              <w:rPr>
                <w:rFonts w:ascii="Times New Roman" w:hAnsi="Times New Roman" w:eastAsia="宋体"/>
                <w:b w:val="0"/>
                <w:color w:val="1F1F1F"/>
                <w:sz w:val="16"/>
              </w:rPr>
              <w:t>智慧</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落实</w:t>
            </w:r>
          </w:p>
        </w:tc>
        <w:tc>
          <w:tcPr>
            <w:tcW w:type="dxa" w:w="1239"/>
          </w:tcPr>
          <w:p>
            <w:pPr>
              <w:spacing w:before="0" w:after="0" w:line="276" w:lineRule="auto"/>
            </w:pPr>
            <w:r/>
            <w:r>
              <w:rPr>
                <w:rFonts w:ascii="Times New Roman" w:hAnsi="Times New Roman" w:eastAsia="宋体"/>
                <w:b w:val="0"/>
                <w:color w:val="1F1F1F"/>
                <w:sz w:val="16"/>
              </w:rPr>
              <w:t>落实</w:t>
            </w:r>
          </w:p>
        </w:tc>
        <w:tc>
          <w:tcPr>
            <w:tcW w:type="dxa" w:w="1521"/>
          </w:tcPr>
          <w:p>
            <w:pPr>
              <w:spacing w:before="0" w:after="0" w:line="276" w:lineRule="auto"/>
            </w:pPr>
            <w:r/>
            <w:r>
              <w:rPr>
                <w:rFonts w:ascii="Times New Roman" w:hAnsi="Times New Roman" w:eastAsia="宋体"/>
                <w:b w:val="0"/>
                <w:color w:val="1F1F1F"/>
                <w:sz w:val="16"/>
              </w:rPr>
              <w:t>选型前置条件</w:t>
            </w:r>
          </w:p>
        </w:tc>
      </w:tr>
      <w:tr>
        <w:trPr>
          <w:cantSplit/>
        </w:trPr>
        <w:tc>
          <w:tcPr>
            <w:tcW w:type="dxa" w:w="1014"/>
          </w:tcPr>
          <w:p>
            <w:pPr>
              <w:spacing w:before="0" w:after="0" w:line="276" w:lineRule="auto"/>
            </w:pPr>
            <w:r/>
            <w:r>
              <w:rPr>
                <w:rFonts w:ascii="Times New Roman" w:hAnsi="Times New Roman" w:eastAsia="宋体"/>
                <w:b w:val="0"/>
                <w:color w:val="1F1F1F"/>
                <w:sz w:val="16"/>
              </w:rPr>
              <w:t>14</w:t>
            </w:r>
          </w:p>
        </w:tc>
        <w:tc>
          <w:tcPr>
            <w:tcW w:type="dxa" w:w="1744"/>
          </w:tcPr>
          <w:p>
            <w:pPr>
              <w:spacing w:before="0" w:after="0" w:line="276" w:lineRule="auto"/>
            </w:pPr>
            <w:r/>
            <w:r>
              <w:rPr>
                <w:rFonts w:ascii="Times New Roman" w:hAnsi="Times New Roman" w:eastAsia="宋体"/>
                <w:b w:val="0"/>
                <w:color w:val="1F1F1F"/>
                <w:sz w:val="16"/>
              </w:rPr>
              <w:t>冷站与末端负荷预测精度</w:t>
            </w:r>
          </w:p>
        </w:tc>
        <w:tc>
          <w:tcPr>
            <w:tcW w:type="dxa" w:w="1050"/>
          </w:tcPr>
          <w:p>
            <w:pPr>
              <w:spacing w:before="0" w:after="0" w:line="276" w:lineRule="auto"/>
            </w:pPr>
            <w:r/>
            <w:r>
              <w:rPr>
                <w:rFonts w:ascii="Times New Roman" w:hAnsi="Times New Roman" w:eastAsia="宋体"/>
                <w:b w:val="0"/>
                <w:color w:val="1F1F1F"/>
                <w:sz w:val="16"/>
              </w:rPr>
              <w:t>智慧</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形成基线</w:t>
            </w:r>
          </w:p>
        </w:tc>
        <w:tc>
          <w:tcPr>
            <w:tcW w:type="dxa" w:w="1239"/>
          </w:tcPr>
          <w:p>
            <w:pPr>
              <w:spacing w:before="0" w:after="0" w:line="276" w:lineRule="auto"/>
            </w:pPr>
            <w:r/>
            <w:r>
              <w:rPr>
                <w:rFonts w:ascii="Times New Roman" w:hAnsi="Times New Roman" w:eastAsia="宋体"/>
                <w:b w:val="0"/>
                <w:color w:val="1F1F1F"/>
                <w:sz w:val="16"/>
              </w:rPr>
              <w:t>较基线持续提升</w:t>
            </w:r>
          </w:p>
        </w:tc>
        <w:tc>
          <w:tcPr>
            <w:tcW w:type="dxa" w:w="1521"/>
          </w:tcPr>
          <w:p>
            <w:pPr>
              <w:spacing w:before="0" w:after="0" w:line="276" w:lineRule="auto"/>
            </w:pPr>
            <w:r/>
            <w:r>
              <w:rPr>
                <w:rFonts w:ascii="Times New Roman" w:hAnsi="Times New Roman" w:eastAsia="宋体"/>
                <w:b w:val="0"/>
                <w:color w:val="1F1F1F"/>
                <w:sz w:val="16"/>
              </w:rPr>
              <w:t>精度口径随模型设计确定</w:t>
            </w:r>
          </w:p>
        </w:tc>
      </w:tr>
      <w:tr>
        <w:trPr>
          <w:cantSplit/>
        </w:trPr>
        <w:tc>
          <w:tcPr>
            <w:tcW w:type="dxa" w:w="1014"/>
          </w:tcPr>
          <w:p>
            <w:pPr>
              <w:spacing w:before="0" w:after="0" w:line="276" w:lineRule="auto"/>
            </w:pPr>
            <w:r/>
            <w:r>
              <w:rPr>
                <w:rFonts w:ascii="Times New Roman" w:hAnsi="Times New Roman" w:eastAsia="宋体"/>
                <w:b w:val="0"/>
                <w:color w:val="1F1F1F"/>
                <w:sz w:val="16"/>
              </w:rPr>
              <w:t>15</w:t>
            </w:r>
          </w:p>
        </w:tc>
        <w:tc>
          <w:tcPr>
            <w:tcW w:type="dxa" w:w="1744"/>
          </w:tcPr>
          <w:p>
            <w:pPr>
              <w:spacing w:before="0" w:after="0" w:line="276" w:lineRule="auto"/>
            </w:pPr>
            <w:r/>
            <w:r>
              <w:rPr>
                <w:rFonts w:ascii="Times New Roman" w:hAnsi="Times New Roman" w:eastAsia="宋体"/>
                <w:b w:val="0"/>
                <w:color w:val="1F1F1F"/>
                <w:sz w:val="16"/>
              </w:rPr>
              <w:t>非传统水源利用率</w:t>
            </w:r>
          </w:p>
        </w:tc>
        <w:tc>
          <w:tcPr>
            <w:tcW w:type="dxa" w:w="1050"/>
          </w:tcPr>
          <w:p>
            <w:pPr>
              <w:spacing w:before="0" w:after="0" w:line="276" w:lineRule="auto"/>
            </w:pPr>
            <w:r/>
            <w:r>
              <w:rPr>
                <w:rFonts w:ascii="Times New Roman" w:hAnsi="Times New Roman" w:eastAsia="宋体"/>
                <w:b w:val="0"/>
                <w:color w:val="1F1F1F"/>
                <w:sz w:val="16"/>
              </w:rPr>
              <w:t>绿色</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试点区形成指标</w:t>
            </w:r>
          </w:p>
        </w:tc>
        <w:tc>
          <w:tcPr>
            <w:tcW w:type="dxa" w:w="1239"/>
          </w:tcPr>
          <w:p>
            <w:pPr>
              <w:spacing w:before="0" w:after="0" w:line="276" w:lineRule="auto"/>
            </w:pPr>
            <w:r/>
            <w:r>
              <w:rPr>
                <w:rFonts w:ascii="Times New Roman" w:hAnsi="Times New Roman" w:eastAsia="宋体"/>
                <w:b w:val="0"/>
                <w:color w:val="1F1F1F"/>
                <w:sz w:val="16"/>
              </w:rPr>
              <w:t>全园按专项设计值</w:t>
            </w:r>
          </w:p>
        </w:tc>
        <w:tc>
          <w:tcPr>
            <w:tcW w:type="dxa" w:w="1521"/>
          </w:tcPr>
          <w:p>
            <w:pPr>
              <w:spacing w:before="0" w:after="0" w:line="276" w:lineRule="auto"/>
            </w:pPr>
            <w:r/>
            <w:r>
              <w:rPr>
                <w:rFonts w:ascii="Times New Roman" w:hAnsi="Times New Roman" w:eastAsia="宋体"/>
                <w:b w:val="0"/>
                <w:color w:val="1F1F1F"/>
                <w:sz w:val="16"/>
              </w:rPr>
              <w:t>中水、雨水回用</w:t>
            </w:r>
          </w:p>
        </w:tc>
      </w:tr>
      <w:tr>
        <w:trPr>
          <w:cantSplit/>
        </w:trPr>
        <w:tc>
          <w:tcPr>
            <w:tcW w:type="dxa" w:w="1014"/>
          </w:tcPr>
          <w:p>
            <w:pPr>
              <w:spacing w:before="0" w:after="0" w:line="276" w:lineRule="auto"/>
            </w:pPr>
            <w:r/>
            <w:r>
              <w:rPr>
                <w:rFonts w:ascii="Times New Roman" w:hAnsi="Times New Roman" w:eastAsia="宋体"/>
                <w:b w:val="0"/>
                <w:color w:val="1F1F1F"/>
                <w:sz w:val="16"/>
              </w:rPr>
              <w:t>16</w:t>
            </w:r>
          </w:p>
        </w:tc>
        <w:tc>
          <w:tcPr>
            <w:tcW w:type="dxa" w:w="1744"/>
          </w:tcPr>
          <w:p>
            <w:pPr>
              <w:spacing w:before="0" w:after="0" w:line="276" w:lineRule="auto"/>
            </w:pPr>
            <w:r/>
            <w:r>
              <w:rPr>
                <w:rFonts w:ascii="Times New Roman" w:hAnsi="Times New Roman" w:eastAsia="宋体"/>
                <w:b w:val="0"/>
                <w:color w:val="1F1F1F"/>
                <w:sz w:val="16"/>
              </w:rPr>
              <w:t>透水铺装比例、绿量与通风廊道</w:t>
            </w:r>
          </w:p>
        </w:tc>
        <w:tc>
          <w:tcPr>
            <w:tcW w:type="dxa" w:w="1050"/>
          </w:tcPr>
          <w:p>
            <w:pPr>
              <w:spacing w:before="0" w:after="0" w:line="276" w:lineRule="auto"/>
            </w:pPr>
            <w:r/>
            <w:r>
              <w:rPr>
                <w:rFonts w:ascii="Times New Roman" w:hAnsi="Times New Roman" w:eastAsia="宋体"/>
                <w:b w:val="0"/>
                <w:color w:val="1F1F1F"/>
                <w:sz w:val="16"/>
              </w:rPr>
              <w:t>绿色·人文</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试点场地完成</w:t>
            </w:r>
          </w:p>
        </w:tc>
        <w:tc>
          <w:tcPr>
            <w:tcW w:type="dxa" w:w="1239"/>
          </w:tcPr>
          <w:p>
            <w:pPr>
              <w:spacing w:before="0" w:after="0" w:line="276" w:lineRule="auto"/>
            </w:pPr>
            <w:r/>
            <w:r>
              <w:rPr>
                <w:rFonts w:ascii="Times New Roman" w:hAnsi="Times New Roman" w:eastAsia="宋体"/>
                <w:b w:val="0"/>
                <w:color w:val="1F1F1F"/>
                <w:sz w:val="16"/>
              </w:rPr>
              <w:t>全园按专项设计值</w:t>
            </w:r>
          </w:p>
        </w:tc>
        <w:tc>
          <w:tcPr>
            <w:tcW w:type="dxa" w:w="1521"/>
          </w:tcPr>
          <w:p>
            <w:pPr>
              <w:spacing w:before="0" w:after="0" w:line="276" w:lineRule="auto"/>
            </w:pPr>
            <w:r/>
            <w:r>
              <w:rPr>
                <w:rFonts w:ascii="Times New Roman" w:hAnsi="Times New Roman" w:eastAsia="宋体"/>
                <w:b w:val="0"/>
                <w:color w:val="1F1F1F"/>
                <w:sz w:val="16"/>
              </w:rPr>
              <w:t>与风貌保护协调</w:t>
            </w:r>
          </w:p>
        </w:tc>
      </w:tr>
      <w:tr>
        <w:trPr>
          <w:cantSplit/>
        </w:trPr>
        <w:tc>
          <w:tcPr>
            <w:tcW w:type="dxa" w:w="1014"/>
          </w:tcPr>
          <w:p>
            <w:pPr>
              <w:spacing w:before="0" w:after="0" w:line="276" w:lineRule="auto"/>
            </w:pPr>
            <w:r/>
            <w:r>
              <w:rPr>
                <w:rFonts w:ascii="Times New Roman" w:hAnsi="Times New Roman" w:eastAsia="宋体"/>
                <w:b w:val="0"/>
                <w:color w:val="1F1F1F"/>
                <w:sz w:val="16"/>
              </w:rPr>
              <w:t>17</w:t>
            </w:r>
          </w:p>
        </w:tc>
        <w:tc>
          <w:tcPr>
            <w:tcW w:type="dxa" w:w="1744"/>
          </w:tcPr>
          <w:p>
            <w:pPr>
              <w:spacing w:before="0" w:after="0" w:line="276" w:lineRule="auto"/>
            </w:pPr>
            <w:r/>
            <w:r>
              <w:rPr>
                <w:rFonts w:ascii="Times New Roman" w:hAnsi="Times New Roman" w:eastAsia="宋体"/>
                <w:b w:val="0"/>
                <w:color w:val="1F1F1F"/>
                <w:sz w:val="16"/>
              </w:rPr>
              <w:t>碳普惠注册参与率（员工与常驻外包）</w:t>
            </w:r>
          </w:p>
        </w:tc>
        <w:tc>
          <w:tcPr>
            <w:tcW w:type="dxa" w:w="1050"/>
          </w:tcPr>
          <w:p>
            <w:pPr>
              <w:spacing w:before="0" w:after="0" w:line="276" w:lineRule="auto"/>
            </w:pPr>
            <w:r/>
            <w:r>
              <w:rPr>
                <w:rFonts w:ascii="Times New Roman" w:hAnsi="Times New Roman" w:eastAsia="宋体"/>
                <w:b w:val="0"/>
                <w:color w:val="1F1F1F"/>
                <w:sz w:val="16"/>
              </w:rPr>
              <w:t>普惠</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不低于一半</w:t>
            </w:r>
          </w:p>
        </w:tc>
        <w:tc>
          <w:tcPr>
            <w:tcW w:type="dxa" w:w="1239"/>
          </w:tcPr>
          <w:p>
            <w:pPr>
              <w:spacing w:before="0" w:after="0" w:line="276" w:lineRule="auto"/>
            </w:pPr>
            <w:r/>
            <w:r>
              <w:rPr>
                <w:rFonts w:ascii="Times New Roman" w:hAnsi="Times New Roman" w:eastAsia="宋体"/>
                <w:b w:val="0"/>
                <w:color w:val="1F1F1F"/>
                <w:sz w:val="16"/>
              </w:rPr>
              <w:t>覆盖绝大多数</w:t>
            </w:r>
          </w:p>
        </w:tc>
        <w:tc>
          <w:tcPr>
            <w:tcW w:type="dxa" w:w="1521"/>
          </w:tcPr>
          <w:p>
            <w:pPr>
              <w:spacing w:before="0" w:after="0" w:line="276" w:lineRule="auto"/>
            </w:pPr>
            <w:r/>
            <w:r>
              <w:rPr>
                <w:rFonts w:ascii="Times New Roman" w:hAnsi="Times New Roman" w:eastAsia="宋体"/>
                <w:b w:val="0"/>
                <w:color w:val="1F1F1F"/>
                <w:sz w:val="16"/>
              </w:rPr>
              <w:t>三级碳账上线为前提</w:t>
            </w:r>
          </w:p>
        </w:tc>
      </w:tr>
      <w:tr>
        <w:trPr>
          <w:cantSplit/>
        </w:trPr>
        <w:tc>
          <w:tcPr>
            <w:tcW w:type="dxa" w:w="1014"/>
          </w:tcPr>
          <w:p>
            <w:pPr>
              <w:spacing w:before="0" w:after="0" w:line="276" w:lineRule="auto"/>
            </w:pPr>
            <w:r/>
            <w:r>
              <w:rPr>
                <w:rFonts w:ascii="Times New Roman" w:hAnsi="Times New Roman" w:eastAsia="宋体"/>
                <w:b w:val="0"/>
                <w:color w:val="1F1F1F"/>
                <w:sz w:val="16"/>
              </w:rPr>
              <w:t>18</w:t>
            </w:r>
          </w:p>
        </w:tc>
        <w:tc>
          <w:tcPr>
            <w:tcW w:type="dxa" w:w="1744"/>
          </w:tcPr>
          <w:p>
            <w:pPr>
              <w:spacing w:before="0" w:after="0" w:line="276" w:lineRule="auto"/>
            </w:pPr>
            <w:r/>
            <w:r>
              <w:rPr>
                <w:rFonts w:ascii="Times New Roman" w:hAnsi="Times New Roman" w:eastAsia="宋体"/>
                <w:b w:val="0"/>
                <w:color w:val="1F1F1F"/>
                <w:sz w:val="16"/>
              </w:rPr>
              <w:t>全员算力与 AI 工具开通率</w:t>
            </w:r>
          </w:p>
        </w:tc>
        <w:tc>
          <w:tcPr>
            <w:tcW w:type="dxa" w:w="1050"/>
          </w:tcPr>
          <w:p>
            <w:pPr>
              <w:spacing w:before="0" w:after="0" w:line="276" w:lineRule="auto"/>
            </w:pPr>
            <w:r/>
            <w:r>
              <w:rPr>
                <w:rFonts w:ascii="Times New Roman" w:hAnsi="Times New Roman" w:eastAsia="宋体"/>
                <w:b w:val="0"/>
                <w:color w:val="1F1F1F"/>
                <w:sz w:val="16"/>
              </w:rPr>
              <w:t>普惠</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全员开通</w:t>
            </w:r>
          </w:p>
        </w:tc>
        <w:tc>
          <w:tcPr>
            <w:tcW w:type="dxa" w:w="1239"/>
          </w:tcPr>
          <w:p>
            <w:pPr>
              <w:spacing w:before="0" w:after="0" w:line="276" w:lineRule="auto"/>
            </w:pPr>
            <w:r/>
            <w:r>
              <w:rPr>
                <w:rFonts w:ascii="Times New Roman" w:hAnsi="Times New Roman" w:eastAsia="宋体"/>
                <w:b w:val="0"/>
                <w:color w:val="1F1F1F"/>
                <w:sz w:val="16"/>
              </w:rPr>
              <w:t>全员开通</w:t>
            </w:r>
          </w:p>
        </w:tc>
        <w:tc>
          <w:tcPr>
            <w:tcW w:type="dxa" w:w="1521"/>
          </w:tcPr>
          <w:p>
            <w:pPr>
              <w:spacing w:before="0" w:after="0" w:line="276" w:lineRule="auto"/>
            </w:pPr>
            <w:r/>
            <w:r>
              <w:rPr>
                <w:rFonts w:ascii="Times New Roman" w:hAnsi="Times New Roman" w:eastAsia="宋体"/>
                <w:b w:val="0"/>
                <w:color w:val="1F1F1F"/>
                <w:sz w:val="16"/>
              </w:rPr>
              <w:t>用量透明、门槛低</w:t>
            </w:r>
          </w:p>
        </w:tc>
      </w:tr>
      <w:tr>
        <w:trPr>
          <w:cantSplit/>
        </w:trPr>
        <w:tc>
          <w:tcPr>
            <w:tcW w:type="dxa" w:w="1014"/>
          </w:tcPr>
          <w:p>
            <w:pPr>
              <w:spacing w:before="0" w:after="0" w:line="276" w:lineRule="auto"/>
            </w:pPr>
            <w:r/>
            <w:r>
              <w:rPr>
                <w:rFonts w:ascii="Times New Roman" w:hAnsi="Times New Roman" w:eastAsia="宋体"/>
                <w:b w:val="0"/>
                <w:color w:val="1F1F1F"/>
                <w:sz w:val="16"/>
              </w:rPr>
              <w:t>19</w:t>
            </w:r>
          </w:p>
        </w:tc>
        <w:tc>
          <w:tcPr>
            <w:tcW w:type="dxa" w:w="1744"/>
          </w:tcPr>
          <w:p>
            <w:pPr>
              <w:spacing w:before="0" w:after="0" w:line="276" w:lineRule="auto"/>
            </w:pPr>
            <w:r/>
            <w:r>
              <w:rPr>
                <w:rFonts w:ascii="Times New Roman" w:hAnsi="Times New Roman" w:eastAsia="宋体"/>
                <w:b w:val="0"/>
                <w:color w:val="1F1F1F"/>
                <w:sz w:val="16"/>
              </w:rPr>
              <w:t>统一预约平台覆盖资源类别</w:t>
            </w:r>
          </w:p>
        </w:tc>
        <w:tc>
          <w:tcPr>
            <w:tcW w:type="dxa" w:w="1050"/>
          </w:tcPr>
          <w:p>
            <w:pPr>
              <w:spacing w:before="0" w:after="0" w:line="276" w:lineRule="auto"/>
            </w:pPr>
            <w:r/>
            <w:r>
              <w:rPr>
                <w:rFonts w:ascii="Times New Roman" w:hAnsi="Times New Roman" w:eastAsia="宋体"/>
                <w:b w:val="0"/>
                <w:color w:val="1F1F1F"/>
                <w:sz w:val="16"/>
              </w:rPr>
              <w:t>普惠·智慧</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会议、充电、文体</w:t>
            </w:r>
          </w:p>
        </w:tc>
        <w:tc>
          <w:tcPr>
            <w:tcW w:type="dxa" w:w="1239"/>
          </w:tcPr>
          <w:p>
            <w:pPr>
              <w:spacing w:before="0" w:after="0" w:line="276" w:lineRule="auto"/>
            </w:pPr>
            <w:r/>
            <w:r>
              <w:rPr>
                <w:rFonts w:ascii="Times New Roman" w:hAnsi="Times New Roman" w:eastAsia="宋体"/>
                <w:b w:val="0"/>
                <w:color w:val="1F1F1F"/>
                <w:sz w:val="16"/>
              </w:rPr>
              <w:t>全部可预约资源</w:t>
            </w:r>
          </w:p>
        </w:tc>
        <w:tc>
          <w:tcPr>
            <w:tcW w:type="dxa" w:w="1521"/>
          </w:tcPr>
          <w:p>
            <w:pPr>
              <w:spacing w:before="0" w:after="0" w:line="276" w:lineRule="auto"/>
            </w:pPr>
            <w:r/>
            <w:r>
              <w:rPr>
                <w:rFonts w:ascii="Times New Roman" w:hAnsi="Times New Roman" w:eastAsia="宋体"/>
                <w:b w:val="0"/>
                <w:color w:val="1F1F1F"/>
                <w:sz w:val="16"/>
              </w:rPr>
              <w:t>员工、外包、访客公平可及</w:t>
            </w:r>
          </w:p>
        </w:tc>
      </w:tr>
      <w:tr>
        <w:trPr>
          <w:cantSplit/>
        </w:trPr>
        <w:tc>
          <w:tcPr>
            <w:tcW w:type="dxa" w:w="1014"/>
          </w:tcPr>
          <w:p>
            <w:pPr>
              <w:spacing w:before="0" w:after="0" w:line="276" w:lineRule="auto"/>
            </w:pPr>
            <w:r/>
            <w:r>
              <w:rPr>
                <w:rFonts w:ascii="Times New Roman" w:hAnsi="Times New Roman" w:eastAsia="宋体"/>
                <w:b w:val="0"/>
                <w:color w:val="1F1F1F"/>
                <w:sz w:val="16"/>
              </w:rPr>
              <w:t>20</w:t>
            </w:r>
          </w:p>
        </w:tc>
        <w:tc>
          <w:tcPr>
            <w:tcW w:type="dxa" w:w="1744"/>
          </w:tcPr>
          <w:p>
            <w:pPr>
              <w:spacing w:before="0" w:after="0" w:line="276" w:lineRule="auto"/>
            </w:pPr>
            <w:r/>
            <w:r>
              <w:rPr>
                <w:rFonts w:ascii="Times New Roman" w:hAnsi="Times New Roman" w:eastAsia="宋体"/>
                <w:b w:val="0"/>
                <w:color w:val="1F1F1F"/>
                <w:sz w:val="16"/>
              </w:rPr>
              <w:t>无障碍设施达标率</w:t>
            </w:r>
          </w:p>
        </w:tc>
        <w:tc>
          <w:tcPr>
            <w:tcW w:type="dxa" w:w="1050"/>
          </w:tcPr>
          <w:p>
            <w:pPr>
              <w:spacing w:before="0" w:after="0" w:line="276" w:lineRule="auto"/>
            </w:pPr>
            <w:r/>
            <w:r>
              <w:rPr>
                <w:rFonts w:ascii="Times New Roman" w:hAnsi="Times New Roman" w:eastAsia="宋体"/>
                <w:b w:val="0"/>
                <w:color w:val="1F1F1F"/>
                <w:sz w:val="16"/>
              </w:rPr>
              <w:t>普惠</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排查整改完成</w:t>
            </w:r>
          </w:p>
        </w:tc>
        <w:tc>
          <w:tcPr>
            <w:tcW w:type="dxa" w:w="1239"/>
          </w:tcPr>
          <w:p>
            <w:pPr>
              <w:spacing w:before="0" w:after="0" w:line="276" w:lineRule="auto"/>
            </w:pPr>
            <w:r/>
            <w:r>
              <w:rPr>
                <w:rFonts w:ascii="Times New Roman" w:hAnsi="Times New Roman" w:eastAsia="宋体"/>
                <w:b w:val="0"/>
                <w:color w:val="1F1F1F"/>
                <w:sz w:val="16"/>
              </w:rPr>
              <w:t>100%</w:t>
            </w:r>
          </w:p>
        </w:tc>
        <w:tc>
          <w:tcPr>
            <w:tcW w:type="dxa" w:w="1521"/>
          </w:tcPr>
          <w:p>
            <w:pPr>
              <w:spacing w:before="0" w:after="0" w:line="276" w:lineRule="auto"/>
            </w:pPr>
            <w:r/>
            <w:r>
              <w:rPr>
                <w:rFonts w:ascii="Times New Roman" w:hAnsi="Times New Roman" w:eastAsia="宋体"/>
                <w:b w:val="0"/>
                <w:color w:val="1F1F1F"/>
                <w:sz w:val="16"/>
              </w:rPr>
              <w:t>按国家强制性规范</w:t>
            </w:r>
          </w:p>
        </w:tc>
      </w:tr>
      <w:tr>
        <w:trPr>
          <w:cantSplit/>
        </w:trPr>
        <w:tc>
          <w:tcPr>
            <w:tcW w:type="dxa" w:w="1014"/>
          </w:tcPr>
          <w:p>
            <w:pPr>
              <w:spacing w:before="0" w:after="0" w:line="276" w:lineRule="auto"/>
            </w:pPr>
            <w:r/>
            <w:r>
              <w:rPr>
                <w:rFonts w:ascii="Times New Roman" w:hAnsi="Times New Roman" w:eastAsia="宋体"/>
                <w:b w:val="0"/>
                <w:color w:val="1F1F1F"/>
                <w:sz w:val="16"/>
              </w:rPr>
              <w:t>21</w:t>
            </w:r>
          </w:p>
        </w:tc>
        <w:tc>
          <w:tcPr>
            <w:tcW w:type="dxa" w:w="1744"/>
          </w:tcPr>
          <w:p>
            <w:pPr>
              <w:spacing w:before="0" w:after="0" w:line="276" w:lineRule="auto"/>
            </w:pPr>
            <w:r/>
            <w:r>
              <w:rPr>
                <w:rFonts w:ascii="Times New Roman" w:hAnsi="Times New Roman" w:eastAsia="宋体"/>
                <w:b w:val="0"/>
                <w:color w:val="1F1F1F"/>
                <w:sz w:val="16"/>
              </w:rPr>
              <w:t>室内 CO₂、PM2.5、温湿度达标时长占比</w:t>
            </w:r>
          </w:p>
        </w:tc>
        <w:tc>
          <w:tcPr>
            <w:tcW w:type="dxa" w:w="1050"/>
          </w:tcPr>
          <w:p>
            <w:pPr>
              <w:spacing w:before="0" w:after="0" w:line="276" w:lineRule="auto"/>
            </w:pPr>
            <w:r/>
            <w:r>
              <w:rPr>
                <w:rFonts w:ascii="Times New Roman" w:hAnsi="Times New Roman" w:eastAsia="宋体"/>
                <w:b w:val="0"/>
                <w:color w:val="1F1F1F"/>
                <w:sz w:val="16"/>
              </w:rPr>
              <w:t>健康</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试点区连续监测达标</w:t>
            </w:r>
          </w:p>
        </w:tc>
        <w:tc>
          <w:tcPr>
            <w:tcW w:type="dxa" w:w="1239"/>
          </w:tcPr>
          <w:p>
            <w:pPr>
              <w:spacing w:before="0" w:after="0" w:line="276" w:lineRule="auto"/>
            </w:pPr>
            <w:r/>
            <w:r>
              <w:rPr>
                <w:rFonts w:ascii="Times New Roman" w:hAnsi="Times New Roman" w:eastAsia="宋体"/>
                <w:b w:val="0"/>
                <w:color w:val="1F1F1F"/>
                <w:sz w:val="16"/>
              </w:rPr>
              <w:t>全园连续监测达标</w:t>
            </w:r>
          </w:p>
        </w:tc>
        <w:tc>
          <w:tcPr>
            <w:tcW w:type="dxa" w:w="1521"/>
          </w:tcPr>
          <w:p>
            <w:pPr>
              <w:spacing w:before="0" w:after="0" w:line="276" w:lineRule="auto"/>
            </w:pPr>
            <w:r/>
            <w:r>
              <w:rPr>
                <w:rFonts w:ascii="Times New Roman" w:hAnsi="Times New Roman" w:eastAsia="宋体"/>
                <w:b w:val="0"/>
                <w:color w:val="1F1F1F"/>
                <w:sz w:val="16"/>
              </w:rPr>
              <w:t>阈值按国家标准</w:t>
            </w:r>
          </w:p>
        </w:tc>
      </w:tr>
      <w:tr>
        <w:trPr>
          <w:cantSplit/>
        </w:trPr>
        <w:tc>
          <w:tcPr>
            <w:tcW w:type="dxa" w:w="1014"/>
          </w:tcPr>
          <w:p>
            <w:pPr>
              <w:spacing w:before="0" w:after="0" w:line="276" w:lineRule="auto"/>
            </w:pPr>
            <w:r/>
            <w:r>
              <w:rPr>
                <w:rFonts w:ascii="Times New Roman" w:hAnsi="Times New Roman" w:eastAsia="宋体"/>
                <w:b w:val="0"/>
                <w:color w:val="1F1F1F"/>
                <w:sz w:val="16"/>
              </w:rPr>
              <w:t>22</w:t>
            </w:r>
          </w:p>
        </w:tc>
        <w:tc>
          <w:tcPr>
            <w:tcW w:type="dxa" w:w="1744"/>
          </w:tcPr>
          <w:p>
            <w:pPr>
              <w:spacing w:before="0" w:after="0" w:line="276" w:lineRule="auto"/>
            </w:pPr>
            <w:r/>
            <w:r>
              <w:rPr>
                <w:rFonts w:ascii="Times New Roman" w:hAnsi="Times New Roman" w:eastAsia="宋体"/>
                <w:b w:val="0"/>
                <w:color w:val="1F1F1F"/>
                <w:sz w:val="16"/>
              </w:rPr>
              <w:t>环境监测点位覆盖率（楼层级）</w:t>
            </w:r>
          </w:p>
        </w:tc>
        <w:tc>
          <w:tcPr>
            <w:tcW w:type="dxa" w:w="1050"/>
          </w:tcPr>
          <w:p>
            <w:pPr>
              <w:spacing w:before="0" w:after="0" w:line="276" w:lineRule="auto"/>
            </w:pPr>
            <w:r/>
            <w:r>
              <w:rPr>
                <w:rFonts w:ascii="Times New Roman" w:hAnsi="Times New Roman" w:eastAsia="宋体"/>
                <w:b w:val="0"/>
                <w:color w:val="1F1F1F"/>
                <w:sz w:val="16"/>
              </w:rPr>
              <w:t>健康·智慧</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试点区 100%</w:t>
            </w:r>
          </w:p>
        </w:tc>
        <w:tc>
          <w:tcPr>
            <w:tcW w:type="dxa" w:w="1239"/>
          </w:tcPr>
          <w:p>
            <w:pPr>
              <w:spacing w:before="0" w:after="0" w:line="276" w:lineRule="auto"/>
            </w:pPr>
            <w:r/>
            <w:r>
              <w:rPr>
                <w:rFonts w:ascii="Times New Roman" w:hAnsi="Times New Roman" w:eastAsia="宋体"/>
                <w:b w:val="0"/>
                <w:color w:val="1F1F1F"/>
                <w:sz w:val="16"/>
              </w:rPr>
              <w:t>全园 100%</w:t>
            </w:r>
          </w:p>
        </w:tc>
        <w:tc>
          <w:tcPr>
            <w:tcW w:type="dxa" w:w="1521"/>
          </w:tcPr>
          <w:p>
            <w:pPr>
              <w:spacing w:before="0" w:after="0" w:line="276" w:lineRule="auto"/>
            </w:pPr>
            <w:r/>
            <w:r>
              <w:rPr>
                <w:rFonts w:ascii="Times New Roman" w:hAnsi="Times New Roman" w:eastAsia="宋体"/>
                <w:b w:val="0"/>
                <w:color w:val="1F1F1F"/>
                <w:sz w:val="16"/>
              </w:rPr>
              <w:t>数据接入平台并公示</w:t>
            </w:r>
          </w:p>
        </w:tc>
      </w:tr>
      <w:tr>
        <w:trPr>
          <w:cantSplit/>
        </w:trPr>
        <w:tc>
          <w:tcPr>
            <w:tcW w:type="dxa" w:w="1014"/>
          </w:tcPr>
          <w:p>
            <w:pPr>
              <w:spacing w:before="0" w:after="0" w:line="276" w:lineRule="auto"/>
            </w:pPr>
            <w:r/>
            <w:r>
              <w:rPr>
                <w:rFonts w:ascii="Times New Roman" w:hAnsi="Times New Roman" w:eastAsia="宋体"/>
                <w:b w:val="0"/>
                <w:color w:val="1F1F1F"/>
                <w:sz w:val="16"/>
              </w:rPr>
              <w:t>23</w:t>
            </w:r>
          </w:p>
        </w:tc>
        <w:tc>
          <w:tcPr>
            <w:tcW w:type="dxa" w:w="1744"/>
          </w:tcPr>
          <w:p>
            <w:pPr>
              <w:spacing w:before="0" w:after="0" w:line="276" w:lineRule="auto"/>
            </w:pPr>
            <w:r/>
            <w:r>
              <w:rPr>
                <w:rFonts w:ascii="Times New Roman" w:hAnsi="Times New Roman" w:eastAsia="宋体"/>
                <w:b w:val="0"/>
                <w:color w:val="1F1F1F"/>
                <w:sz w:val="16"/>
              </w:rPr>
              <w:t>办公区照度与眩光达标率</w:t>
            </w:r>
          </w:p>
        </w:tc>
        <w:tc>
          <w:tcPr>
            <w:tcW w:type="dxa" w:w="1050"/>
          </w:tcPr>
          <w:p>
            <w:pPr>
              <w:spacing w:before="0" w:after="0" w:line="276" w:lineRule="auto"/>
            </w:pPr>
            <w:r/>
            <w:r>
              <w:rPr>
                <w:rFonts w:ascii="Times New Roman" w:hAnsi="Times New Roman" w:eastAsia="宋体"/>
                <w:b w:val="0"/>
                <w:color w:val="1F1F1F"/>
                <w:sz w:val="16"/>
              </w:rPr>
              <w:t>健康</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试点区达标</w:t>
            </w:r>
          </w:p>
        </w:tc>
        <w:tc>
          <w:tcPr>
            <w:tcW w:type="dxa" w:w="1239"/>
          </w:tcPr>
          <w:p>
            <w:pPr>
              <w:spacing w:before="0" w:after="0" w:line="276" w:lineRule="auto"/>
            </w:pPr>
            <w:r/>
            <w:r>
              <w:rPr>
                <w:rFonts w:ascii="Times New Roman" w:hAnsi="Times New Roman" w:eastAsia="宋体"/>
                <w:b w:val="0"/>
                <w:color w:val="1F1F1F"/>
                <w:sz w:val="16"/>
              </w:rPr>
              <w:t>全园达标</w:t>
            </w:r>
          </w:p>
        </w:tc>
        <w:tc>
          <w:tcPr>
            <w:tcW w:type="dxa" w:w="1521"/>
          </w:tcPr>
          <w:p>
            <w:pPr>
              <w:spacing w:before="0" w:after="0" w:line="276" w:lineRule="auto"/>
            </w:pPr>
            <w:r/>
            <w:r>
              <w:rPr>
                <w:rFonts w:ascii="Times New Roman" w:hAnsi="Times New Roman" w:eastAsia="宋体"/>
                <w:b w:val="0"/>
                <w:color w:val="1F1F1F"/>
                <w:sz w:val="16"/>
              </w:rPr>
              <w:t>结合照明更新实施</w:t>
            </w:r>
          </w:p>
        </w:tc>
      </w:tr>
      <w:tr>
        <w:trPr>
          <w:cantSplit/>
        </w:trPr>
        <w:tc>
          <w:tcPr>
            <w:tcW w:type="dxa" w:w="1014"/>
          </w:tcPr>
          <w:p>
            <w:pPr>
              <w:spacing w:before="0" w:after="0" w:line="276" w:lineRule="auto"/>
            </w:pPr>
            <w:r/>
            <w:r>
              <w:rPr>
                <w:rFonts w:ascii="Times New Roman" w:hAnsi="Times New Roman" w:eastAsia="宋体"/>
                <w:b w:val="0"/>
                <w:color w:val="1F1F1F"/>
                <w:sz w:val="16"/>
              </w:rPr>
              <w:t>24</w:t>
            </w:r>
          </w:p>
        </w:tc>
        <w:tc>
          <w:tcPr>
            <w:tcW w:type="dxa" w:w="1744"/>
          </w:tcPr>
          <w:p>
            <w:pPr>
              <w:spacing w:before="0" w:after="0" w:line="276" w:lineRule="auto"/>
            </w:pPr>
            <w:r/>
            <w:r>
              <w:rPr>
                <w:rFonts w:ascii="Times New Roman" w:hAnsi="Times New Roman" w:eastAsia="宋体"/>
                <w:b w:val="0"/>
                <w:color w:val="1F1F1F"/>
                <w:sz w:val="16"/>
              </w:rPr>
              <w:t>外立面大改工程数量</w:t>
            </w:r>
          </w:p>
        </w:tc>
        <w:tc>
          <w:tcPr>
            <w:tcW w:type="dxa" w:w="1050"/>
          </w:tcPr>
          <w:p>
            <w:pPr>
              <w:spacing w:before="0" w:after="0" w:line="276" w:lineRule="auto"/>
            </w:pPr>
            <w:r/>
            <w:r>
              <w:rPr>
                <w:rFonts w:ascii="Times New Roman" w:hAnsi="Times New Roman" w:eastAsia="宋体"/>
                <w:b w:val="0"/>
                <w:color w:val="1F1F1F"/>
                <w:sz w:val="16"/>
              </w:rPr>
              <w:t>人文</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0</w:t>
            </w:r>
          </w:p>
        </w:tc>
        <w:tc>
          <w:tcPr>
            <w:tcW w:type="dxa" w:w="1239"/>
          </w:tcPr>
          <w:p>
            <w:pPr>
              <w:spacing w:before="0" w:after="0" w:line="276" w:lineRule="auto"/>
            </w:pPr>
            <w:r/>
            <w:r>
              <w:rPr>
                <w:rFonts w:ascii="Times New Roman" w:hAnsi="Times New Roman" w:eastAsia="宋体"/>
                <w:b w:val="0"/>
                <w:color w:val="1F1F1F"/>
                <w:sz w:val="16"/>
              </w:rPr>
              <w:t>0</w:t>
            </w:r>
          </w:p>
        </w:tc>
        <w:tc>
          <w:tcPr>
            <w:tcW w:type="dxa" w:w="1521"/>
          </w:tcPr>
          <w:p>
            <w:pPr>
              <w:spacing w:before="0" w:after="0" w:line="276" w:lineRule="auto"/>
            </w:pPr>
            <w:r/>
            <w:r>
              <w:rPr>
                <w:rFonts w:ascii="Times New Roman" w:hAnsi="Times New Roman" w:eastAsia="宋体"/>
                <w:b w:val="0"/>
                <w:color w:val="1F1F1F"/>
                <w:sz w:val="16"/>
              </w:rPr>
              <w:t>风貌保护约束</w:t>
            </w:r>
          </w:p>
        </w:tc>
      </w:tr>
      <w:tr>
        <w:trPr>
          <w:cantSplit/>
        </w:trPr>
        <w:tc>
          <w:tcPr>
            <w:tcW w:type="dxa" w:w="1014"/>
          </w:tcPr>
          <w:p>
            <w:pPr>
              <w:spacing w:before="0" w:after="0" w:line="276" w:lineRule="auto"/>
            </w:pPr>
            <w:r/>
            <w:r>
              <w:rPr>
                <w:rFonts w:ascii="Times New Roman" w:hAnsi="Times New Roman" w:eastAsia="宋体"/>
                <w:b w:val="0"/>
                <w:color w:val="1F1F1F"/>
                <w:sz w:val="16"/>
              </w:rPr>
              <w:t>25</w:t>
            </w:r>
          </w:p>
        </w:tc>
        <w:tc>
          <w:tcPr>
            <w:tcW w:type="dxa" w:w="1744"/>
          </w:tcPr>
          <w:p>
            <w:pPr>
              <w:spacing w:before="0" w:after="0" w:line="276" w:lineRule="auto"/>
            </w:pPr>
            <w:r/>
            <w:r>
              <w:rPr>
                <w:rFonts w:ascii="Times New Roman" w:hAnsi="Times New Roman" w:eastAsia="宋体"/>
                <w:b w:val="0"/>
                <w:color w:val="1F1F1F"/>
                <w:sz w:val="16"/>
              </w:rPr>
              <w:t>半开放公共空间面积增量与使用率</w:t>
            </w:r>
          </w:p>
        </w:tc>
        <w:tc>
          <w:tcPr>
            <w:tcW w:type="dxa" w:w="1050"/>
          </w:tcPr>
          <w:p>
            <w:pPr>
              <w:spacing w:before="0" w:after="0" w:line="276" w:lineRule="auto"/>
            </w:pPr>
            <w:r/>
            <w:r>
              <w:rPr>
                <w:rFonts w:ascii="Times New Roman" w:hAnsi="Times New Roman" w:eastAsia="宋体"/>
                <w:b w:val="0"/>
                <w:color w:val="1F1F1F"/>
                <w:sz w:val="16"/>
              </w:rPr>
              <w:t>人文·健康</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试点场地建成</w:t>
            </w:r>
          </w:p>
        </w:tc>
        <w:tc>
          <w:tcPr>
            <w:tcW w:type="dxa" w:w="1239"/>
          </w:tcPr>
          <w:p>
            <w:pPr>
              <w:spacing w:before="0" w:after="0" w:line="276" w:lineRule="auto"/>
            </w:pPr>
            <w:r/>
            <w:r>
              <w:rPr>
                <w:rFonts w:ascii="Times New Roman" w:hAnsi="Times New Roman" w:eastAsia="宋体"/>
                <w:b w:val="0"/>
                <w:color w:val="1F1F1F"/>
                <w:sz w:val="16"/>
              </w:rPr>
              <w:t>按专项设计值</w:t>
            </w:r>
          </w:p>
        </w:tc>
        <w:tc>
          <w:tcPr>
            <w:tcW w:type="dxa" w:w="1521"/>
          </w:tcPr>
          <w:p>
            <w:pPr>
              <w:spacing w:before="0" w:after="0" w:line="276" w:lineRule="auto"/>
            </w:pPr>
            <w:r/>
            <w:r>
              <w:rPr>
                <w:rFonts w:ascii="Times New Roman" w:hAnsi="Times New Roman" w:eastAsia="宋体"/>
                <w:b w:val="0"/>
                <w:color w:val="1F1F1F"/>
                <w:sz w:val="16"/>
              </w:rPr>
              <w:t>岭南微气候适应</w:t>
            </w:r>
          </w:p>
        </w:tc>
      </w:tr>
      <w:tr>
        <w:trPr>
          <w:cantSplit/>
        </w:trPr>
        <w:tc>
          <w:tcPr>
            <w:tcW w:type="dxa" w:w="1014"/>
          </w:tcPr>
          <w:p>
            <w:pPr>
              <w:spacing w:before="0" w:after="0" w:line="276" w:lineRule="auto"/>
            </w:pPr>
            <w:r/>
            <w:r>
              <w:rPr>
                <w:rFonts w:ascii="Times New Roman" w:hAnsi="Times New Roman" w:eastAsia="宋体"/>
                <w:b w:val="0"/>
                <w:color w:val="1F1F1F"/>
                <w:sz w:val="16"/>
              </w:rPr>
              <w:t>26</w:t>
            </w:r>
          </w:p>
        </w:tc>
        <w:tc>
          <w:tcPr>
            <w:tcW w:type="dxa" w:w="1744"/>
          </w:tcPr>
          <w:p>
            <w:pPr>
              <w:spacing w:before="0" w:after="0" w:line="276" w:lineRule="auto"/>
            </w:pPr>
            <w:r/>
            <w:r>
              <w:rPr>
                <w:rFonts w:ascii="Times New Roman" w:hAnsi="Times New Roman" w:eastAsia="宋体"/>
                <w:b w:val="0"/>
                <w:color w:val="1F1F1F"/>
                <w:sz w:val="16"/>
              </w:rPr>
              <w:t>真实系统展项参观动线</w:t>
            </w:r>
          </w:p>
        </w:tc>
        <w:tc>
          <w:tcPr>
            <w:tcW w:type="dxa" w:w="1050"/>
          </w:tcPr>
          <w:p>
            <w:pPr>
              <w:spacing w:before="0" w:after="0" w:line="276" w:lineRule="auto"/>
            </w:pPr>
            <w:r/>
            <w:r>
              <w:rPr>
                <w:rFonts w:ascii="Times New Roman" w:hAnsi="Times New Roman" w:eastAsia="宋体"/>
                <w:b w:val="0"/>
                <w:color w:val="1F1F1F"/>
                <w:sz w:val="16"/>
              </w:rPr>
              <w:t>人文</w:t>
            </w:r>
          </w:p>
        </w:tc>
        <w:tc>
          <w:tcPr>
            <w:tcW w:type="dxa" w:w="1014"/>
          </w:tcPr>
          <w:p>
            <w:pPr>
              <w:spacing w:before="0" w:after="0" w:line="276" w:lineRule="auto"/>
            </w:pPr>
            <w:r/>
            <w:r>
              <w:rPr>
                <w:rFonts w:ascii="Times New Roman" w:hAnsi="Times New Roman" w:eastAsia="宋体"/>
                <w:b w:val="0"/>
                <w:color w:val="1F1F1F"/>
                <w:sz w:val="16"/>
              </w:rPr>
              <w:t>控制性</w:t>
            </w:r>
          </w:p>
        </w:tc>
        <w:tc>
          <w:tcPr>
            <w:tcW w:type="dxa" w:w="1262"/>
          </w:tcPr>
          <w:p>
            <w:pPr>
              <w:spacing w:before="0" w:after="0" w:line="276" w:lineRule="auto"/>
            </w:pPr>
            <w:r/>
            <w:r>
              <w:rPr>
                <w:rFonts w:ascii="Times New Roman" w:hAnsi="Times New Roman" w:eastAsia="宋体"/>
                <w:b w:val="0"/>
                <w:color w:val="1F1F1F"/>
                <w:sz w:val="16"/>
              </w:rPr>
              <w:t>动线设计完成</w:t>
            </w:r>
          </w:p>
        </w:tc>
        <w:tc>
          <w:tcPr>
            <w:tcW w:type="dxa" w:w="1239"/>
          </w:tcPr>
          <w:p>
            <w:pPr>
              <w:spacing w:before="0" w:after="0" w:line="276" w:lineRule="auto"/>
            </w:pPr>
            <w:r/>
            <w:r>
              <w:rPr>
                <w:rFonts w:ascii="Times New Roman" w:hAnsi="Times New Roman" w:eastAsia="宋体"/>
                <w:b w:val="0"/>
                <w:color w:val="1F1F1F"/>
                <w:sz w:val="16"/>
              </w:rPr>
              <w:t>建成运行</w:t>
            </w:r>
          </w:p>
        </w:tc>
        <w:tc>
          <w:tcPr>
            <w:tcW w:type="dxa" w:w="1521"/>
          </w:tcPr>
          <w:p>
            <w:pPr>
              <w:spacing w:before="0" w:after="0" w:line="276" w:lineRule="auto"/>
            </w:pPr>
            <w:r/>
            <w:r>
              <w:rPr>
                <w:rFonts w:ascii="Times New Roman" w:hAnsi="Times New Roman" w:eastAsia="宋体"/>
                <w:b w:val="0"/>
                <w:color w:val="1F1F1F"/>
                <w:sz w:val="16"/>
              </w:rPr>
              <w:t>不建独立展馆</w:t>
            </w:r>
          </w:p>
        </w:tc>
      </w:tr>
      <w:tr>
        <w:trPr>
          <w:cantSplit/>
        </w:trPr>
        <w:tc>
          <w:tcPr>
            <w:tcW w:type="dxa" w:w="1014"/>
          </w:tcPr>
          <w:p>
            <w:pPr>
              <w:spacing w:before="0" w:after="0" w:line="276" w:lineRule="auto"/>
            </w:pPr>
            <w:r/>
            <w:r>
              <w:rPr>
                <w:rFonts w:ascii="Times New Roman" w:hAnsi="Times New Roman" w:eastAsia="宋体"/>
                <w:b w:val="0"/>
                <w:color w:val="1F1F1F"/>
                <w:sz w:val="16"/>
              </w:rPr>
              <w:t>27</w:t>
            </w:r>
          </w:p>
        </w:tc>
        <w:tc>
          <w:tcPr>
            <w:tcW w:type="dxa" w:w="1744"/>
          </w:tcPr>
          <w:p>
            <w:pPr>
              <w:spacing w:before="0" w:after="0" w:line="276" w:lineRule="auto"/>
            </w:pPr>
            <w:r/>
            <w:r>
              <w:rPr>
                <w:rFonts w:ascii="Times New Roman" w:hAnsi="Times New Roman" w:eastAsia="宋体"/>
                <w:b w:val="0"/>
                <w:color w:val="1F1F1F"/>
                <w:sz w:val="16"/>
              </w:rPr>
              <w:t>员工环境与服务满意度</w:t>
            </w:r>
          </w:p>
        </w:tc>
        <w:tc>
          <w:tcPr>
            <w:tcW w:type="dxa" w:w="1050"/>
          </w:tcPr>
          <w:p>
            <w:pPr>
              <w:spacing w:before="0" w:after="0" w:line="276" w:lineRule="auto"/>
            </w:pPr>
            <w:r/>
            <w:r>
              <w:rPr>
                <w:rFonts w:ascii="Times New Roman" w:hAnsi="Times New Roman" w:eastAsia="宋体"/>
                <w:b w:val="0"/>
                <w:color w:val="1F1F1F"/>
                <w:sz w:val="16"/>
              </w:rPr>
              <w:t>健康·人文</w:t>
            </w:r>
          </w:p>
        </w:tc>
        <w:tc>
          <w:tcPr>
            <w:tcW w:type="dxa" w:w="1014"/>
          </w:tcPr>
          <w:p>
            <w:pPr>
              <w:spacing w:before="0" w:after="0" w:line="276" w:lineRule="auto"/>
            </w:pPr>
            <w:r/>
            <w:r>
              <w:rPr>
                <w:rFonts w:ascii="Times New Roman" w:hAnsi="Times New Roman" w:eastAsia="宋体"/>
                <w:b w:val="0"/>
                <w:color w:val="1F1F1F"/>
                <w:sz w:val="16"/>
              </w:rPr>
              <w:t>引导性</w:t>
            </w:r>
          </w:p>
        </w:tc>
        <w:tc>
          <w:tcPr>
            <w:tcW w:type="dxa" w:w="1262"/>
          </w:tcPr>
          <w:p>
            <w:pPr>
              <w:spacing w:before="0" w:after="0" w:line="276" w:lineRule="auto"/>
            </w:pPr>
            <w:r/>
            <w:r>
              <w:rPr>
                <w:rFonts w:ascii="Times New Roman" w:hAnsi="Times New Roman" w:eastAsia="宋体"/>
                <w:b w:val="0"/>
                <w:color w:val="1F1F1F"/>
                <w:sz w:val="16"/>
              </w:rPr>
              <w:t>形成基线</w:t>
            </w:r>
          </w:p>
        </w:tc>
        <w:tc>
          <w:tcPr>
            <w:tcW w:type="dxa" w:w="1239"/>
          </w:tcPr>
          <w:p>
            <w:pPr>
              <w:spacing w:before="0" w:after="0" w:line="276" w:lineRule="auto"/>
            </w:pPr>
            <w:r/>
            <w:r>
              <w:rPr>
                <w:rFonts w:ascii="Times New Roman" w:hAnsi="Times New Roman" w:eastAsia="宋体"/>
                <w:b w:val="0"/>
                <w:color w:val="1F1F1F"/>
                <w:sz w:val="16"/>
              </w:rPr>
              <w:t>较基线提升</w:t>
            </w:r>
          </w:p>
        </w:tc>
        <w:tc>
          <w:tcPr>
            <w:tcW w:type="dxa" w:w="1521"/>
          </w:tcPr>
          <w:p>
            <w:pPr>
              <w:spacing w:before="0" w:after="0" w:line="276" w:lineRule="auto"/>
            </w:pPr>
            <w:r/>
            <w:r>
              <w:rPr>
                <w:rFonts w:ascii="Times New Roman" w:hAnsi="Times New Roman" w:eastAsia="宋体"/>
                <w:b w:val="0"/>
                <w:color w:val="1F1F1F"/>
                <w:sz w:val="16"/>
              </w:rPr>
              <w:t>调查口径随运营方案确定</w:t>
            </w:r>
          </w:p>
        </w:tc>
      </w:tr>
    </w:tbl>
    <w:p>
      <w:pPr>
        <w:spacing w:after="80"/>
      </w:pPr>
    </w:p>
    <w:p>
      <w:pPr>
        <w:pStyle w:val="Heading2"/>
        <w:keepNext/>
        <w:spacing w:before="240" w:after="120" w:line="360" w:lineRule="auto"/>
      </w:pPr>
      <w:r>
        <w:rPr>
          <w:rFonts w:ascii="Times New Roman" w:hAnsi="Times New Roman" w:eastAsia="黑体"/>
          <w:b w:val="0"/>
          <w:color w:val="1F1F1F"/>
          <w:sz w:val="32"/>
        </w:rPr>
        <w:t>四、指标管控</w:t>
      </w:r>
    </w:p>
    <w:p>
      <w:pPr>
        <w:spacing w:before="0" w:after="120" w:line="360" w:lineRule="auto"/>
        <w:ind w:firstLine="480"/>
      </w:pPr>
      <w:r>
        <w:rPr>
          <w:rFonts w:ascii="Times New Roman" w:hAnsi="Times New Roman" w:eastAsia="仿宋_GB2312"/>
          <w:b w:val="0"/>
          <w:color w:val="1F1F1F"/>
          <w:sz w:val="32"/>
        </w:rPr>
        <w:t>控制性指标写入各项目的建设任务书与验收条件，年度运营评估逐项核对；引导性指标在基期基线形成后、专项设计阶段校定目标值并转为设计输入。任何节能措施须同时满足指标 6 与指标 21，一项不达标即不通过验收。指标值调整须经规划修编程序，不得在项目实施中自行下调。</w:t>
      </w:r>
    </w:p>
    <w:p>
      <w:pPr>
        <w:pStyle w:val="Heading1"/>
        <w:keepNext/>
        <w:pageBreakBefore/>
        <w:spacing w:before="360" w:after="240" w:line="360" w:lineRule="auto"/>
        <w:jc w:val="center"/>
      </w:pPr>
      <w:r>
        <w:rPr>
          <w:rFonts w:ascii="Times New Roman" w:hAnsi="Times New Roman" w:eastAsia="黑体"/>
          <w:b w:val="0"/>
          <w:color w:val="1F1F1F"/>
          <w:sz w:val="36"/>
        </w:rPr>
        <w:t>第四章 总体布局</w:t>
      </w:r>
    </w:p>
    <w:p>
      <w:pPr>
        <w:pStyle w:val="Heading2"/>
        <w:keepNext/>
        <w:spacing w:before="240" w:after="120" w:line="360" w:lineRule="auto"/>
      </w:pPr>
      <w:r>
        <w:rPr>
          <w:rFonts w:ascii="Times New Roman" w:hAnsi="Times New Roman" w:eastAsia="黑体"/>
          <w:b w:val="0"/>
          <w:color w:val="1F1F1F"/>
          <w:sz w:val="32"/>
        </w:rPr>
        <w:t>一、空间结构</w:t>
      </w:r>
    </w:p>
    <w:p>
      <w:pPr>
        <w:spacing w:before="0" w:after="120" w:line="360" w:lineRule="auto"/>
        <w:ind w:firstLine="480"/>
      </w:pPr>
      <w:r>
        <w:rPr>
          <w:rFonts w:ascii="Times New Roman" w:hAnsi="Times New Roman" w:eastAsia="仿宋_GB2312"/>
          <w:b w:val="0"/>
          <w:color w:val="1F1F1F"/>
          <w:sz w:val="32"/>
        </w:rPr>
        <w:t>园区空间结构以“既有格局不变、系统重组、节点更新”为总则，按功能形成五类分区和一个试点区。空间结构示意如下（拓扑关系示意，不代表实际方位与尺度）。</w:t>
      </w:r>
    </w:p>
    <w:p>
      <w:pPr>
        <w:spacing w:before="0" w:after="80" w:line="360" w:lineRule="auto"/>
        <w:jc w:val="center"/>
      </w:pPr>
      <w:r>
        <w:drawing>
          <wp:inline xmlns:a="http://schemas.openxmlformats.org/drawingml/2006/main" xmlns:pic="http://schemas.openxmlformats.org/drawingml/2006/picture">
            <wp:extent cx="5400000" cy="2450289"/>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400000" cy="2450289"/>
                    </a:xfrm>
                    <a:prstGeom prst="rect"/>
                  </pic:spPr>
                </pic:pic>
              </a:graphicData>
            </a:graphic>
          </wp:inline>
        </w:drawing>
      </w:r>
    </w:p>
    <w:p>
      <w:pPr>
        <w:spacing w:before="0" w:after="200" w:line="360" w:lineRule="auto"/>
        <w:jc w:val="center"/>
      </w:pPr>
      <w:r>
        <w:rPr>
          <w:rFonts w:ascii="Times New Roman" w:hAnsi="Times New Roman" w:eastAsia="宋体"/>
          <w:color w:val="1F1F1F"/>
          <w:sz w:val="21"/>
        </w:rPr>
        <w:t>图 4-1 园区空间结构示意（拓扑关系，不代表实际方位与尺度）</w:t>
      </w:r>
    </w:p>
    <w:p>
      <w:pPr>
        <w:spacing w:before="0" w:after="120" w:line="360" w:lineRule="auto"/>
        <w:ind w:firstLine="480"/>
      </w:pPr>
      <w:r>
        <w:rPr>
          <w:rFonts w:ascii="Times New Roman" w:hAnsi="Times New Roman" w:eastAsia="仿宋_GB2312"/>
          <w:b w:val="0"/>
          <w:color w:val="1F1F1F"/>
          <w:sz w:val="32"/>
        </w:rPr>
        <w:t>文字示意：能源中心区（冷站、冰蓄冷）向办公楼群区与数据机房区供冷，是园区能量流的枢纽；数据机房区余热经热泵回供办公区热需求；办公楼群区屋顶、车棚光伏与停车区充电负荷一并纳入能源中心区聚合的柔性资源池，对外接入实时电价、需求响应与绿电交易；公共空间与庭院区承担微气候、海绵与展示功能；园中园试点区先行验证办公区与公共空间两类措施。</w:t>
      </w:r>
    </w:p>
    <w:p>
      <w:pPr>
        <w:pStyle w:val="Heading2"/>
        <w:keepNext/>
        <w:spacing w:before="240" w:after="120" w:line="360" w:lineRule="auto"/>
      </w:pPr>
      <w:r>
        <w:rPr>
          <w:rFonts w:ascii="Times New Roman" w:hAnsi="Times New Roman" w:eastAsia="黑体"/>
          <w:b w:val="0"/>
          <w:color w:val="1F1F1F"/>
          <w:sz w:val="32"/>
        </w:rPr>
        <w:t>二、功能分区与规划指引</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07"/>
        <w:gridCol w:w="1437"/>
        <w:gridCol w:w="1115"/>
        <w:gridCol w:w="1857"/>
        <w:gridCol w:w="1627"/>
        <w:gridCol w:w="1701"/>
      </w:tblGrid>
      <w:tr>
        <w:trPr>
          <w:cantSplit/>
          <w:tblHeader/>
        </w:trPr>
        <w:tc>
          <w:tcPr>
            <w:tcW w:type="dxa" w:w="1107"/>
            <w:shd w:val="clear" w:color="auto" w:fill="E7EEF3"/>
          </w:tcPr>
          <w:p>
            <w:pPr>
              <w:keepNext/>
              <w:spacing w:before="0" w:after="0" w:line="276" w:lineRule="auto"/>
              <w:jc w:val="center"/>
            </w:pPr>
            <w:r/>
            <w:r>
              <w:rPr>
                <w:rFonts w:ascii="Times New Roman" w:hAnsi="Times New Roman" w:eastAsia="宋体"/>
                <w:b/>
                <w:color w:val="1F1F1F"/>
                <w:sz w:val="16"/>
              </w:rPr>
              <w:t>分区</w:t>
            </w:r>
          </w:p>
        </w:tc>
        <w:tc>
          <w:tcPr>
            <w:tcW w:type="dxa" w:w="1437"/>
            <w:shd w:val="clear" w:color="auto" w:fill="E7EEF3"/>
          </w:tcPr>
          <w:p>
            <w:pPr>
              <w:keepNext/>
              <w:spacing w:before="0" w:after="0" w:line="276" w:lineRule="auto"/>
              <w:jc w:val="center"/>
            </w:pPr>
            <w:r/>
            <w:r>
              <w:rPr>
                <w:rFonts w:ascii="Times New Roman" w:hAnsi="Times New Roman" w:eastAsia="宋体"/>
                <w:b/>
                <w:color w:val="1F1F1F"/>
                <w:sz w:val="16"/>
              </w:rPr>
              <w:t>范围</w:t>
            </w:r>
          </w:p>
        </w:tc>
        <w:tc>
          <w:tcPr>
            <w:tcW w:type="dxa" w:w="1115"/>
            <w:shd w:val="clear" w:color="auto" w:fill="E7EEF3"/>
          </w:tcPr>
          <w:p>
            <w:pPr>
              <w:keepNext/>
              <w:spacing w:before="0" w:after="0" w:line="276" w:lineRule="auto"/>
              <w:jc w:val="center"/>
            </w:pPr>
            <w:r/>
            <w:r>
              <w:rPr>
                <w:rFonts w:ascii="Times New Roman" w:hAnsi="Times New Roman" w:eastAsia="宋体"/>
                <w:b/>
                <w:color w:val="1F1F1F"/>
                <w:sz w:val="16"/>
              </w:rPr>
              <w:t>主要功能</w:t>
            </w:r>
          </w:p>
        </w:tc>
        <w:tc>
          <w:tcPr>
            <w:tcW w:type="dxa" w:w="1857"/>
            <w:shd w:val="clear" w:color="auto" w:fill="E7EEF3"/>
          </w:tcPr>
          <w:p>
            <w:pPr>
              <w:keepNext/>
              <w:spacing w:before="0" w:after="0" w:line="276" w:lineRule="auto"/>
              <w:jc w:val="center"/>
            </w:pPr>
            <w:r/>
            <w:r>
              <w:rPr>
                <w:rFonts w:ascii="Times New Roman" w:hAnsi="Times New Roman" w:eastAsia="宋体"/>
                <w:b/>
                <w:color w:val="1F1F1F"/>
                <w:sz w:val="16"/>
              </w:rPr>
              <w:t>绿色·近零碳指引</w:t>
            </w:r>
          </w:p>
        </w:tc>
        <w:tc>
          <w:tcPr>
            <w:tcW w:type="dxa" w:w="1627"/>
            <w:shd w:val="clear" w:color="auto" w:fill="E7EEF3"/>
          </w:tcPr>
          <w:p>
            <w:pPr>
              <w:keepNext/>
              <w:spacing w:before="0" w:after="0" w:line="276" w:lineRule="auto"/>
              <w:jc w:val="center"/>
            </w:pPr>
            <w:r/>
            <w:r>
              <w:rPr>
                <w:rFonts w:ascii="Times New Roman" w:hAnsi="Times New Roman" w:eastAsia="宋体"/>
                <w:b/>
                <w:color w:val="1F1F1F"/>
                <w:sz w:val="16"/>
              </w:rPr>
              <w:t>智慧指引</w:t>
            </w:r>
          </w:p>
        </w:tc>
        <w:tc>
          <w:tcPr>
            <w:tcW w:type="dxa" w:w="1701"/>
            <w:shd w:val="clear" w:color="auto" w:fill="E7EEF3"/>
          </w:tcPr>
          <w:p>
            <w:pPr>
              <w:keepNext/>
              <w:spacing w:before="0" w:after="0" w:line="276" w:lineRule="auto"/>
              <w:jc w:val="center"/>
            </w:pPr>
            <w:r/>
            <w:r>
              <w:rPr>
                <w:rFonts w:ascii="Times New Roman" w:hAnsi="Times New Roman" w:eastAsia="宋体"/>
                <w:b/>
                <w:color w:val="1F1F1F"/>
                <w:sz w:val="16"/>
              </w:rPr>
              <w:t>健康·人文·普惠指引</w:t>
            </w:r>
          </w:p>
        </w:tc>
      </w:tr>
      <w:tr>
        <w:trPr>
          <w:cantSplit/>
        </w:trPr>
        <w:tc>
          <w:tcPr>
            <w:tcW w:type="dxa" w:w="1107"/>
          </w:tcPr>
          <w:p>
            <w:pPr>
              <w:spacing w:before="0" w:after="0" w:line="276" w:lineRule="auto"/>
            </w:pPr>
            <w:r/>
            <w:r>
              <w:rPr>
                <w:rFonts w:ascii="Times New Roman" w:hAnsi="Times New Roman" w:eastAsia="宋体"/>
                <w:b w:val="0"/>
                <w:color w:val="1F1F1F"/>
                <w:sz w:val="16"/>
              </w:rPr>
              <w:t>办公楼群区</w:t>
            </w:r>
          </w:p>
        </w:tc>
        <w:tc>
          <w:tcPr>
            <w:tcW w:type="dxa" w:w="1437"/>
          </w:tcPr>
          <w:p>
            <w:pPr>
              <w:spacing w:before="0" w:after="0" w:line="276" w:lineRule="auto"/>
            </w:pPr>
            <w:r/>
            <w:r>
              <w:rPr>
                <w:rFonts w:ascii="Times New Roman" w:hAnsi="Times New Roman" w:eastAsia="宋体"/>
                <w:b w:val="0"/>
                <w:color w:val="1F1F1F"/>
                <w:sz w:val="16"/>
              </w:rPr>
              <w:t>各办公楼及其屋顶、露台</w:t>
            </w:r>
          </w:p>
        </w:tc>
        <w:tc>
          <w:tcPr>
            <w:tcW w:type="dxa" w:w="1115"/>
          </w:tcPr>
          <w:p>
            <w:pPr>
              <w:spacing w:before="0" w:after="0" w:line="276" w:lineRule="auto"/>
            </w:pPr>
            <w:r/>
            <w:r>
              <w:rPr>
                <w:rFonts w:ascii="Times New Roman" w:hAnsi="Times New Roman" w:eastAsia="宋体"/>
                <w:b w:val="0"/>
                <w:color w:val="1F1F1F"/>
                <w:sz w:val="16"/>
              </w:rPr>
              <w:t>日常办公</w:t>
            </w:r>
          </w:p>
        </w:tc>
        <w:tc>
          <w:tcPr>
            <w:tcW w:type="dxa" w:w="1857"/>
          </w:tcPr>
          <w:p>
            <w:pPr>
              <w:spacing w:before="0" w:after="0" w:line="276" w:lineRule="auto"/>
            </w:pPr>
            <w:r/>
            <w:r>
              <w:rPr>
                <w:rFonts w:ascii="Times New Roman" w:hAnsi="Times New Roman" w:eastAsia="宋体"/>
                <w:b w:val="0"/>
                <w:color w:val="1F1F1F"/>
                <w:sz w:val="16"/>
              </w:rPr>
              <w:t>末端与照明节能；新风净化；屋顶与露台光伏</w:t>
            </w:r>
          </w:p>
        </w:tc>
        <w:tc>
          <w:tcPr>
            <w:tcW w:type="dxa" w:w="1627"/>
          </w:tcPr>
          <w:p>
            <w:pPr>
              <w:spacing w:before="0" w:after="0" w:line="276" w:lineRule="auto"/>
            </w:pPr>
            <w:r/>
            <w:r>
              <w:rPr>
                <w:rFonts w:ascii="Times New Roman" w:hAnsi="Times New Roman" w:eastAsia="宋体"/>
                <w:b w:val="0"/>
                <w:color w:val="1F1F1F"/>
                <w:sz w:val="16"/>
              </w:rPr>
              <w:t>会议预约联动末端；楼层级计量与环境监测</w:t>
            </w:r>
          </w:p>
        </w:tc>
        <w:tc>
          <w:tcPr>
            <w:tcW w:type="dxa" w:w="1701"/>
          </w:tcPr>
          <w:p>
            <w:pPr>
              <w:spacing w:before="0" w:after="0" w:line="276" w:lineRule="auto"/>
            </w:pPr>
            <w:r/>
            <w:r>
              <w:rPr>
                <w:rFonts w:ascii="Times New Roman" w:hAnsi="Times New Roman" w:eastAsia="宋体"/>
                <w:b w:val="0"/>
                <w:color w:val="1F1F1F"/>
                <w:sz w:val="16"/>
              </w:rPr>
              <w:t>节律照明与工位微环境；无障碍动线；碳普惠记账入口</w:t>
            </w:r>
          </w:p>
        </w:tc>
      </w:tr>
      <w:tr>
        <w:trPr>
          <w:cantSplit/>
        </w:trPr>
        <w:tc>
          <w:tcPr>
            <w:tcW w:type="dxa" w:w="1107"/>
          </w:tcPr>
          <w:p>
            <w:pPr>
              <w:spacing w:before="0" w:after="0" w:line="276" w:lineRule="auto"/>
            </w:pPr>
            <w:r/>
            <w:r>
              <w:rPr>
                <w:rFonts w:ascii="Times New Roman" w:hAnsi="Times New Roman" w:eastAsia="宋体"/>
                <w:b w:val="0"/>
                <w:color w:val="1F1F1F"/>
                <w:sz w:val="16"/>
              </w:rPr>
              <w:t>数据机房区</w:t>
            </w:r>
          </w:p>
        </w:tc>
        <w:tc>
          <w:tcPr>
            <w:tcW w:type="dxa" w:w="1437"/>
          </w:tcPr>
          <w:p>
            <w:pPr>
              <w:spacing w:before="0" w:after="0" w:line="276" w:lineRule="auto"/>
            </w:pPr>
            <w:r/>
            <w:r>
              <w:rPr>
                <w:rFonts w:ascii="Times New Roman" w:hAnsi="Times New Roman" w:eastAsia="宋体"/>
                <w:b w:val="0"/>
                <w:color w:val="1F1F1F"/>
                <w:sz w:val="16"/>
              </w:rPr>
              <w:t>数据机房及其配电、制冷</w:t>
            </w:r>
          </w:p>
        </w:tc>
        <w:tc>
          <w:tcPr>
            <w:tcW w:type="dxa" w:w="1115"/>
          </w:tcPr>
          <w:p>
            <w:pPr>
              <w:spacing w:before="0" w:after="0" w:line="276" w:lineRule="auto"/>
            </w:pPr>
            <w:r/>
            <w:r>
              <w:rPr>
                <w:rFonts w:ascii="Times New Roman" w:hAnsi="Times New Roman" w:eastAsia="宋体"/>
                <w:b w:val="0"/>
                <w:color w:val="1F1F1F"/>
                <w:sz w:val="16"/>
              </w:rPr>
              <w:t>数据与算力</w:t>
            </w:r>
          </w:p>
        </w:tc>
        <w:tc>
          <w:tcPr>
            <w:tcW w:type="dxa" w:w="1857"/>
          </w:tcPr>
          <w:p>
            <w:pPr>
              <w:spacing w:before="0" w:after="0" w:line="276" w:lineRule="auto"/>
            </w:pPr>
            <w:r/>
            <w:r>
              <w:rPr>
                <w:rFonts w:ascii="Times New Roman" w:hAnsi="Times New Roman" w:eastAsia="宋体"/>
                <w:b w:val="0"/>
                <w:color w:val="1F1F1F"/>
                <w:sz w:val="16"/>
              </w:rPr>
              <w:t>机房子账；PUE 管控；余热回收；机房制冷与园区冷站协调</w:t>
            </w:r>
          </w:p>
        </w:tc>
        <w:tc>
          <w:tcPr>
            <w:tcW w:type="dxa" w:w="1627"/>
          </w:tcPr>
          <w:p>
            <w:pPr>
              <w:spacing w:before="0" w:after="0" w:line="276" w:lineRule="auto"/>
            </w:pPr>
            <w:r/>
            <w:r>
              <w:rPr>
                <w:rFonts w:ascii="Times New Roman" w:hAnsi="Times New Roman" w:eastAsia="宋体"/>
                <w:b w:val="0"/>
                <w:color w:val="1F1F1F"/>
                <w:sz w:val="16"/>
              </w:rPr>
              <w:t>算力负荷可观测、可调节；算力普惠门户</w:t>
            </w:r>
          </w:p>
        </w:tc>
        <w:tc>
          <w:tcPr>
            <w:tcW w:type="dxa" w:w="1701"/>
          </w:tcPr>
          <w:p>
            <w:pPr>
              <w:spacing w:before="0" w:after="0" w:line="276" w:lineRule="auto"/>
            </w:pPr>
            <w:r/>
            <w:r>
              <w:rPr>
                <w:rFonts w:ascii="Times New Roman" w:hAnsi="Times New Roman" w:eastAsia="宋体"/>
                <w:b w:val="0"/>
                <w:color w:val="1F1F1F"/>
                <w:sz w:val="16"/>
              </w:rPr>
              <w:t>参观动线经运营数据展示，不进机房核心区</w:t>
            </w:r>
          </w:p>
        </w:tc>
      </w:tr>
      <w:tr>
        <w:trPr>
          <w:cantSplit/>
        </w:trPr>
        <w:tc>
          <w:tcPr>
            <w:tcW w:type="dxa" w:w="1107"/>
          </w:tcPr>
          <w:p>
            <w:pPr>
              <w:spacing w:before="0" w:after="0" w:line="276" w:lineRule="auto"/>
            </w:pPr>
            <w:r/>
            <w:r>
              <w:rPr>
                <w:rFonts w:ascii="Times New Roman" w:hAnsi="Times New Roman" w:eastAsia="宋体"/>
                <w:b w:val="0"/>
                <w:color w:val="1F1F1F"/>
                <w:sz w:val="16"/>
              </w:rPr>
              <w:t>能源中心区</w:t>
            </w:r>
          </w:p>
        </w:tc>
        <w:tc>
          <w:tcPr>
            <w:tcW w:type="dxa" w:w="1437"/>
          </w:tcPr>
          <w:p>
            <w:pPr>
              <w:spacing w:before="0" w:after="0" w:line="276" w:lineRule="auto"/>
            </w:pPr>
            <w:r/>
            <w:r>
              <w:rPr>
                <w:rFonts w:ascii="Times New Roman" w:hAnsi="Times New Roman" w:eastAsia="宋体"/>
                <w:b w:val="0"/>
                <w:color w:val="1F1F1F"/>
                <w:sz w:val="16"/>
              </w:rPr>
              <w:t>冷站、蓄冷、配电、光伏并网点</w:t>
            </w:r>
          </w:p>
        </w:tc>
        <w:tc>
          <w:tcPr>
            <w:tcW w:type="dxa" w:w="1115"/>
          </w:tcPr>
          <w:p>
            <w:pPr>
              <w:spacing w:before="0" w:after="0" w:line="276" w:lineRule="auto"/>
            </w:pPr>
            <w:r/>
            <w:r>
              <w:rPr>
                <w:rFonts w:ascii="Times New Roman" w:hAnsi="Times New Roman" w:eastAsia="宋体"/>
                <w:b w:val="0"/>
                <w:color w:val="1F1F1F"/>
                <w:sz w:val="16"/>
              </w:rPr>
              <w:t>园区能源枢纽</w:t>
            </w:r>
          </w:p>
        </w:tc>
        <w:tc>
          <w:tcPr>
            <w:tcW w:type="dxa" w:w="1857"/>
          </w:tcPr>
          <w:p>
            <w:pPr>
              <w:spacing w:before="0" w:after="0" w:line="276" w:lineRule="auto"/>
            </w:pPr>
            <w:r/>
            <w:r>
              <w:rPr>
                <w:rFonts w:ascii="Times New Roman" w:hAnsi="Times New Roman" w:eastAsia="宋体"/>
                <w:b w:val="0"/>
                <w:color w:val="1F1F1F"/>
                <w:sz w:val="16"/>
              </w:rPr>
              <w:t>冷站群控与调优；蓄冷策略接实时电价；柔性资源聚合</w:t>
            </w:r>
          </w:p>
        </w:tc>
        <w:tc>
          <w:tcPr>
            <w:tcW w:type="dxa" w:w="1627"/>
          </w:tcPr>
          <w:p>
            <w:pPr>
              <w:spacing w:before="0" w:after="0" w:line="276" w:lineRule="auto"/>
            </w:pPr>
            <w:r/>
            <w:r>
              <w:rPr>
                <w:rFonts w:ascii="Times New Roman" w:hAnsi="Times New Roman" w:eastAsia="宋体"/>
                <w:b w:val="0"/>
                <w:color w:val="1F1F1F"/>
                <w:sz w:val="16"/>
              </w:rPr>
              <w:t>边缘控制器与园外接口；调控与交易模型运行</w:t>
            </w:r>
          </w:p>
        </w:tc>
        <w:tc>
          <w:tcPr>
            <w:tcW w:type="dxa" w:w="1701"/>
          </w:tcPr>
          <w:p>
            <w:pPr>
              <w:spacing w:before="0" w:after="0" w:line="276" w:lineRule="auto"/>
            </w:pPr>
            <w:r/>
            <w:r>
              <w:rPr>
                <w:rFonts w:ascii="Times New Roman" w:hAnsi="Times New Roman" w:eastAsia="宋体"/>
                <w:b w:val="0"/>
                <w:color w:val="1F1F1F"/>
                <w:sz w:val="16"/>
              </w:rPr>
              <w:t>真实系统展项第一站</w:t>
            </w:r>
          </w:p>
        </w:tc>
      </w:tr>
      <w:tr>
        <w:trPr>
          <w:cantSplit/>
        </w:trPr>
        <w:tc>
          <w:tcPr>
            <w:tcW w:type="dxa" w:w="1107"/>
          </w:tcPr>
          <w:p>
            <w:pPr>
              <w:spacing w:before="0" w:after="0" w:line="276" w:lineRule="auto"/>
            </w:pPr>
            <w:r/>
            <w:r>
              <w:rPr>
                <w:rFonts w:ascii="Times New Roman" w:hAnsi="Times New Roman" w:eastAsia="宋体"/>
                <w:b w:val="0"/>
                <w:color w:val="1F1F1F"/>
                <w:sz w:val="16"/>
              </w:rPr>
              <w:t>公共空间与庭院区</w:t>
            </w:r>
          </w:p>
        </w:tc>
        <w:tc>
          <w:tcPr>
            <w:tcW w:type="dxa" w:w="1437"/>
          </w:tcPr>
          <w:p>
            <w:pPr>
              <w:spacing w:before="0" w:after="0" w:line="276" w:lineRule="auto"/>
            </w:pPr>
            <w:r/>
            <w:r>
              <w:rPr>
                <w:rFonts w:ascii="Times New Roman" w:hAnsi="Times New Roman" w:eastAsia="宋体"/>
                <w:b w:val="0"/>
                <w:color w:val="1F1F1F"/>
                <w:sz w:val="16"/>
              </w:rPr>
              <w:t>庭院、架空层、连廊、绿地、水体</w:t>
            </w:r>
          </w:p>
        </w:tc>
        <w:tc>
          <w:tcPr>
            <w:tcW w:type="dxa" w:w="1115"/>
          </w:tcPr>
          <w:p>
            <w:pPr>
              <w:spacing w:before="0" w:after="0" w:line="276" w:lineRule="auto"/>
            </w:pPr>
            <w:r/>
            <w:r>
              <w:rPr>
                <w:rFonts w:ascii="Times New Roman" w:hAnsi="Times New Roman" w:eastAsia="宋体"/>
                <w:b w:val="0"/>
                <w:color w:val="1F1F1F"/>
                <w:sz w:val="16"/>
              </w:rPr>
              <w:t>休憩、交流、展示</w:t>
            </w:r>
          </w:p>
        </w:tc>
        <w:tc>
          <w:tcPr>
            <w:tcW w:type="dxa" w:w="1857"/>
          </w:tcPr>
          <w:p>
            <w:pPr>
              <w:spacing w:before="0" w:after="0" w:line="276" w:lineRule="auto"/>
            </w:pPr>
            <w:r/>
            <w:r>
              <w:rPr>
                <w:rFonts w:ascii="Times New Roman" w:hAnsi="Times New Roman" w:eastAsia="宋体"/>
                <w:b w:val="0"/>
                <w:color w:val="1F1F1F"/>
                <w:sz w:val="16"/>
              </w:rPr>
              <w:t>海绵化与雨水回用；乔木与垂直绿化；通风廊道</w:t>
            </w:r>
          </w:p>
        </w:tc>
        <w:tc>
          <w:tcPr>
            <w:tcW w:type="dxa" w:w="1627"/>
          </w:tcPr>
          <w:p>
            <w:pPr>
              <w:spacing w:before="0" w:after="0" w:line="276" w:lineRule="auto"/>
            </w:pPr>
            <w:r/>
            <w:r>
              <w:rPr>
                <w:rFonts w:ascii="Times New Roman" w:hAnsi="Times New Roman" w:eastAsia="宋体"/>
                <w:b w:val="0"/>
                <w:color w:val="1F1F1F"/>
                <w:sz w:val="16"/>
              </w:rPr>
              <w:t>室外环境监测；预约与活动信息</w:t>
            </w:r>
          </w:p>
        </w:tc>
        <w:tc>
          <w:tcPr>
            <w:tcW w:type="dxa" w:w="1701"/>
          </w:tcPr>
          <w:p>
            <w:pPr>
              <w:spacing w:before="0" w:after="0" w:line="276" w:lineRule="auto"/>
            </w:pPr>
            <w:r/>
            <w:r>
              <w:rPr>
                <w:rFonts w:ascii="Times New Roman" w:hAnsi="Times New Roman" w:eastAsia="宋体"/>
                <w:b w:val="0"/>
                <w:color w:val="1F1F1F"/>
                <w:sz w:val="16"/>
              </w:rPr>
              <w:t>半开放空间；步道与休憩节点；双碳科普</w:t>
            </w:r>
          </w:p>
        </w:tc>
      </w:tr>
      <w:tr>
        <w:trPr>
          <w:cantSplit/>
        </w:trPr>
        <w:tc>
          <w:tcPr>
            <w:tcW w:type="dxa" w:w="1107"/>
          </w:tcPr>
          <w:p>
            <w:pPr>
              <w:spacing w:before="0" w:after="0" w:line="276" w:lineRule="auto"/>
            </w:pPr>
            <w:r/>
            <w:r>
              <w:rPr>
                <w:rFonts w:ascii="Times New Roman" w:hAnsi="Times New Roman" w:eastAsia="宋体"/>
                <w:b w:val="0"/>
                <w:color w:val="1F1F1F"/>
                <w:sz w:val="16"/>
              </w:rPr>
              <w:t>出入口与停车区</w:t>
            </w:r>
          </w:p>
        </w:tc>
        <w:tc>
          <w:tcPr>
            <w:tcW w:type="dxa" w:w="1437"/>
          </w:tcPr>
          <w:p>
            <w:pPr>
              <w:spacing w:before="0" w:after="0" w:line="276" w:lineRule="auto"/>
            </w:pPr>
            <w:r/>
            <w:r>
              <w:rPr>
                <w:rFonts w:ascii="Times New Roman" w:hAnsi="Times New Roman" w:eastAsia="宋体"/>
                <w:b w:val="0"/>
                <w:color w:val="1F1F1F"/>
                <w:sz w:val="16"/>
              </w:rPr>
              <w:t>门区、停车场、车棚</w:t>
            </w:r>
          </w:p>
        </w:tc>
        <w:tc>
          <w:tcPr>
            <w:tcW w:type="dxa" w:w="1115"/>
          </w:tcPr>
          <w:p>
            <w:pPr>
              <w:spacing w:before="0" w:after="0" w:line="276" w:lineRule="auto"/>
            </w:pPr>
            <w:r/>
            <w:r>
              <w:rPr>
                <w:rFonts w:ascii="Times New Roman" w:hAnsi="Times New Roman" w:eastAsia="宋体"/>
                <w:b w:val="0"/>
                <w:color w:val="1F1F1F"/>
                <w:sz w:val="16"/>
              </w:rPr>
              <w:t>出入、停车、接待</w:t>
            </w:r>
          </w:p>
        </w:tc>
        <w:tc>
          <w:tcPr>
            <w:tcW w:type="dxa" w:w="1857"/>
          </w:tcPr>
          <w:p>
            <w:pPr>
              <w:spacing w:before="0" w:after="0" w:line="276" w:lineRule="auto"/>
            </w:pPr>
            <w:r/>
            <w:r>
              <w:rPr>
                <w:rFonts w:ascii="Times New Roman" w:hAnsi="Times New Roman" w:eastAsia="宋体"/>
                <w:b w:val="0"/>
                <w:color w:val="1F1F1F"/>
                <w:sz w:val="16"/>
              </w:rPr>
              <w:t>车棚光伏；充电桩与 V2G 试点</w:t>
            </w:r>
          </w:p>
        </w:tc>
        <w:tc>
          <w:tcPr>
            <w:tcW w:type="dxa" w:w="1627"/>
          </w:tcPr>
          <w:p>
            <w:pPr>
              <w:spacing w:before="0" w:after="0" w:line="276" w:lineRule="auto"/>
            </w:pPr>
            <w:r/>
            <w:r>
              <w:rPr>
                <w:rFonts w:ascii="Times New Roman" w:hAnsi="Times New Roman" w:eastAsia="宋体"/>
                <w:b w:val="0"/>
                <w:color w:val="1F1F1F"/>
                <w:sz w:val="16"/>
              </w:rPr>
              <w:t>访客预约与无感通行；充电资源分时共享</w:t>
            </w:r>
          </w:p>
        </w:tc>
        <w:tc>
          <w:tcPr>
            <w:tcW w:type="dxa" w:w="1701"/>
          </w:tcPr>
          <w:p>
            <w:pPr>
              <w:spacing w:before="0" w:after="0" w:line="276" w:lineRule="auto"/>
            </w:pPr>
            <w:r/>
            <w:r>
              <w:rPr>
                <w:rFonts w:ascii="Times New Roman" w:hAnsi="Times New Roman" w:eastAsia="宋体"/>
                <w:b w:val="0"/>
                <w:color w:val="1F1F1F"/>
                <w:sz w:val="16"/>
              </w:rPr>
              <w:t>无障碍入口；访客接待与动线起点</w:t>
            </w:r>
          </w:p>
        </w:tc>
      </w:tr>
      <w:tr>
        <w:trPr>
          <w:cantSplit/>
        </w:trPr>
        <w:tc>
          <w:tcPr>
            <w:tcW w:type="dxa" w:w="1107"/>
          </w:tcPr>
          <w:p>
            <w:pPr>
              <w:spacing w:before="0" w:after="0" w:line="276" w:lineRule="auto"/>
            </w:pPr>
            <w:r/>
            <w:r>
              <w:rPr>
                <w:rFonts w:ascii="Times New Roman" w:hAnsi="Times New Roman" w:eastAsia="宋体"/>
                <w:b w:val="0"/>
                <w:color w:val="1F1F1F"/>
                <w:sz w:val="16"/>
              </w:rPr>
              <w:t>园中园试点区</w:t>
            </w:r>
          </w:p>
        </w:tc>
        <w:tc>
          <w:tcPr>
            <w:tcW w:type="dxa" w:w="1437"/>
          </w:tcPr>
          <w:p>
            <w:pPr>
              <w:spacing w:before="0" w:after="0" w:line="276" w:lineRule="auto"/>
            </w:pPr>
            <w:r/>
            <w:r>
              <w:rPr>
                <w:rFonts w:ascii="Times New Roman" w:hAnsi="Times New Roman" w:eastAsia="宋体"/>
                <w:b w:val="0"/>
                <w:color w:val="1F1F1F"/>
                <w:sz w:val="16"/>
              </w:rPr>
              <w:t>1 号楼后空地及邻近楼宇【待核】</w:t>
            </w:r>
          </w:p>
        </w:tc>
        <w:tc>
          <w:tcPr>
            <w:tcW w:type="dxa" w:w="1115"/>
          </w:tcPr>
          <w:p>
            <w:pPr>
              <w:spacing w:before="0" w:after="0" w:line="276" w:lineRule="auto"/>
            </w:pPr>
            <w:r/>
            <w:r>
              <w:rPr>
                <w:rFonts w:ascii="Times New Roman" w:hAnsi="Times New Roman" w:eastAsia="宋体"/>
                <w:b w:val="0"/>
                <w:color w:val="1F1F1F"/>
                <w:sz w:val="16"/>
              </w:rPr>
              <w:t>先行验证</w:t>
            </w:r>
          </w:p>
        </w:tc>
        <w:tc>
          <w:tcPr>
            <w:tcW w:type="dxa" w:w="1857"/>
          </w:tcPr>
          <w:p>
            <w:pPr>
              <w:spacing w:before="0" w:after="0" w:line="276" w:lineRule="auto"/>
            </w:pPr>
            <w:r/>
            <w:r>
              <w:rPr>
                <w:rFonts w:ascii="Times New Roman" w:hAnsi="Times New Roman" w:eastAsia="宋体"/>
                <w:b w:val="0"/>
                <w:color w:val="1F1F1F"/>
                <w:sz w:val="16"/>
              </w:rPr>
              <w:t>冷站末端调优、微气候试点</w:t>
            </w:r>
          </w:p>
        </w:tc>
        <w:tc>
          <w:tcPr>
            <w:tcW w:type="dxa" w:w="1627"/>
          </w:tcPr>
          <w:p>
            <w:pPr>
              <w:spacing w:before="0" w:after="0" w:line="276" w:lineRule="auto"/>
            </w:pPr>
            <w:r/>
            <w:r>
              <w:rPr>
                <w:rFonts w:ascii="Times New Roman" w:hAnsi="Times New Roman" w:eastAsia="宋体"/>
                <w:b w:val="0"/>
                <w:color w:val="1F1F1F"/>
                <w:sz w:val="16"/>
              </w:rPr>
              <w:t>平台首批功能上线</w:t>
            </w:r>
          </w:p>
        </w:tc>
        <w:tc>
          <w:tcPr>
            <w:tcW w:type="dxa" w:w="1701"/>
          </w:tcPr>
          <w:p>
            <w:pPr>
              <w:spacing w:before="0" w:after="0" w:line="276" w:lineRule="auto"/>
            </w:pPr>
            <w:r/>
            <w:r>
              <w:rPr>
                <w:rFonts w:ascii="Times New Roman" w:hAnsi="Times New Roman" w:eastAsia="宋体"/>
                <w:b w:val="0"/>
                <w:color w:val="1F1F1F"/>
                <w:sz w:val="16"/>
              </w:rPr>
              <w:t>环境监测与公示、碳普惠首批用户</w:t>
            </w:r>
          </w:p>
        </w:tc>
      </w:tr>
    </w:tbl>
    <w:p>
      <w:pPr>
        <w:spacing w:after="80"/>
      </w:pPr>
    </w:p>
    <w:p>
      <w:pPr>
        <w:pStyle w:val="Heading2"/>
        <w:keepNext/>
        <w:spacing w:before="240" w:after="120" w:line="360" w:lineRule="auto"/>
      </w:pPr>
      <w:r>
        <w:rPr>
          <w:rFonts w:ascii="Times New Roman" w:hAnsi="Times New Roman" w:eastAsia="黑体"/>
          <w:b w:val="0"/>
          <w:color w:val="1F1F1F"/>
          <w:sz w:val="32"/>
        </w:rPr>
        <w:t>三、能源系统布局</w:t>
      </w:r>
    </w:p>
    <w:p>
      <w:pPr>
        <w:spacing w:before="0" w:after="120" w:line="360" w:lineRule="auto"/>
        <w:ind w:firstLine="480"/>
      </w:pPr>
      <w:r>
        <w:rPr>
          <w:rFonts w:ascii="Times New Roman" w:hAnsi="Times New Roman" w:eastAsia="仿宋_GB2312"/>
          <w:b w:val="0"/>
          <w:color w:val="1F1F1F"/>
          <w:sz w:val="32"/>
        </w:rPr>
        <w:t>园区能源系统按“源—网—荷—储—市场”五层布置：</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源。</w:t>
      </w:r>
      <w:r>
        <w:rPr>
          <w:rFonts w:ascii="Times New Roman" w:hAnsi="Times New Roman" w:eastAsia="仿宋_GB2312"/>
          <w:b w:val="0"/>
          <w:color w:val="1F1F1F"/>
          <w:sz w:val="32"/>
        </w:rPr>
        <w:t xml:space="preserve"> 本地光伏布置于屋顶、露台、车棚，立面不布置；绿电交易作为外部绿色电源，接入园区碳账。</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网。</w:t>
      </w:r>
      <w:r>
        <w:rPr>
          <w:rFonts w:ascii="Times New Roman" w:hAnsi="Times New Roman" w:eastAsia="仿宋_GB2312"/>
          <w:b w:val="0"/>
          <w:color w:val="1F1F1F"/>
          <w:sz w:val="32"/>
        </w:rPr>
        <w:t xml:space="preserve"> 维持现有园区配电格局，在充电与光伏集中的停车区研究直流配电试点，不作全园改造。</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荷。</w:t>
      </w:r>
      <w:r>
        <w:rPr>
          <w:rFonts w:ascii="Times New Roman" w:hAnsi="Times New Roman" w:eastAsia="仿宋_GB2312"/>
          <w:b w:val="0"/>
          <w:color w:val="1F1F1F"/>
          <w:sz w:val="32"/>
        </w:rPr>
        <w:t xml:space="preserve"> 冷站、数据机房、办公楼群三类主要负荷分别计量、分别建模；办公末端负荷通过预约联动实现“该用才用”。</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储。</w:t>
      </w:r>
      <w:r>
        <w:rPr>
          <w:rFonts w:ascii="Times New Roman" w:hAnsi="Times New Roman" w:eastAsia="仿宋_GB2312"/>
          <w:b w:val="0"/>
          <w:color w:val="1F1F1F"/>
          <w:sz w:val="32"/>
        </w:rPr>
        <w:t xml:space="preserve"> 以既有冰蓄冷为主，电化学储能与 V2G 作为可选项随实时电价细则落地后比选。</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市场。</w:t>
      </w:r>
      <w:r>
        <w:rPr>
          <w:rFonts w:ascii="Times New Roman" w:hAnsi="Times New Roman" w:eastAsia="仿宋_GB2312"/>
          <w:b w:val="0"/>
          <w:color w:val="1F1F1F"/>
          <w:sz w:val="32"/>
        </w:rPr>
        <w:t xml:space="preserve"> 柔性资源池统一经能源中心区接口接入实时电价、需求响应与绿电交易，形成园区级调控与交易模型。</w:t>
      </w:r>
    </w:p>
    <w:p>
      <w:pPr>
        <w:spacing w:before="0" w:after="120" w:line="360" w:lineRule="auto"/>
        <w:ind w:firstLine="480"/>
      </w:pPr>
      <w:r>
        <w:rPr>
          <w:rFonts w:ascii="Times New Roman" w:hAnsi="Times New Roman" w:eastAsia="仿宋_GB2312"/>
          <w:b w:val="0"/>
          <w:color w:val="1F1F1F"/>
          <w:sz w:val="32"/>
        </w:rPr>
        <w:t>设施落位原则：不新增独立能源建筑；新增设备优先利用既有机房、屋顶与车棚；与风貌保护冲突的布置一律不采用。</w:t>
      </w:r>
    </w:p>
    <w:p>
      <w:pPr>
        <w:pStyle w:val="Heading2"/>
        <w:keepNext/>
        <w:spacing w:before="240" w:after="120" w:line="360" w:lineRule="auto"/>
      </w:pPr>
      <w:r>
        <w:rPr>
          <w:rFonts w:ascii="Times New Roman" w:hAnsi="Times New Roman" w:eastAsia="黑体"/>
          <w:b w:val="0"/>
          <w:color w:val="1F1F1F"/>
          <w:sz w:val="32"/>
        </w:rPr>
        <w:t>四、碳管理布局</w:t>
      </w:r>
    </w:p>
    <w:p>
      <w:pPr>
        <w:spacing w:before="0" w:after="120" w:line="360" w:lineRule="auto"/>
        <w:ind w:firstLine="480"/>
      </w:pPr>
      <w:r>
        <w:rPr>
          <w:rFonts w:ascii="Times New Roman" w:hAnsi="Times New Roman" w:eastAsia="仿宋_GB2312"/>
          <w:b w:val="0"/>
          <w:color w:val="1F1F1F"/>
          <w:sz w:val="32"/>
        </w:rPr>
        <w:t>碳管理按“一本总账、两个子账、三级普惠账”布置。总账覆盖全园，以 GB 55015 为基准核算；办公区与数据机房两个子账分别归集用能与减碳量；个人—团队—园区三级碳普惠账把员工低碳行为聚合进园区总账。碳账数据的采集点与四级计量点同址布置，计量口径同时满足碳核算与电力交易结算。</w:t>
      </w:r>
    </w:p>
    <w:p>
      <w:pPr>
        <w:pStyle w:val="Heading2"/>
        <w:keepNext/>
        <w:spacing w:before="240" w:after="120" w:line="360" w:lineRule="auto"/>
      </w:pPr>
      <w:r>
        <w:rPr>
          <w:rFonts w:ascii="Times New Roman" w:hAnsi="Times New Roman" w:eastAsia="黑体"/>
          <w:b w:val="0"/>
          <w:color w:val="1F1F1F"/>
          <w:sz w:val="32"/>
        </w:rPr>
        <w:t>五、智慧设施布局</w:t>
      </w:r>
    </w:p>
    <w:p>
      <w:pPr>
        <w:spacing w:before="0" w:after="120" w:line="360" w:lineRule="auto"/>
        <w:ind w:firstLine="480"/>
      </w:pPr>
      <w:r>
        <w:rPr>
          <w:rFonts w:ascii="Times New Roman" w:hAnsi="Times New Roman" w:eastAsia="仿宋_GB2312"/>
          <w:b w:val="0"/>
          <w:color w:val="1F1F1F"/>
          <w:sz w:val="32"/>
        </w:rPr>
        <w:t>智慧设施按“一个平台、两类功能、四级计量、一个运营中心”布置：</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一个平台。</w:t>
      </w:r>
      <w:r>
        <w:rPr>
          <w:rFonts w:ascii="Times New Roman" w:hAnsi="Times New Roman" w:eastAsia="仿宋_GB2312"/>
          <w:b w:val="0"/>
          <w:color w:val="1F1F1F"/>
          <w:sz w:val="32"/>
        </w:rPr>
        <w:t xml:space="preserve"> 园区统一平台，本地化部署，数据主权归南网；园内侧承接办公行为与设备联动、设备与工单、资源预约、碳普惠记账；园外侧承接电网互动、实时电价与交易接口、碳核算与绿电溯源。</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四级计量。</w:t>
      </w:r>
      <w:r>
        <w:rPr>
          <w:rFonts w:ascii="Times New Roman" w:hAnsi="Times New Roman" w:eastAsia="仿宋_GB2312"/>
          <w:b w:val="0"/>
          <w:color w:val="1F1F1F"/>
          <w:sz w:val="32"/>
        </w:rPr>
        <w:t xml:space="preserve"> 地块—楼宇—区域—楼层四级计量点全覆盖，补齐分项计量缺口。</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边缘控制。</w:t>
      </w:r>
      <w:r>
        <w:rPr>
          <w:rFonts w:ascii="Times New Roman" w:hAnsi="Times New Roman" w:eastAsia="仿宋_GB2312"/>
          <w:b w:val="0"/>
          <w:color w:val="1F1F1F"/>
          <w:sz w:val="32"/>
        </w:rPr>
        <w:t xml:space="preserve"> 冷站、机房、各楼宇设边缘控制器，承担本地闭环控制与数据预处理，保证网络异常时基本运行。</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运营中心。</w:t>
      </w:r>
      <w:r>
        <w:rPr>
          <w:rFonts w:ascii="Times New Roman" w:hAnsi="Times New Roman" w:eastAsia="仿宋_GB2312"/>
          <w:b w:val="0"/>
          <w:color w:val="1F1F1F"/>
          <w:sz w:val="32"/>
        </w:rPr>
        <w:t xml:space="preserve"> 利用既有房间设置智能运营中心，兼作真实系统展项的第一站，不新建展馆、不做大屏秀。</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网络安全分区。</w:t>
      </w:r>
      <w:r>
        <w:rPr>
          <w:rFonts w:ascii="Times New Roman" w:hAnsi="Times New Roman" w:eastAsia="仿宋_GB2312"/>
          <w:b w:val="0"/>
          <w:color w:val="1F1F1F"/>
          <w:sz w:val="32"/>
        </w:rPr>
        <w:t xml:space="preserve"> 办公网、设备控制网与园外接口分区隔离，安全边界在平台总体设计中确定【待核】。</w:t>
      </w:r>
    </w:p>
    <w:p>
      <w:pPr>
        <w:spacing w:before="0" w:after="120" w:line="360" w:lineRule="auto"/>
        <w:ind w:firstLine="480"/>
      </w:pPr>
      <w:r>
        <w:rPr>
          <w:rFonts w:ascii="Times New Roman" w:hAnsi="Times New Roman" w:eastAsia="仿宋_GB2312"/>
          <w:b w:val="0"/>
          <w:color w:val="1F1F1F"/>
          <w:sz w:val="32"/>
        </w:rPr>
        <w:t>系统架构示意如下。</w:t>
      </w:r>
    </w:p>
    <w:p>
      <w:pPr>
        <w:spacing w:before="0" w:after="80" w:line="360" w:lineRule="auto"/>
        <w:jc w:val="center"/>
      </w:pPr>
      <w:r>
        <w:drawing>
          <wp:inline xmlns:a="http://schemas.openxmlformats.org/drawingml/2006/main" xmlns:pic="http://schemas.openxmlformats.org/drawingml/2006/picture">
            <wp:extent cx="5400000" cy="1131503"/>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400000" cy="1131503"/>
                    </a:xfrm>
                    <a:prstGeom prst="rect"/>
                  </pic:spPr>
                </pic:pic>
              </a:graphicData>
            </a:graphic>
          </wp:inline>
        </w:drawing>
      </w:r>
    </w:p>
    <w:p>
      <w:pPr>
        <w:spacing w:before="0" w:after="200" w:line="360" w:lineRule="auto"/>
        <w:jc w:val="center"/>
      </w:pPr>
      <w:r>
        <w:rPr>
          <w:rFonts w:ascii="Times New Roman" w:hAnsi="Times New Roman" w:eastAsia="宋体"/>
          <w:color w:val="1F1F1F"/>
          <w:sz w:val="21"/>
        </w:rPr>
        <w:t>图 4-2 统一平台系统架构示意</w:t>
      </w:r>
    </w:p>
    <w:p>
      <w:pPr>
        <w:pStyle w:val="Heading2"/>
        <w:keepNext/>
        <w:spacing w:before="240" w:after="120" w:line="360" w:lineRule="auto"/>
      </w:pPr>
      <w:r>
        <w:rPr>
          <w:rFonts w:ascii="Times New Roman" w:hAnsi="Times New Roman" w:eastAsia="黑体"/>
          <w:b w:val="0"/>
          <w:color w:val="1F1F1F"/>
          <w:sz w:val="32"/>
        </w:rPr>
        <w:t>六、绿色生态与公共空间布局</w:t>
      </w:r>
    </w:p>
    <w:p>
      <w:pPr>
        <w:spacing w:before="0" w:after="120" w:line="360" w:lineRule="auto"/>
        <w:ind w:firstLine="480"/>
      </w:pPr>
      <w:r>
        <w:rPr>
          <w:rFonts w:ascii="Times New Roman" w:hAnsi="Times New Roman" w:eastAsia="仿宋_GB2312"/>
          <w:b w:val="0"/>
          <w:color w:val="1F1F1F"/>
          <w:sz w:val="32"/>
        </w:rPr>
        <w:t>以庭院、架空层、连廊、绿地串联形成连续的半开放空间与步行系统；组织顺应主导风向的通风廊道，配合乔木与遮阳设施改善夏季体感；道路与广场按海绵化改造，雨水与中水回用于绿化与水景；公共空间同时承担休憩、健身、活动与双碳科普功能。所有改造在既有风貌框架内进行，不改变建筑外立面。</w:t>
      </w:r>
    </w:p>
    <w:p>
      <w:pPr>
        <w:pStyle w:val="Heading1"/>
        <w:keepNext/>
        <w:pageBreakBefore/>
        <w:spacing w:before="360" w:after="240" w:line="360" w:lineRule="auto"/>
        <w:jc w:val="center"/>
      </w:pPr>
      <w:r>
        <w:rPr>
          <w:rFonts w:ascii="Times New Roman" w:hAnsi="Times New Roman" w:eastAsia="黑体"/>
          <w:b w:val="0"/>
          <w:color w:val="1F1F1F"/>
          <w:sz w:val="36"/>
        </w:rPr>
        <w:t>第五章 专项规划</w:t>
      </w:r>
    </w:p>
    <w:p>
      <w:pPr>
        <w:pStyle w:val="Heading2"/>
        <w:keepNext/>
        <w:spacing w:before="240" w:after="120" w:line="360" w:lineRule="auto"/>
      </w:pPr>
      <w:r>
        <w:rPr>
          <w:rFonts w:ascii="Times New Roman" w:hAnsi="Times New Roman" w:eastAsia="黑体"/>
          <w:b w:val="0"/>
          <w:color w:val="1F1F1F"/>
          <w:sz w:val="32"/>
        </w:rPr>
        <w:t>一、近零碳与能源专项</w:t>
      </w:r>
    </w:p>
    <w:p>
      <w:pPr>
        <w:spacing w:before="0" w:after="120" w:line="360" w:lineRule="auto"/>
        <w:ind w:firstLine="480"/>
      </w:pPr>
      <w:r>
        <w:rPr>
          <w:rFonts w:ascii="Times New Roman" w:hAnsi="Times New Roman" w:eastAsia="仿宋_GB2312"/>
          <w:b w:val="0"/>
          <w:color w:val="1F1F1F"/>
          <w:sz w:val="32"/>
        </w:rPr>
        <w:t>本专项承接绿色与高效两个要素，是近零碳目标的主体路径。</w:t>
      </w:r>
    </w:p>
    <w:p>
      <w:pPr>
        <w:spacing w:before="0" w:after="120" w:line="360" w:lineRule="auto"/>
        <w:ind w:firstLine="480"/>
      </w:pPr>
      <w:r>
        <w:rPr>
          <w:rFonts w:ascii="Times New Roman" w:hAnsi="Times New Roman" w:eastAsia="仿宋_GB2312"/>
          <w:b/>
          <w:color w:val="1F1F1F"/>
          <w:sz w:val="32"/>
        </w:rPr>
        <w:t>（一）碳账本与核算体系。</w:t>
      </w:r>
      <w:r>
        <w:rPr>
          <w:rFonts w:ascii="Times New Roman" w:hAnsi="Times New Roman" w:eastAsia="仿宋_GB2312"/>
          <w:b w:val="0"/>
          <w:color w:val="1F1F1F"/>
          <w:sz w:val="32"/>
        </w:rPr>
        <w:t xml:space="preserve"> 建立园区碳账本，基准年与基准排放按 GB 55015 及《零碳建筑技术标准》口径确定【待核】；总账加两个子账的结构见第四章。核算边界规则、数据机房进出账规则、绿电与抵消计入规则书面化，形成《园区碳核算规则》并每年复核。碳账本由统一平台自动生成，人工复核后公示。</w:t>
      </w:r>
    </w:p>
    <w:p>
      <w:pPr>
        <w:spacing w:before="0" w:after="120" w:line="360" w:lineRule="auto"/>
        <w:ind w:firstLine="480"/>
      </w:pPr>
      <w:r>
        <w:rPr>
          <w:rFonts w:ascii="Times New Roman" w:hAnsi="Times New Roman" w:eastAsia="仿宋_GB2312"/>
          <w:b/>
          <w:color w:val="1F1F1F"/>
          <w:sz w:val="32"/>
        </w:rPr>
        <w:t>（二）降碳路径与抵消结构。</w:t>
      </w:r>
      <w:r>
        <w:rPr>
          <w:rFonts w:ascii="Times New Roman" w:hAnsi="Times New Roman" w:eastAsia="仿宋_GB2312"/>
          <w:b w:val="0"/>
          <w:color w:val="1F1F1F"/>
          <w:sz w:val="32"/>
        </w:rPr>
        <w:t xml:space="preserve"> 降碳按四步安排：第一步需求侧节能，以冷站与机电系统、末端联动为主；第二步本地可再生能源，屋顶、露台、车棚光伏应装尽装；第三步绿电交易，按近零碳档缺口采购，来源可溯源；第四步合规抵消，控制在标准上限之内。抵消结构方案在基线形成后编制，随年度碳账更新。</w:t>
      </w:r>
    </w:p>
    <w:p>
      <w:pPr>
        <w:spacing w:before="0" w:after="120" w:line="360" w:lineRule="auto"/>
        <w:ind w:firstLine="480"/>
      </w:pPr>
      <w:r>
        <w:rPr>
          <w:rFonts w:ascii="Times New Roman" w:hAnsi="Times New Roman" w:eastAsia="仿宋_GB2312"/>
          <w:b/>
          <w:color w:val="1F1F1F"/>
          <w:sz w:val="32"/>
        </w:rPr>
        <w:t>（三）冷站与机电系统。</w:t>
      </w:r>
      <w:r>
        <w:rPr>
          <w:rFonts w:ascii="Times New Roman" w:hAnsi="Times New Roman" w:eastAsia="仿宋_GB2312"/>
          <w:b w:val="0"/>
          <w:color w:val="1F1F1F"/>
          <w:sz w:val="32"/>
        </w:rPr>
        <w:t xml:space="preserve"> 以“诊断—分档—改造—调优”为序：</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81"/>
        <w:gridCol w:w="5315"/>
        <w:gridCol w:w="2148"/>
      </w:tblGrid>
      <w:tr>
        <w:trPr>
          <w:cantSplit/>
          <w:tblHeader/>
        </w:trPr>
        <w:tc>
          <w:tcPr>
            <w:tcW w:type="dxa" w:w="1381"/>
            <w:shd w:val="clear" w:color="auto" w:fill="E7EEF3"/>
          </w:tcPr>
          <w:p>
            <w:pPr>
              <w:keepNext/>
              <w:spacing w:before="0" w:after="0" w:line="276" w:lineRule="auto"/>
              <w:jc w:val="center"/>
            </w:pPr>
            <w:r/>
            <w:r>
              <w:rPr>
                <w:rFonts w:ascii="Times New Roman" w:hAnsi="Times New Roman" w:eastAsia="宋体"/>
                <w:b/>
                <w:color w:val="1F1F1F"/>
                <w:sz w:val="18"/>
              </w:rPr>
              <w:t>内容</w:t>
            </w:r>
          </w:p>
        </w:tc>
        <w:tc>
          <w:tcPr>
            <w:tcW w:type="dxa" w:w="5315"/>
            <w:shd w:val="clear" w:color="auto" w:fill="E7EEF3"/>
          </w:tcPr>
          <w:p>
            <w:pPr>
              <w:keepNext/>
              <w:spacing w:before="0" w:after="0" w:line="276" w:lineRule="auto"/>
              <w:jc w:val="center"/>
            </w:pPr>
            <w:r/>
            <w:r>
              <w:rPr>
                <w:rFonts w:ascii="Times New Roman" w:hAnsi="Times New Roman" w:eastAsia="宋体"/>
                <w:b/>
                <w:color w:val="1F1F1F"/>
                <w:sz w:val="18"/>
              </w:rPr>
              <w:t>规划要求</w:t>
            </w:r>
          </w:p>
        </w:tc>
        <w:tc>
          <w:tcPr>
            <w:tcW w:type="dxa" w:w="2148"/>
            <w:shd w:val="clear" w:color="auto" w:fill="E7EEF3"/>
          </w:tcPr>
          <w:p>
            <w:pPr>
              <w:keepNext/>
              <w:spacing w:before="0" w:after="0" w:line="276" w:lineRule="auto"/>
              <w:jc w:val="center"/>
            </w:pPr>
            <w:r/>
            <w:r>
              <w:rPr>
                <w:rFonts w:ascii="Times New Roman" w:hAnsi="Times New Roman" w:eastAsia="宋体"/>
                <w:b/>
                <w:color w:val="1F1F1F"/>
                <w:sz w:val="18"/>
              </w:rPr>
              <w:t>系统与位置</w:t>
            </w:r>
          </w:p>
        </w:tc>
      </w:tr>
      <w:tr>
        <w:trPr>
          <w:cantSplit/>
        </w:trPr>
        <w:tc>
          <w:tcPr>
            <w:tcW w:type="dxa" w:w="1381"/>
          </w:tcPr>
          <w:p>
            <w:pPr>
              <w:spacing w:before="0" w:after="0" w:line="276" w:lineRule="auto"/>
            </w:pPr>
            <w:r/>
            <w:r>
              <w:rPr>
                <w:rFonts w:ascii="Times New Roman" w:hAnsi="Times New Roman" w:eastAsia="宋体"/>
                <w:b w:val="0"/>
                <w:color w:val="1F1F1F"/>
                <w:sz w:val="18"/>
              </w:rPr>
              <w:t>深度诊断</w:t>
            </w:r>
          </w:p>
        </w:tc>
        <w:tc>
          <w:tcPr>
            <w:tcW w:type="dxa" w:w="5315"/>
          </w:tcPr>
          <w:p>
            <w:pPr>
              <w:spacing w:before="0" w:after="0" w:line="276" w:lineRule="auto"/>
            </w:pPr>
            <w:r/>
            <w:r>
              <w:rPr>
                <w:rFonts w:ascii="Times New Roman" w:hAnsi="Times New Roman" w:eastAsia="宋体"/>
                <w:b w:val="0"/>
                <w:color w:val="1F1F1F"/>
                <w:sz w:val="18"/>
              </w:rPr>
              <w:t>对冷机、水泵、冷却塔、输配管网、末端实测诊断，形成分项能耗基线与设备健康度分档</w:t>
            </w:r>
          </w:p>
        </w:tc>
        <w:tc>
          <w:tcPr>
            <w:tcW w:type="dxa" w:w="2148"/>
          </w:tcPr>
          <w:p>
            <w:pPr>
              <w:spacing w:before="0" w:after="0" w:line="276" w:lineRule="auto"/>
            </w:pPr>
            <w:r/>
            <w:r>
              <w:rPr>
                <w:rFonts w:ascii="Times New Roman" w:hAnsi="Times New Roman" w:eastAsia="宋体"/>
                <w:b w:val="0"/>
                <w:color w:val="1F1F1F"/>
                <w:sz w:val="18"/>
              </w:rPr>
              <w:t>能源中心区冷站；各楼宇末端抽样</w:t>
            </w:r>
          </w:p>
        </w:tc>
      </w:tr>
      <w:tr>
        <w:trPr>
          <w:cantSplit/>
        </w:trPr>
        <w:tc>
          <w:tcPr>
            <w:tcW w:type="dxa" w:w="1381"/>
          </w:tcPr>
          <w:p>
            <w:pPr>
              <w:spacing w:before="0" w:after="0" w:line="276" w:lineRule="auto"/>
            </w:pPr>
            <w:r/>
            <w:r>
              <w:rPr>
                <w:rFonts w:ascii="Times New Roman" w:hAnsi="Times New Roman" w:eastAsia="宋体"/>
                <w:b w:val="0"/>
                <w:color w:val="1F1F1F"/>
                <w:sz w:val="18"/>
              </w:rPr>
              <w:t>群控与调优</w:t>
            </w:r>
          </w:p>
        </w:tc>
        <w:tc>
          <w:tcPr>
            <w:tcW w:type="dxa" w:w="5315"/>
          </w:tcPr>
          <w:p>
            <w:pPr>
              <w:spacing w:before="0" w:after="0" w:line="276" w:lineRule="auto"/>
            </w:pPr>
            <w:r/>
            <w:r>
              <w:rPr>
                <w:rFonts w:ascii="Times New Roman" w:hAnsi="Times New Roman" w:eastAsia="宋体"/>
                <w:b w:val="0"/>
                <w:color w:val="1F1F1F"/>
                <w:sz w:val="18"/>
              </w:rPr>
              <w:t>多机组优化加载、变频、大温差、末端联动；负荷预测驱动的运行调优；不换主机</w:t>
            </w:r>
          </w:p>
        </w:tc>
        <w:tc>
          <w:tcPr>
            <w:tcW w:type="dxa" w:w="2148"/>
          </w:tcPr>
          <w:p>
            <w:pPr>
              <w:spacing w:before="0" w:after="0" w:line="276" w:lineRule="auto"/>
            </w:pPr>
            <w:r/>
            <w:r>
              <w:rPr>
                <w:rFonts w:ascii="Times New Roman" w:hAnsi="Times New Roman" w:eastAsia="宋体"/>
                <w:b w:val="0"/>
                <w:color w:val="1F1F1F"/>
                <w:sz w:val="18"/>
              </w:rPr>
              <w:t>冷站群控系统；平台调优模型</w:t>
            </w:r>
          </w:p>
        </w:tc>
      </w:tr>
      <w:tr>
        <w:trPr>
          <w:cantSplit/>
        </w:trPr>
        <w:tc>
          <w:tcPr>
            <w:tcW w:type="dxa" w:w="1381"/>
          </w:tcPr>
          <w:p>
            <w:pPr>
              <w:spacing w:before="0" w:after="0" w:line="276" w:lineRule="auto"/>
            </w:pPr>
            <w:r/>
            <w:r>
              <w:rPr>
                <w:rFonts w:ascii="Times New Roman" w:hAnsi="Times New Roman" w:eastAsia="宋体"/>
                <w:b w:val="0"/>
                <w:color w:val="1F1F1F"/>
                <w:sz w:val="18"/>
              </w:rPr>
              <w:t>水系统</w:t>
            </w:r>
          </w:p>
        </w:tc>
        <w:tc>
          <w:tcPr>
            <w:tcW w:type="dxa" w:w="5315"/>
          </w:tcPr>
          <w:p>
            <w:pPr>
              <w:spacing w:before="0" w:after="0" w:line="276" w:lineRule="auto"/>
            </w:pPr>
            <w:r/>
            <w:r>
              <w:rPr>
                <w:rFonts w:ascii="Times New Roman" w:hAnsi="Times New Roman" w:eastAsia="宋体"/>
                <w:b w:val="0"/>
                <w:color w:val="1F1F1F"/>
                <w:sz w:val="18"/>
              </w:rPr>
              <w:t>水泵变频与水力平衡；冷却塔运行优化</w:t>
            </w:r>
          </w:p>
        </w:tc>
        <w:tc>
          <w:tcPr>
            <w:tcW w:type="dxa" w:w="2148"/>
          </w:tcPr>
          <w:p>
            <w:pPr>
              <w:spacing w:before="0" w:after="0" w:line="276" w:lineRule="auto"/>
            </w:pPr>
            <w:r/>
            <w:r>
              <w:rPr>
                <w:rFonts w:ascii="Times New Roman" w:hAnsi="Times New Roman" w:eastAsia="宋体"/>
                <w:b w:val="0"/>
                <w:color w:val="1F1F1F"/>
                <w:sz w:val="18"/>
              </w:rPr>
              <w:t>冷站输配系统</w:t>
            </w:r>
          </w:p>
        </w:tc>
      </w:tr>
      <w:tr>
        <w:trPr>
          <w:cantSplit/>
        </w:trPr>
        <w:tc>
          <w:tcPr>
            <w:tcW w:type="dxa" w:w="1381"/>
          </w:tcPr>
          <w:p>
            <w:pPr>
              <w:spacing w:before="0" w:after="0" w:line="276" w:lineRule="auto"/>
            </w:pPr>
            <w:r/>
            <w:r>
              <w:rPr>
                <w:rFonts w:ascii="Times New Roman" w:hAnsi="Times New Roman" w:eastAsia="宋体"/>
                <w:b w:val="0"/>
                <w:color w:val="1F1F1F"/>
                <w:sz w:val="18"/>
              </w:rPr>
              <w:t>末端与照明</w:t>
            </w:r>
          </w:p>
        </w:tc>
        <w:tc>
          <w:tcPr>
            <w:tcW w:type="dxa" w:w="5315"/>
          </w:tcPr>
          <w:p>
            <w:pPr>
              <w:spacing w:before="0" w:after="0" w:line="276" w:lineRule="auto"/>
            </w:pPr>
            <w:r/>
            <w:r>
              <w:rPr>
                <w:rFonts w:ascii="Times New Roman" w:hAnsi="Times New Roman" w:eastAsia="宋体"/>
                <w:b w:val="0"/>
                <w:color w:val="1F1F1F"/>
                <w:sz w:val="18"/>
              </w:rPr>
              <w:t>会议室、公共区照明与空调末端接入预约系统，非预约时段自动关闭；人来灯亮人走灯灭；智能空开插座</w:t>
            </w:r>
          </w:p>
        </w:tc>
        <w:tc>
          <w:tcPr>
            <w:tcW w:type="dxa" w:w="2148"/>
          </w:tcPr>
          <w:p>
            <w:pPr>
              <w:spacing w:before="0" w:after="0" w:line="276" w:lineRule="auto"/>
            </w:pPr>
            <w:r/>
            <w:r>
              <w:rPr>
                <w:rFonts w:ascii="Times New Roman" w:hAnsi="Times New Roman" w:eastAsia="宋体"/>
                <w:b w:val="0"/>
                <w:color w:val="1F1F1F"/>
                <w:sz w:val="18"/>
              </w:rPr>
              <w:t>各办公楼；试点区先行</w:t>
            </w:r>
          </w:p>
        </w:tc>
      </w:tr>
      <w:tr>
        <w:trPr>
          <w:cantSplit/>
        </w:trPr>
        <w:tc>
          <w:tcPr>
            <w:tcW w:type="dxa" w:w="1381"/>
          </w:tcPr>
          <w:p>
            <w:pPr>
              <w:spacing w:before="0" w:after="0" w:line="276" w:lineRule="auto"/>
            </w:pPr>
            <w:r/>
            <w:r>
              <w:rPr>
                <w:rFonts w:ascii="Times New Roman" w:hAnsi="Times New Roman" w:eastAsia="宋体"/>
                <w:b w:val="0"/>
                <w:color w:val="1F1F1F"/>
                <w:sz w:val="18"/>
              </w:rPr>
              <w:t>楼宇分档</w:t>
            </w:r>
          </w:p>
        </w:tc>
        <w:tc>
          <w:tcPr>
            <w:tcW w:type="dxa" w:w="5315"/>
          </w:tcPr>
          <w:p>
            <w:pPr>
              <w:spacing w:before="0" w:after="0" w:line="276" w:lineRule="auto"/>
            </w:pPr>
            <w:r/>
            <w:r>
              <w:rPr>
                <w:rFonts w:ascii="Times New Roman" w:hAnsi="Times New Roman" w:eastAsia="宋体"/>
                <w:b w:val="0"/>
                <w:color w:val="1F1F1F"/>
                <w:sz w:val="18"/>
              </w:rPr>
              <w:t>按诊断结果对楼宇分档排序，确定分期改造顺序；认证达标回国家标准口径核算</w:t>
            </w:r>
          </w:p>
        </w:tc>
        <w:tc>
          <w:tcPr>
            <w:tcW w:type="dxa" w:w="2148"/>
          </w:tcPr>
          <w:p>
            <w:pPr>
              <w:spacing w:before="0" w:after="0" w:line="276" w:lineRule="auto"/>
            </w:pPr>
            <w:r/>
            <w:r>
              <w:rPr>
                <w:rFonts w:ascii="Times New Roman" w:hAnsi="Times New Roman" w:eastAsia="宋体"/>
                <w:b w:val="0"/>
                <w:color w:val="1F1F1F"/>
                <w:sz w:val="18"/>
              </w:rPr>
              <w:t>全园楼宇</w:t>
            </w:r>
          </w:p>
        </w:tc>
      </w:tr>
    </w:tbl>
    <w:p>
      <w:pPr>
        <w:spacing w:after="80"/>
      </w:pPr>
    </w:p>
    <w:p>
      <w:pPr>
        <w:spacing w:before="0" w:after="120" w:line="360" w:lineRule="auto"/>
        <w:ind w:firstLine="480"/>
      </w:pPr>
      <w:r>
        <w:rPr>
          <w:rFonts w:ascii="Times New Roman" w:hAnsi="Times New Roman" w:eastAsia="仿宋_GB2312"/>
          <w:b/>
          <w:color w:val="1F1F1F"/>
          <w:sz w:val="32"/>
        </w:rPr>
        <w:t>（四）冰蓄冷与实时电价。</w:t>
      </w:r>
      <w:r>
        <w:rPr>
          <w:rFonts w:ascii="Times New Roman" w:hAnsi="Times New Roman" w:eastAsia="仿宋_GB2312"/>
          <w:b w:val="0"/>
          <w:color w:val="1F1F1F"/>
          <w:sz w:val="32"/>
        </w:rPr>
        <w:t xml:space="preserve"> 编制过渡期与稳态期两套控制策略：过渡期沿用峰谷价差逻辑并预留接口；稳态期以约 15 分钟级实时电价【待核】为输入，结合负荷预测优化蓄冷、放冷与主机直供比例。策略与电力交易、需求响应平台的接口在平台总体设计中一并确定。</w:t>
      </w:r>
    </w:p>
    <w:p>
      <w:pPr>
        <w:spacing w:before="0" w:after="120" w:line="360" w:lineRule="auto"/>
        <w:ind w:firstLine="480"/>
      </w:pPr>
      <w:r>
        <w:rPr>
          <w:rFonts w:ascii="Times New Roman" w:hAnsi="Times New Roman" w:eastAsia="仿宋_GB2312"/>
          <w:b/>
          <w:color w:val="1F1F1F"/>
          <w:sz w:val="32"/>
        </w:rPr>
        <w:t>（五）光伏与柔性资源。</w:t>
      </w:r>
      <w:r>
        <w:rPr>
          <w:rFonts w:ascii="Times New Roman" w:hAnsi="Times New Roman" w:eastAsia="仿宋_GB2312"/>
          <w:b w:val="0"/>
          <w:color w:val="1F1F1F"/>
          <w:sz w:val="32"/>
        </w:rPr>
        <w:t xml:space="preserve"> 先以卫星影像与现场普查确定屋顶、露台、车棚可装容量，再分批加装，自发自用、余电上网；立面不布置。蓄冷、光伏、充电桩、可选储能与可调节的算力负荷聚合为柔性资源池，形成可观测、可调节的容量清单，接入实时电价与需求响应。</w:t>
      </w:r>
    </w:p>
    <w:p>
      <w:pPr>
        <w:spacing w:before="0" w:after="120" w:line="360" w:lineRule="auto"/>
        <w:ind w:firstLine="480"/>
      </w:pPr>
      <w:r>
        <w:rPr>
          <w:rFonts w:ascii="Times New Roman" w:hAnsi="Times New Roman" w:eastAsia="仿宋_GB2312"/>
          <w:b/>
          <w:color w:val="1F1F1F"/>
          <w:sz w:val="32"/>
        </w:rPr>
        <w:t>（六）数据机房。</w:t>
      </w:r>
      <w:r>
        <w:rPr>
          <w:rFonts w:ascii="Times New Roman" w:hAnsi="Times New Roman" w:eastAsia="仿宋_GB2312"/>
          <w:b w:val="0"/>
          <w:color w:val="1F1F1F"/>
          <w:sz w:val="32"/>
        </w:rPr>
        <w:t xml:space="preserve"> 建立机房子账；机房制冷与园区冷站协调运行；余热经热泵用于生活热水、除湿再热等需求，需求侧量级先摸底【待核】；算力负荷的可调节能力纳入柔性资源池，与算力普惠共用底座。</w:t>
      </w:r>
    </w:p>
    <w:p>
      <w:pPr>
        <w:pStyle w:val="Heading2"/>
        <w:keepNext/>
        <w:spacing w:before="240" w:after="120" w:line="360" w:lineRule="auto"/>
      </w:pPr>
      <w:r>
        <w:rPr>
          <w:rFonts w:ascii="Times New Roman" w:hAnsi="Times New Roman" w:eastAsia="黑体"/>
          <w:b w:val="0"/>
          <w:color w:val="1F1F1F"/>
          <w:sz w:val="32"/>
        </w:rPr>
        <w:t>二、绿色生态专项</w:t>
      </w:r>
    </w:p>
    <w:p>
      <w:pPr>
        <w:spacing w:before="0" w:after="120" w:line="360" w:lineRule="auto"/>
        <w:ind w:firstLine="480"/>
      </w:pPr>
      <w:r>
        <w:rPr>
          <w:rFonts w:ascii="Times New Roman" w:hAnsi="Times New Roman" w:eastAsia="仿宋_GB2312"/>
          <w:b w:val="0"/>
          <w:color w:val="1F1F1F"/>
          <w:sz w:val="32"/>
        </w:rPr>
        <w:t>本专项承接绿色要素的生态部分，并为健康、人文专项提供空间界面。</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水循环与海绵化。</w:t>
      </w:r>
      <w:r>
        <w:rPr>
          <w:rFonts w:ascii="Times New Roman" w:hAnsi="Times New Roman" w:eastAsia="仿宋_GB2312"/>
          <w:b w:val="0"/>
          <w:color w:val="1F1F1F"/>
          <w:sz w:val="32"/>
        </w:rPr>
        <w:t xml:space="preserve"> 道路、广场透水铺装改造；雨水收集回用于绿化与水景；研究中水回用范围；试点场地先行。</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植被与微气候。</w:t>
      </w:r>
      <w:r>
        <w:rPr>
          <w:rFonts w:ascii="Times New Roman" w:hAnsi="Times New Roman" w:eastAsia="仿宋_GB2312"/>
          <w:b w:val="0"/>
          <w:color w:val="1F1F1F"/>
          <w:sz w:val="32"/>
        </w:rPr>
        <w:t xml:space="preserve"> 增补乔木与垂直绿化，组织通风廊道与遮阳，改善庭院与步行空间的夏季体感；室外环境监测点接入平台，以实测数据验证改善效果。</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半开放空间。</w:t>
      </w:r>
      <w:r>
        <w:rPr>
          <w:rFonts w:ascii="Times New Roman" w:hAnsi="Times New Roman" w:eastAsia="仿宋_GB2312"/>
          <w:b w:val="0"/>
          <w:color w:val="1F1F1F"/>
          <w:sz w:val="32"/>
        </w:rPr>
        <w:t xml:space="preserve"> 利用架空层、连廊、庭院形成遮阳通风的半开放空间，兼作休憩、健身与活动场所；1 号楼后空地作为第一个试点场地【待核】。</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风貌协调。</w:t>
      </w:r>
      <w:r>
        <w:rPr>
          <w:rFonts w:ascii="Times New Roman" w:hAnsi="Times New Roman" w:eastAsia="仿宋_GB2312"/>
          <w:b w:val="0"/>
          <w:color w:val="1F1F1F"/>
          <w:sz w:val="32"/>
        </w:rPr>
        <w:t xml:space="preserve"> 生态与景观改造不改变建筑外立面，新增构筑物的体量、材质与色彩服从既有风貌。</w:t>
      </w:r>
    </w:p>
    <w:p>
      <w:pPr>
        <w:pStyle w:val="Heading2"/>
        <w:keepNext/>
        <w:spacing w:before="240" w:after="120" w:line="360" w:lineRule="auto"/>
      </w:pPr>
      <w:r>
        <w:rPr>
          <w:rFonts w:ascii="Times New Roman" w:hAnsi="Times New Roman" w:eastAsia="黑体"/>
          <w:b w:val="0"/>
          <w:color w:val="1F1F1F"/>
          <w:sz w:val="32"/>
        </w:rPr>
        <w:t>三、智慧运营专项</w:t>
      </w:r>
    </w:p>
    <w:p>
      <w:pPr>
        <w:spacing w:before="0" w:after="120" w:line="360" w:lineRule="auto"/>
        <w:ind w:firstLine="480"/>
      </w:pPr>
      <w:r>
        <w:rPr>
          <w:rFonts w:ascii="Times New Roman" w:hAnsi="Times New Roman" w:eastAsia="仿宋_GB2312"/>
          <w:b w:val="0"/>
          <w:color w:val="1F1F1F"/>
          <w:sz w:val="32"/>
        </w:rPr>
        <w:t>本专项承接智慧要素，是近零碳目标的数据基础与运营手段。</w:t>
      </w:r>
    </w:p>
    <w:p>
      <w:pPr>
        <w:spacing w:before="0" w:after="120" w:line="360" w:lineRule="auto"/>
        <w:ind w:firstLine="480"/>
      </w:pPr>
      <w:r>
        <w:rPr>
          <w:rFonts w:ascii="Times New Roman" w:hAnsi="Times New Roman" w:eastAsia="仿宋_GB2312"/>
          <w:b/>
          <w:color w:val="1F1F1F"/>
          <w:sz w:val="32"/>
        </w:rPr>
        <w:t>（一）平台架构。</w:t>
      </w:r>
      <w:r>
        <w:rPr>
          <w:rFonts w:ascii="Times New Roman" w:hAnsi="Times New Roman" w:eastAsia="仿宋_GB2312"/>
          <w:b w:val="0"/>
          <w:color w:val="1F1F1F"/>
          <w:sz w:val="32"/>
        </w:rPr>
        <w:t xml:space="preserve"> 按“一个平台、两类功能”一次规划、分期建设。园内侧功能：办公行为与用能设备联动、设备全生命周期与工单管理、统一资源预约、算力门户、碳普惠记账。园外侧功能：实时电价与需求响应接口、绿电交易与碳核算接口、南网内其他园区复用接口。平台与模型本地化部署，数据归属、合规、外部模型重训责任写入选型前置条件。</w:t>
      </w:r>
    </w:p>
    <w:p>
      <w:pPr>
        <w:spacing w:before="0" w:after="120" w:line="360" w:lineRule="auto"/>
        <w:ind w:firstLine="480"/>
      </w:pPr>
      <w:r>
        <w:rPr>
          <w:rFonts w:ascii="Times New Roman" w:hAnsi="Times New Roman" w:eastAsia="仿宋_GB2312"/>
          <w:b/>
          <w:color w:val="1F1F1F"/>
          <w:sz w:val="32"/>
        </w:rPr>
        <w:t>（二）计量与数据底座。</w:t>
      </w:r>
      <w:r>
        <w:rPr>
          <w:rFonts w:ascii="Times New Roman" w:hAnsi="Times New Roman" w:eastAsia="仿宋_GB2312"/>
          <w:b w:val="0"/>
          <w:color w:val="1F1F1F"/>
          <w:sz w:val="32"/>
        </w:rPr>
        <w:t xml:space="preserve"> 四级用能计量全覆盖，环境、设备状态、人流与预约数据同平台汇聚，形成能碳数据底座；计量口径同时满足碳核算与电力交易结算。</w:t>
      </w:r>
    </w:p>
    <w:p>
      <w:pPr>
        <w:spacing w:before="0" w:after="120" w:line="360" w:lineRule="auto"/>
        <w:ind w:firstLine="480"/>
      </w:pPr>
      <w:r>
        <w:rPr>
          <w:rFonts w:ascii="Times New Roman" w:hAnsi="Times New Roman" w:eastAsia="仿宋_GB2312"/>
          <w:b/>
          <w:color w:val="1F1F1F"/>
          <w:sz w:val="32"/>
        </w:rPr>
        <w:t>（三）数字孪生与运营中心。</w:t>
      </w:r>
      <w:r>
        <w:rPr>
          <w:rFonts w:ascii="Times New Roman" w:hAnsi="Times New Roman" w:eastAsia="仿宋_GB2312"/>
          <w:b w:val="0"/>
          <w:color w:val="1F1F1F"/>
          <w:sz w:val="32"/>
        </w:rPr>
        <w:t xml:space="preserve"> 以园区模型实时联动入园人数、会议室使用率、设备状态、能耗与碳指标，叠加电网侧负荷、电价与绿电数据；异常识别与预警闭环；运营中心以真实运行数据为展项。</w:t>
      </w:r>
    </w:p>
    <w:p>
      <w:pPr>
        <w:spacing w:before="0" w:after="120" w:line="360" w:lineRule="auto"/>
        <w:ind w:firstLine="480"/>
      </w:pPr>
      <w:r>
        <w:rPr>
          <w:rFonts w:ascii="Times New Roman" w:hAnsi="Times New Roman" w:eastAsia="仿宋_GB2312"/>
          <w:b/>
          <w:color w:val="1F1F1F"/>
          <w:sz w:val="32"/>
        </w:rPr>
        <w:t>（四）预测与调优模型。</w:t>
      </w:r>
      <w:r>
        <w:rPr>
          <w:rFonts w:ascii="Times New Roman" w:hAnsi="Times New Roman" w:eastAsia="仿宋_GB2312"/>
          <w:b w:val="0"/>
          <w:color w:val="1F1F1F"/>
          <w:sz w:val="32"/>
        </w:rPr>
        <w:t xml:space="preserve"> 建立冷站与末端负荷预测模型，与实时电价、需求响应打通，驱动冷站群控与蓄冷策略；模型以本项目实测数据训练与持续校正。</w:t>
      </w:r>
    </w:p>
    <w:p>
      <w:pPr>
        <w:spacing w:before="0" w:after="120" w:line="360" w:lineRule="auto"/>
        <w:ind w:firstLine="480"/>
      </w:pPr>
      <w:r>
        <w:rPr>
          <w:rFonts w:ascii="Times New Roman" w:hAnsi="Times New Roman" w:eastAsia="仿宋_GB2312"/>
          <w:b/>
          <w:color w:val="1F1F1F"/>
          <w:sz w:val="32"/>
        </w:rPr>
        <w:t>（五）手法参照。</w:t>
      </w:r>
      <w:r>
        <w:rPr>
          <w:rFonts w:ascii="Times New Roman" w:hAnsi="Times New Roman" w:eastAsia="仿宋_GB2312"/>
          <w:b w:val="0"/>
          <w:color w:val="1F1F1F"/>
          <w:sz w:val="32"/>
        </w:rPr>
        <w:t xml:space="preserve"> 会议预约联动照明与空调末端、四级用能监测、园区运营平台按人员、服务、设备、能耗、安防、空间组织功能模块等做法，参照中国移动国际信息港的实践经验；本项目的落点差异在于叠加电网侧数据与交易接口、计量口径两用、数据主权自持。</w:t>
      </w:r>
    </w:p>
    <w:p>
      <w:pPr>
        <w:pStyle w:val="Heading2"/>
        <w:keepNext/>
        <w:spacing w:before="240" w:after="120" w:line="360" w:lineRule="auto"/>
      </w:pPr>
      <w:r>
        <w:rPr>
          <w:rFonts w:ascii="Times New Roman" w:hAnsi="Times New Roman" w:eastAsia="黑体"/>
          <w:b w:val="0"/>
          <w:color w:val="1F1F1F"/>
          <w:sz w:val="32"/>
        </w:rPr>
        <w:t>四、普惠专项</w:t>
      </w:r>
    </w:p>
    <w:p>
      <w:pPr>
        <w:spacing w:before="0" w:after="120" w:line="360" w:lineRule="auto"/>
        <w:ind w:firstLine="480"/>
      </w:pPr>
      <w:r>
        <w:rPr>
          <w:rFonts w:ascii="Times New Roman" w:hAnsi="Times New Roman" w:eastAsia="仿宋_GB2312"/>
          <w:b w:val="0"/>
          <w:color w:val="1F1F1F"/>
          <w:sz w:val="32"/>
        </w:rPr>
        <w:t>普惠按“人人参与、人人受益”规划三项内容，无障碍为标配。普惠不涉及投资收益、服务定价与对外服务包。</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碳普惠。</w:t>
      </w:r>
      <w:r>
        <w:rPr>
          <w:rFonts w:ascii="Times New Roman" w:hAnsi="Times New Roman" w:eastAsia="仿宋_GB2312"/>
          <w:b w:val="0"/>
          <w:color w:val="1F1F1F"/>
          <w:sz w:val="32"/>
        </w:rPr>
        <w:t xml:space="preserve"> 建立个人—团队—园区三级碳账，通勤、用能、会议、无纸化等低碳行为自动记账，园区总账人人可见；对接广东、广州碳普惠机制方法学【待核】；以轻交互小程序承载，积分可兑换园区文体与服务资源。</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算力普惠。</w:t>
      </w:r>
      <w:r>
        <w:rPr>
          <w:rFonts w:ascii="Times New Roman" w:hAnsi="Times New Roman" w:eastAsia="仿宋_GB2312"/>
          <w:b w:val="0"/>
          <w:color w:val="1F1F1F"/>
          <w:sz w:val="32"/>
        </w:rPr>
        <w:t xml:space="preserve"> 园区算力与 AI 工具（办公助手、知识库、会议纪要等）向全员与业务部门开放，用量透明、申请门槛低；与算电协同验证共用算力底座。</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园区资源普惠。</w:t>
      </w:r>
      <w:r>
        <w:rPr>
          <w:rFonts w:ascii="Times New Roman" w:hAnsi="Times New Roman" w:eastAsia="仿宋_GB2312"/>
          <w:b w:val="0"/>
          <w:color w:val="1F1F1F"/>
          <w:sz w:val="32"/>
        </w:rPr>
        <w:t xml:space="preserve"> 充电、会议、文体、餐饮、共享空间对员工、外包、访客公平可及，预约与分配规则公开；部分公共空间在安保与保密评估后向公众开放做双碳科普【待核】。</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无障碍与适老化。</w:t>
      </w:r>
      <w:r>
        <w:rPr>
          <w:rFonts w:ascii="Times New Roman" w:hAnsi="Times New Roman" w:eastAsia="仿宋_GB2312"/>
          <w:b w:val="0"/>
          <w:color w:val="1F1F1F"/>
          <w:sz w:val="32"/>
        </w:rPr>
        <w:t xml:space="preserve"> 按国家强制性规范完成全域无障碍动线、信息无障碍与适老化设施排查整改。</w:t>
      </w:r>
    </w:p>
    <w:p>
      <w:pPr>
        <w:pStyle w:val="Heading2"/>
        <w:keepNext/>
        <w:spacing w:before="240" w:after="120" w:line="360" w:lineRule="auto"/>
      </w:pPr>
      <w:r>
        <w:rPr>
          <w:rFonts w:ascii="Times New Roman" w:hAnsi="Times New Roman" w:eastAsia="黑体"/>
          <w:b w:val="0"/>
          <w:color w:val="1F1F1F"/>
          <w:sz w:val="32"/>
        </w:rPr>
        <w:t>五、健康专项</w:t>
      </w:r>
    </w:p>
    <w:p>
      <w:pPr>
        <w:spacing w:before="0" w:after="120" w:line="360" w:lineRule="auto"/>
        <w:ind w:firstLine="480"/>
      </w:pPr>
      <w:r>
        <w:rPr>
          <w:rFonts w:ascii="Times New Roman" w:hAnsi="Times New Roman" w:eastAsia="仿宋_GB2312"/>
          <w:b w:val="0"/>
          <w:color w:val="1F1F1F"/>
          <w:sz w:val="32"/>
        </w:rPr>
        <w:t>健康独立于人文，规划对象是可检测、可验收的员工健康环境。</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环境监测与公示。</w:t>
      </w:r>
      <w:r>
        <w:rPr>
          <w:rFonts w:ascii="Times New Roman" w:hAnsi="Times New Roman" w:eastAsia="仿宋_GB2312"/>
          <w:b w:val="0"/>
          <w:color w:val="1F1F1F"/>
          <w:sz w:val="32"/>
        </w:rPr>
        <w:t xml:space="preserve"> 楼层级连续监测 CO₂、PM2.5、TVOC、温湿度、噪声、照度并公示，数据接入平台；阈值按国家标准。</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新风与净化。</w:t>
      </w:r>
      <w:r>
        <w:rPr>
          <w:rFonts w:ascii="Times New Roman" w:hAnsi="Times New Roman" w:eastAsia="仿宋_GB2312"/>
          <w:b w:val="0"/>
          <w:color w:val="1F1F1F"/>
          <w:sz w:val="32"/>
        </w:rPr>
        <w:t xml:space="preserve"> 风系统诊断与冷站诊断同步；新风量校核、过滤净化升级；与节能措施互锁，CO₂ 达标时长不得因节能下降。</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健康照明与工位微环境。</w:t>
      </w:r>
      <w:r>
        <w:rPr>
          <w:rFonts w:ascii="Times New Roman" w:hAnsi="Times New Roman" w:eastAsia="仿宋_GB2312"/>
          <w:b w:val="0"/>
          <w:color w:val="1F1F1F"/>
          <w:sz w:val="32"/>
        </w:rPr>
        <w:t xml:space="preserve"> 色温可调节律照明、眩光治理、工位个性化调节，与末端联动改造同步实施。</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健身、休憩与心理健康。</w:t>
      </w:r>
      <w:r>
        <w:rPr>
          <w:rFonts w:ascii="Times New Roman" w:hAnsi="Times New Roman" w:eastAsia="仿宋_GB2312"/>
          <w:b w:val="0"/>
          <w:color w:val="1F1F1F"/>
          <w:sz w:val="32"/>
        </w:rPr>
        <w:t xml:space="preserve"> 利用边角空间与半开放空间布置健身空间、步道与休憩节点；配套员工心理健康服务。</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数据治理。</w:t>
      </w:r>
      <w:r>
        <w:rPr>
          <w:rFonts w:ascii="Times New Roman" w:hAnsi="Times New Roman" w:eastAsia="仿宋_GB2312"/>
          <w:b w:val="0"/>
          <w:color w:val="1F1F1F"/>
          <w:sz w:val="32"/>
        </w:rPr>
        <w:t xml:space="preserve"> 健康与环境数据仅用于环境改善与验收，不用于个人考核，权限与用途规则书面化。</w:t>
      </w:r>
    </w:p>
    <w:p>
      <w:pPr>
        <w:pStyle w:val="Heading2"/>
        <w:keepNext/>
        <w:spacing w:before="240" w:after="120" w:line="360" w:lineRule="auto"/>
      </w:pPr>
      <w:r>
        <w:rPr>
          <w:rFonts w:ascii="Times New Roman" w:hAnsi="Times New Roman" w:eastAsia="黑体"/>
          <w:b w:val="0"/>
          <w:color w:val="1F1F1F"/>
          <w:sz w:val="32"/>
        </w:rPr>
        <w:t>六、人文专项</w:t>
      </w:r>
    </w:p>
    <w:p>
      <w:pPr>
        <w:spacing w:before="0" w:after="120" w:line="360" w:lineRule="auto"/>
        <w:ind w:firstLine="480"/>
      </w:pPr>
      <w:r>
        <w:rPr>
          <w:rFonts w:ascii="Times New Roman" w:hAnsi="Times New Roman" w:eastAsia="仿宋_GB2312"/>
          <w:b w:val="0"/>
          <w:color w:val="1F1F1F"/>
          <w:sz w:val="32"/>
        </w:rPr>
        <w:t>人文规划对象是风貌保护下的场所品质与文化体验。</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针灸式更新。</w:t>
      </w:r>
      <w:r>
        <w:rPr>
          <w:rFonts w:ascii="Times New Roman" w:hAnsi="Times New Roman" w:eastAsia="仿宋_GB2312"/>
          <w:b w:val="0"/>
          <w:color w:val="1F1F1F"/>
          <w:sz w:val="32"/>
        </w:rPr>
        <w:t xml:space="preserve"> 入口、连廊、庭院、灰空间等小尺度节点提升，替代立面改造，形成风貌约束下的更新导则。</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真实系统展项。</w:t>
      </w:r>
      <w:r>
        <w:rPr>
          <w:rFonts w:ascii="Times New Roman" w:hAnsi="Times New Roman" w:eastAsia="仿宋_GB2312"/>
          <w:b w:val="0"/>
          <w:color w:val="1F1F1F"/>
          <w:sz w:val="32"/>
        </w:rPr>
        <w:t xml:space="preserve"> 以运营中心、冷站、碳账本、柔性调控实况等真实运行系统组织参观动线，辅以电网文化与双碳叙事；不建独立展馆。</w:t>
      </w:r>
    </w:p>
    <w:p>
      <w:pPr>
        <w:spacing w:before="0" w:after="80" w:line="360" w:lineRule="auto"/>
        <w:ind w:left="480" w:hanging="240"/>
      </w:pPr>
      <w:r>
        <w:rPr>
          <w:rFonts w:ascii="Times New Roman" w:hAnsi="Times New Roman" w:eastAsia="仿宋_GB2312"/>
          <w:b w:val="0"/>
          <w:color w:val="1F1F1F"/>
          <w:sz w:val="32"/>
        </w:rPr>
        <w:t xml:space="preserve">▪ </w:t>
      </w:r>
      <w:r>
        <w:rPr>
          <w:rFonts w:ascii="Times New Roman" w:hAnsi="Times New Roman" w:eastAsia="仿宋_GB2312"/>
          <w:b/>
          <w:color w:val="1F1F1F"/>
          <w:sz w:val="32"/>
        </w:rPr>
        <w:t>获得感场景。</w:t>
      </w:r>
      <w:r>
        <w:rPr>
          <w:rFonts w:ascii="Times New Roman" w:hAnsi="Times New Roman" w:eastAsia="仿宋_GB2312"/>
          <w:b w:val="0"/>
          <w:color w:val="1F1F1F"/>
          <w:sz w:val="32"/>
        </w:rPr>
        <w:t xml:space="preserve"> 文化活动、社群空间、园区节事与碳普惠积分、资源预约打通，把各专项成果转为员工日常可感的体验。</w:t>
      </w:r>
    </w:p>
    <w:p>
      <w:pPr>
        <w:pStyle w:val="Heading1"/>
        <w:keepNext/>
        <w:pageBreakBefore/>
        <w:spacing w:before="360" w:after="240" w:line="360" w:lineRule="auto"/>
        <w:jc w:val="center"/>
      </w:pPr>
      <w:r>
        <w:rPr>
          <w:rFonts w:ascii="Times New Roman" w:hAnsi="Times New Roman" w:eastAsia="黑体"/>
          <w:b w:val="0"/>
          <w:color w:val="1F1F1F"/>
          <w:sz w:val="36"/>
        </w:rPr>
        <w:t>第六章 重点项目库</w:t>
      </w:r>
    </w:p>
    <w:p>
      <w:pPr>
        <w:spacing w:before="0" w:after="120" w:line="360" w:lineRule="auto"/>
        <w:ind w:firstLine="480"/>
      </w:pPr>
      <w:r>
        <w:rPr>
          <w:rFonts w:ascii="Times New Roman" w:hAnsi="Times New Roman" w:eastAsia="仿宋_GB2312"/>
          <w:b w:val="0"/>
          <w:color w:val="1F1F1F"/>
          <w:sz w:val="32"/>
        </w:rPr>
        <w:t>项目库按四个项目包组织，共 25 个项目。建设时序分近期（2027—2028 年）、中期（2029—2030 年）、远期（2031—2035 年），近期项目中标注“先行”的三项为最先启动的项目。项目规模与投资在预可行性方案及各项目任务书中确定，本表不列投资额。</w:t>
      </w:r>
    </w:p>
    <w:p>
      <w:pPr>
        <w:pStyle w:val="Heading2"/>
        <w:keepNext/>
        <w:spacing w:before="240" w:after="120" w:line="360" w:lineRule="auto"/>
      </w:pPr>
      <w:r>
        <w:rPr>
          <w:rFonts w:ascii="Times New Roman" w:hAnsi="Times New Roman" w:eastAsia="黑体"/>
          <w:b w:val="0"/>
          <w:color w:val="1F1F1F"/>
          <w:sz w:val="32"/>
        </w:rPr>
        <w:t>一、A 包：近零碳与能源</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27"/>
        <w:gridCol w:w="1233"/>
        <w:gridCol w:w="2092"/>
        <w:gridCol w:w="1174"/>
        <w:gridCol w:w="1075"/>
        <w:gridCol w:w="1416"/>
        <w:gridCol w:w="927"/>
      </w:tblGrid>
      <w:tr>
        <w:trPr>
          <w:cantSplit/>
          <w:tblHeader/>
        </w:trPr>
        <w:tc>
          <w:tcPr>
            <w:tcW w:type="dxa" w:w="927"/>
            <w:shd w:val="clear" w:color="auto" w:fill="E7EEF3"/>
          </w:tcPr>
          <w:p>
            <w:pPr>
              <w:keepNext/>
              <w:spacing w:before="0" w:after="0" w:line="276" w:lineRule="auto"/>
              <w:jc w:val="center"/>
            </w:pPr>
            <w:r/>
            <w:r>
              <w:rPr>
                <w:rFonts w:ascii="Times New Roman" w:hAnsi="Times New Roman" w:eastAsia="宋体"/>
                <w:b/>
                <w:color w:val="1F1F1F"/>
                <w:sz w:val="16"/>
              </w:rPr>
              <w:t>编号</w:t>
            </w:r>
          </w:p>
        </w:tc>
        <w:tc>
          <w:tcPr>
            <w:tcW w:type="dxa" w:w="1233"/>
            <w:shd w:val="clear" w:color="auto" w:fill="E7EEF3"/>
          </w:tcPr>
          <w:p>
            <w:pPr>
              <w:keepNext/>
              <w:spacing w:before="0" w:after="0" w:line="276" w:lineRule="auto"/>
              <w:jc w:val="center"/>
            </w:pPr>
            <w:r/>
            <w:r>
              <w:rPr>
                <w:rFonts w:ascii="Times New Roman" w:hAnsi="Times New Roman" w:eastAsia="宋体"/>
                <w:b/>
                <w:color w:val="1F1F1F"/>
                <w:sz w:val="16"/>
              </w:rPr>
              <w:t>项目</w:t>
            </w:r>
          </w:p>
        </w:tc>
        <w:tc>
          <w:tcPr>
            <w:tcW w:type="dxa" w:w="2092"/>
            <w:shd w:val="clear" w:color="auto" w:fill="E7EEF3"/>
          </w:tcPr>
          <w:p>
            <w:pPr>
              <w:keepNext/>
              <w:spacing w:before="0" w:after="0" w:line="276" w:lineRule="auto"/>
              <w:jc w:val="center"/>
            </w:pPr>
            <w:r/>
            <w:r>
              <w:rPr>
                <w:rFonts w:ascii="Times New Roman" w:hAnsi="Times New Roman" w:eastAsia="宋体"/>
                <w:b/>
                <w:color w:val="1F1F1F"/>
                <w:sz w:val="16"/>
              </w:rPr>
              <w:t>主要内容</w:t>
            </w:r>
          </w:p>
        </w:tc>
        <w:tc>
          <w:tcPr>
            <w:tcW w:type="dxa" w:w="1174"/>
            <w:shd w:val="clear" w:color="auto" w:fill="E7EEF3"/>
          </w:tcPr>
          <w:p>
            <w:pPr>
              <w:keepNext/>
              <w:spacing w:before="0" w:after="0" w:line="276" w:lineRule="auto"/>
              <w:jc w:val="center"/>
            </w:pPr>
            <w:r/>
            <w:r>
              <w:rPr>
                <w:rFonts w:ascii="Times New Roman" w:hAnsi="Times New Roman" w:eastAsia="宋体"/>
                <w:b/>
                <w:color w:val="1F1F1F"/>
                <w:sz w:val="16"/>
              </w:rPr>
              <w:t>位置与系统</w:t>
            </w:r>
          </w:p>
        </w:tc>
        <w:tc>
          <w:tcPr>
            <w:tcW w:type="dxa" w:w="1075"/>
            <w:shd w:val="clear" w:color="auto" w:fill="E7EEF3"/>
          </w:tcPr>
          <w:p>
            <w:pPr>
              <w:keepNext/>
              <w:spacing w:before="0" w:after="0" w:line="276" w:lineRule="auto"/>
              <w:jc w:val="center"/>
            </w:pPr>
            <w:r/>
            <w:r>
              <w:rPr>
                <w:rFonts w:ascii="Times New Roman" w:hAnsi="Times New Roman" w:eastAsia="宋体"/>
                <w:b/>
                <w:color w:val="1F1F1F"/>
                <w:sz w:val="16"/>
              </w:rPr>
              <w:t>建设时序</w:t>
            </w:r>
          </w:p>
        </w:tc>
        <w:tc>
          <w:tcPr>
            <w:tcW w:type="dxa" w:w="1416"/>
            <w:shd w:val="clear" w:color="auto" w:fill="E7EEF3"/>
          </w:tcPr>
          <w:p>
            <w:pPr>
              <w:keepNext/>
              <w:spacing w:before="0" w:after="0" w:line="276" w:lineRule="auto"/>
              <w:jc w:val="center"/>
            </w:pPr>
            <w:r/>
            <w:r>
              <w:rPr>
                <w:rFonts w:ascii="Times New Roman" w:hAnsi="Times New Roman" w:eastAsia="宋体"/>
                <w:b/>
                <w:color w:val="1F1F1F"/>
                <w:sz w:val="16"/>
              </w:rPr>
              <w:t>主要产出</w:t>
            </w:r>
          </w:p>
        </w:tc>
        <w:tc>
          <w:tcPr>
            <w:tcW w:type="dxa" w:w="927"/>
            <w:shd w:val="clear" w:color="auto" w:fill="E7EEF3"/>
          </w:tcPr>
          <w:p>
            <w:pPr>
              <w:keepNext/>
              <w:spacing w:before="0" w:after="0" w:line="276" w:lineRule="auto"/>
              <w:jc w:val="center"/>
            </w:pPr>
            <w:r/>
            <w:r>
              <w:rPr>
                <w:rFonts w:ascii="Times New Roman" w:hAnsi="Times New Roman" w:eastAsia="宋体"/>
                <w:b/>
                <w:color w:val="1F1F1F"/>
                <w:sz w:val="16"/>
              </w:rPr>
              <w:t>关联指标</w:t>
            </w:r>
          </w:p>
        </w:tc>
      </w:tr>
      <w:tr>
        <w:trPr>
          <w:cantSplit/>
        </w:trPr>
        <w:tc>
          <w:tcPr>
            <w:tcW w:type="dxa" w:w="927"/>
          </w:tcPr>
          <w:p>
            <w:pPr>
              <w:spacing w:before="0" w:after="0" w:line="276" w:lineRule="auto"/>
            </w:pPr>
            <w:r/>
            <w:r>
              <w:rPr>
                <w:rFonts w:ascii="Times New Roman" w:hAnsi="Times New Roman" w:eastAsia="宋体"/>
                <w:b w:val="0"/>
                <w:color w:val="1F1F1F"/>
                <w:sz w:val="16"/>
              </w:rPr>
              <w:t>A1</w:t>
            </w:r>
          </w:p>
        </w:tc>
        <w:tc>
          <w:tcPr>
            <w:tcW w:type="dxa" w:w="1233"/>
          </w:tcPr>
          <w:p>
            <w:pPr>
              <w:spacing w:before="0" w:after="0" w:line="276" w:lineRule="auto"/>
            </w:pPr>
            <w:r/>
            <w:r>
              <w:rPr>
                <w:rFonts w:ascii="Times New Roman" w:hAnsi="Times New Roman" w:eastAsia="宋体"/>
                <w:b w:val="0"/>
                <w:color w:val="1F1F1F"/>
                <w:sz w:val="16"/>
              </w:rPr>
              <w:t>冷站与水系统深度诊断</w:t>
            </w:r>
          </w:p>
        </w:tc>
        <w:tc>
          <w:tcPr>
            <w:tcW w:type="dxa" w:w="2092"/>
          </w:tcPr>
          <w:p>
            <w:pPr>
              <w:spacing w:before="0" w:after="0" w:line="276" w:lineRule="auto"/>
            </w:pPr>
            <w:r/>
            <w:r>
              <w:rPr>
                <w:rFonts w:ascii="Times New Roman" w:hAnsi="Times New Roman" w:eastAsia="宋体"/>
                <w:b w:val="0"/>
                <w:color w:val="1F1F1F"/>
                <w:sz w:val="16"/>
              </w:rPr>
              <w:t>冷机、水泵、冷却塔、输配管网、末端实测诊断；分项能耗基线；设备健康度与楼宇分档</w:t>
            </w:r>
          </w:p>
        </w:tc>
        <w:tc>
          <w:tcPr>
            <w:tcW w:type="dxa" w:w="1174"/>
          </w:tcPr>
          <w:p>
            <w:pPr>
              <w:spacing w:before="0" w:after="0" w:line="276" w:lineRule="auto"/>
            </w:pPr>
            <w:r/>
            <w:r>
              <w:rPr>
                <w:rFonts w:ascii="Times New Roman" w:hAnsi="Times New Roman" w:eastAsia="宋体"/>
                <w:b w:val="0"/>
                <w:color w:val="1F1F1F"/>
                <w:sz w:val="16"/>
              </w:rPr>
              <w:t>能源中心区冷站；各楼宇</w:t>
            </w:r>
          </w:p>
        </w:tc>
        <w:tc>
          <w:tcPr>
            <w:tcW w:type="dxa" w:w="1075"/>
          </w:tcPr>
          <w:p>
            <w:pPr>
              <w:spacing w:before="0" w:after="0" w:line="276" w:lineRule="auto"/>
            </w:pPr>
            <w:r/>
            <w:r>
              <w:rPr>
                <w:rFonts w:ascii="Times New Roman" w:hAnsi="Times New Roman" w:eastAsia="宋体"/>
                <w:b w:val="0"/>
                <w:color w:val="1F1F1F"/>
                <w:sz w:val="16"/>
              </w:rPr>
              <w:t>近期·先行</w:t>
            </w:r>
          </w:p>
        </w:tc>
        <w:tc>
          <w:tcPr>
            <w:tcW w:type="dxa" w:w="1416"/>
          </w:tcPr>
          <w:p>
            <w:pPr>
              <w:spacing w:before="0" w:after="0" w:line="276" w:lineRule="auto"/>
            </w:pPr>
            <w:r/>
            <w:r>
              <w:rPr>
                <w:rFonts w:ascii="Times New Roman" w:hAnsi="Times New Roman" w:eastAsia="宋体"/>
                <w:b w:val="0"/>
                <w:color w:val="1F1F1F"/>
                <w:sz w:val="16"/>
              </w:rPr>
              <w:t>实测基线报告；诊断分档流程</w:t>
            </w:r>
          </w:p>
        </w:tc>
        <w:tc>
          <w:tcPr>
            <w:tcW w:type="dxa" w:w="927"/>
          </w:tcPr>
          <w:p>
            <w:pPr>
              <w:spacing w:before="0" w:after="0" w:line="276" w:lineRule="auto"/>
            </w:pPr>
            <w:r/>
            <w:r>
              <w:rPr>
                <w:rFonts w:ascii="Times New Roman" w:hAnsi="Times New Roman" w:eastAsia="宋体"/>
                <w:b w:val="0"/>
                <w:color w:val="1F1F1F"/>
                <w:sz w:val="16"/>
              </w:rPr>
              <w:t>6、7</w:t>
            </w:r>
          </w:p>
        </w:tc>
      </w:tr>
      <w:tr>
        <w:trPr>
          <w:cantSplit/>
        </w:trPr>
        <w:tc>
          <w:tcPr>
            <w:tcW w:type="dxa" w:w="927"/>
          </w:tcPr>
          <w:p>
            <w:pPr>
              <w:spacing w:before="0" w:after="0" w:line="276" w:lineRule="auto"/>
            </w:pPr>
            <w:r/>
            <w:r>
              <w:rPr>
                <w:rFonts w:ascii="Times New Roman" w:hAnsi="Times New Roman" w:eastAsia="宋体"/>
                <w:b w:val="0"/>
                <w:color w:val="1F1F1F"/>
                <w:sz w:val="16"/>
              </w:rPr>
              <w:t>A2</w:t>
            </w:r>
          </w:p>
        </w:tc>
        <w:tc>
          <w:tcPr>
            <w:tcW w:type="dxa" w:w="1233"/>
          </w:tcPr>
          <w:p>
            <w:pPr>
              <w:spacing w:before="0" w:after="0" w:line="276" w:lineRule="auto"/>
            </w:pPr>
            <w:r/>
            <w:r>
              <w:rPr>
                <w:rFonts w:ascii="Times New Roman" w:hAnsi="Times New Roman" w:eastAsia="宋体"/>
                <w:b w:val="0"/>
                <w:color w:val="1F1F1F"/>
                <w:sz w:val="16"/>
              </w:rPr>
              <w:t>冷站群控与能效调优改造</w:t>
            </w:r>
          </w:p>
        </w:tc>
        <w:tc>
          <w:tcPr>
            <w:tcW w:type="dxa" w:w="2092"/>
          </w:tcPr>
          <w:p>
            <w:pPr>
              <w:spacing w:before="0" w:after="0" w:line="276" w:lineRule="auto"/>
            </w:pPr>
            <w:r/>
            <w:r>
              <w:rPr>
                <w:rFonts w:ascii="Times New Roman" w:hAnsi="Times New Roman" w:eastAsia="宋体"/>
                <w:b w:val="0"/>
                <w:color w:val="1F1F1F"/>
                <w:sz w:val="16"/>
              </w:rPr>
              <w:t>多机组优化加载、变频、大温差、末端联动；接入调优模型；不换主机</w:t>
            </w:r>
          </w:p>
        </w:tc>
        <w:tc>
          <w:tcPr>
            <w:tcW w:type="dxa" w:w="1174"/>
          </w:tcPr>
          <w:p>
            <w:pPr>
              <w:spacing w:before="0" w:after="0" w:line="276" w:lineRule="auto"/>
            </w:pPr>
            <w:r/>
            <w:r>
              <w:rPr>
                <w:rFonts w:ascii="Times New Roman" w:hAnsi="Times New Roman" w:eastAsia="宋体"/>
                <w:b w:val="0"/>
                <w:color w:val="1F1F1F"/>
                <w:sz w:val="16"/>
              </w:rPr>
              <w:t>冷站群控系统</w:t>
            </w:r>
          </w:p>
        </w:tc>
        <w:tc>
          <w:tcPr>
            <w:tcW w:type="dxa" w:w="1075"/>
          </w:tcPr>
          <w:p>
            <w:pPr>
              <w:spacing w:before="0" w:after="0" w:line="276" w:lineRule="auto"/>
            </w:pPr>
            <w:r/>
            <w:r>
              <w:rPr>
                <w:rFonts w:ascii="Times New Roman" w:hAnsi="Times New Roman" w:eastAsia="宋体"/>
                <w:b w:val="0"/>
                <w:color w:val="1F1F1F"/>
                <w:sz w:val="16"/>
              </w:rPr>
              <w:t>近期试点、中期全园</w:t>
            </w:r>
          </w:p>
        </w:tc>
        <w:tc>
          <w:tcPr>
            <w:tcW w:type="dxa" w:w="1416"/>
          </w:tcPr>
          <w:p>
            <w:pPr>
              <w:spacing w:before="0" w:after="0" w:line="276" w:lineRule="auto"/>
            </w:pPr>
            <w:r/>
            <w:r>
              <w:rPr>
                <w:rFonts w:ascii="Times New Roman" w:hAnsi="Times New Roman" w:eastAsia="宋体"/>
                <w:b w:val="0"/>
                <w:color w:val="1F1F1F"/>
                <w:sz w:val="16"/>
              </w:rPr>
              <w:t>冷站能效提升实测值；群控策略库</w:t>
            </w:r>
          </w:p>
        </w:tc>
        <w:tc>
          <w:tcPr>
            <w:tcW w:type="dxa" w:w="927"/>
          </w:tcPr>
          <w:p>
            <w:pPr>
              <w:spacing w:before="0" w:after="0" w:line="276" w:lineRule="auto"/>
            </w:pPr>
            <w:r/>
            <w:r>
              <w:rPr>
                <w:rFonts w:ascii="Times New Roman" w:hAnsi="Times New Roman" w:eastAsia="宋体"/>
                <w:b w:val="0"/>
                <w:color w:val="1F1F1F"/>
                <w:sz w:val="16"/>
              </w:rPr>
              <w:t>6</w:t>
            </w:r>
          </w:p>
        </w:tc>
      </w:tr>
      <w:tr>
        <w:trPr>
          <w:cantSplit/>
        </w:trPr>
        <w:tc>
          <w:tcPr>
            <w:tcW w:type="dxa" w:w="927"/>
          </w:tcPr>
          <w:p>
            <w:pPr>
              <w:spacing w:before="0" w:after="0" w:line="276" w:lineRule="auto"/>
            </w:pPr>
            <w:r/>
            <w:r>
              <w:rPr>
                <w:rFonts w:ascii="Times New Roman" w:hAnsi="Times New Roman" w:eastAsia="宋体"/>
                <w:b w:val="0"/>
                <w:color w:val="1F1F1F"/>
                <w:sz w:val="16"/>
              </w:rPr>
              <w:t>A3</w:t>
            </w:r>
          </w:p>
        </w:tc>
        <w:tc>
          <w:tcPr>
            <w:tcW w:type="dxa" w:w="1233"/>
          </w:tcPr>
          <w:p>
            <w:pPr>
              <w:spacing w:before="0" w:after="0" w:line="276" w:lineRule="auto"/>
            </w:pPr>
            <w:r/>
            <w:r>
              <w:rPr>
                <w:rFonts w:ascii="Times New Roman" w:hAnsi="Times New Roman" w:eastAsia="宋体"/>
                <w:b w:val="0"/>
                <w:color w:val="1F1F1F"/>
                <w:sz w:val="16"/>
              </w:rPr>
              <w:t>冰蓄冷策略与实时电价对接</w:t>
            </w:r>
          </w:p>
        </w:tc>
        <w:tc>
          <w:tcPr>
            <w:tcW w:type="dxa" w:w="2092"/>
          </w:tcPr>
          <w:p>
            <w:pPr>
              <w:spacing w:before="0" w:after="0" w:line="276" w:lineRule="auto"/>
            </w:pPr>
            <w:r/>
            <w:r>
              <w:rPr>
                <w:rFonts w:ascii="Times New Roman" w:hAnsi="Times New Roman" w:eastAsia="宋体"/>
                <w:b w:val="0"/>
                <w:color w:val="1F1F1F"/>
                <w:sz w:val="16"/>
              </w:rPr>
              <w:t>过渡期与稳态期两套控制策略；与交易、需求响应平台接口</w:t>
            </w:r>
          </w:p>
        </w:tc>
        <w:tc>
          <w:tcPr>
            <w:tcW w:type="dxa" w:w="1174"/>
          </w:tcPr>
          <w:p>
            <w:pPr>
              <w:spacing w:before="0" w:after="0" w:line="276" w:lineRule="auto"/>
            </w:pPr>
            <w:r/>
            <w:r>
              <w:rPr>
                <w:rFonts w:ascii="Times New Roman" w:hAnsi="Times New Roman" w:eastAsia="宋体"/>
                <w:b w:val="0"/>
                <w:color w:val="1F1F1F"/>
                <w:sz w:val="16"/>
              </w:rPr>
              <w:t>蓄冷控制系统；平台园外侧</w:t>
            </w:r>
          </w:p>
        </w:tc>
        <w:tc>
          <w:tcPr>
            <w:tcW w:type="dxa" w:w="1075"/>
          </w:tcPr>
          <w:p>
            <w:pPr>
              <w:spacing w:before="0" w:after="0" w:line="276" w:lineRule="auto"/>
            </w:pPr>
            <w:r/>
            <w:r>
              <w:rPr>
                <w:rFonts w:ascii="Times New Roman" w:hAnsi="Times New Roman" w:eastAsia="宋体"/>
                <w:b w:val="0"/>
                <w:color w:val="1F1F1F"/>
                <w:sz w:val="16"/>
              </w:rPr>
              <w:t>近期</w:t>
            </w:r>
          </w:p>
        </w:tc>
        <w:tc>
          <w:tcPr>
            <w:tcW w:type="dxa" w:w="1416"/>
          </w:tcPr>
          <w:p>
            <w:pPr>
              <w:spacing w:before="0" w:after="0" w:line="276" w:lineRule="auto"/>
            </w:pPr>
            <w:r/>
            <w:r>
              <w:rPr>
                <w:rFonts w:ascii="Times New Roman" w:hAnsi="Times New Roman" w:eastAsia="宋体"/>
                <w:b w:val="0"/>
                <w:color w:val="1F1F1F"/>
                <w:sz w:val="16"/>
              </w:rPr>
              <w:t>两套策略上线；经济性核算模型</w:t>
            </w:r>
          </w:p>
        </w:tc>
        <w:tc>
          <w:tcPr>
            <w:tcW w:type="dxa" w:w="927"/>
          </w:tcPr>
          <w:p>
            <w:pPr>
              <w:spacing w:before="0" w:after="0" w:line="276" w:lineRule="auto"/>
            </w:pPr>
            <w:r/>
            <w:r>
              <w:rPr>
                <w:rFonts w:ascii="Times New Roman" w:hAnsi="Times New Roman" w:eastAsia="宋体"/>
                <w:b w:val="0"/>
                <w:color w:val="1F1F1F"/>
                <w:sz w:val="16"/>
              </w:rPr>
              <w:t>8</w:t>
            </w:r>
          </w:p>
        </w:tc>
      </w:tr>
      <w:tr>
        <w:trPr>
          <w:cantSplit/>
        </w:trPr>
        <w:tc>
          <w:tcPr>
            <w:tcW w:type="dxa" w:w="927"/>
          </w:tcPr>
          <w:p>
            <w:pPr>
              <w:spacing w:before="0" w:after="0" w:line="276" w:lineRule="auto"/>
            </w:pPr>
            <w:r/>
            <w:r>
              <w:rPr>
                <w:rFonts w:ascii="Times New Roman" w:hAnsi="Times New Roman" w:eastAsia="宋体"/>
                <w:b w:val="0"/>
                <w:color w:val="1F1F1F"/>
                <w:sz w:val="16"/>
              </w:rPr>
              <w:t>A4</w:t>
            </w:r>
          </w:p>
        </w:tc>
        <w:tc>
          <w:tcPr>
            <w:tcW w:type="dxa" w:w="1233"/>
          </w:tcPr>
          <w:p>
            <w:pPr>
              <w:spacing w:before="0" w:after="0" w:line="276" w:lineRule="auto"/>
            </w:pPr>
            <w:r/>
            <w:r>
              <w:rPr>
                <w:rFonts w:ascii="Times New Roman" w:hAnsi="Times New Roman" w:eastAsia="宋体"/>
                <w:b w:val="0"/>
                <w:color w:val="1F1F1F"/>
                <w:sz w:val="16"/>
              </w:rPr>
              <w:t>光伏资源普查与分批加装</w:t>
            </w:r>
          </w:p>
        </w:tc>
        <w:tc>
          <w:tcPr>
            <w:tcW w:type="dxa" w:w="2092"/>
          </w:tcPr>
          <w:p>
            <w:pPr>
              <w:spacing w:before="0" w:after="0" w:line="276" w:lineRule="auto"/>
            </w:pPr>
            <w:r/>
            <w:r>
              <w:rPr>
                <w:rFonts w:ascii="Times New Roman" w:hAnsi="Times New Roman" w:eastAsia="宋体"/>
                <w:b w:val="0"/>
                <w:color w:val="1F1F1F"/>
                <w:sz w:val="16"/>
              </w:rPr>
              <w:t>卫星影像与现场普查；屋顶、露台、车棚光伏分批加装；既有光伏并网与发电核实</w:t>
            </w:r>
          </w:p>
        </w:tc>
        <w:tc>
          <w:tcPr>
            <w:tcW w:type="dxa" w:w="1174"/>
          </w:tcPr>
          <w:p>
            <w:pPr>
              <w:spacing w:before="0" w:after="0" w:line="276" w:lineRule="auto"/>
            </w:pPr>
            <w:r/>
            <w:r>
              <w:rPr>
                <w:rFonts w:ascii="Times New Roman" w:hAnsi="Times New Roman" w:eastAsia="宋体"/>
                <w:b w:val="0"/>
                <w:color w:val="1F1F1F"/>
                <w:sz w:val="16"/>
              </w:rPr>
              <w:t>办公楼屋顶、露台、停车区车棚</w:t>
            </w:r>
          </w:p>
        </w:tc>
        <w:tc>
          <w:tcPr>
            <w:tcW w:type="dxa" w:w="1075"/>
          </w:tcPr>
          <w:p>
            <w:pPr>
              <w:spacing w:before="0" w:after="0" w:line="276" w:lineRule="auto"/>
            </w:pPr>
            <w:r/>
            <w:r>
              <w:rPr>
                <w:rFonts w:ascii="Times New Roman" w:hAnsi="Times New Roman" w:eastAsia="宋体"/>
                <w:b w:val="0"/>
                <w:color w:val="1F1F1F"/>
                <w:sz w:val="16"/>
              </w:rPr>
              <w:t>近期普查与首批、中期分批</w:t>
            </w:r>
          </w:p>
        </w:tc>
        <w:tc>
          <w:tcPr>
            <w:tcW w:type="dxa" w:w="1416"/>
          </w:tcPr>
          <w:p>
            <w:pPr>
              <w:spacing w:before="0" w:after="0" w:line="276" w:lineRule="auto"/>
            </w:pPr>
            <w:r/>
            <w:r>
              <w:rPr>
                <w:rFonts w:ascii="Times New Roman" w:hAnsi="Times New Roman" w:eastAsia="宋体"/>
                <w:b w:val="0"/>
                <w:color w:val="1F1F1F"/>
                <w:sz w:val="16"/>
              </w:rPr>
              <w:t>可装容量清单；新增装机；发电与消纳数据</w:t>
            </w:r>
          </w:p>
        </w:tc>
        <w:tc>
          <w:tcPr>
            <w:tcW w:type="dxa" w:w="927"/>
          </w:tcPr>
          <w:p>
            <w:pPr>
              <w:spacing w:before="0" w:after="0" w:line="276" w:lineRule="auto"/>
            </w:pPr>
            <w:r/>
            <w:r>
              <w:rPr>
                <w:rFonts w:ascii="Times New Roman" w:hAnsi="Times New Roman" w:eastAsia="宋体"/>
                <w:b w:val="0"/>
                <w:color w:val="1F1F1F"/>
                <w:sz w:val="16"/>
              </w:rPr>
              <w:t>4、5</w:t>
            </w:r>
          </w:p>
        </w:tc>
      </w:tr>
      <w:tr>
        <w:trPr>
          <w:cantSplit/>
        </w:trPr>
        <w:tc>
          <w:tcPr>
            <w:tcW w:type="dxa" w:w="927"/>
          </w:tcPr>
          <w:p>
            <w:pPr>
              <w:spacing w:before="0" w:after="0" w:line="276" w:lineRule="auto"/>
            </w:pPr>
            <w:r/>
            <w:r>
              <w:rPr>
                <w:rFonts w:ascii="Times New Roman" w:hAnsi="Times New Roman" w:eastAsia="宋体"/>
                <w:b w:val="0"/>
                <w:color w:val="1F1F1F"/>
                <w:sz w:val="16"/>
              </w:rPr>
              <w:t>A5</w:t>
            </w:r>
          </w:p>
        </w:tc>
        <w:tc>
          <w:tcPr>
            <w:tcW w:type="dxa" w:w="1233"/>
          </w:tcPr>
          <w:p>
            <w:pPr>
              <w:spacing w:before="0" w:after="0" w:line="276" w:lineRule="auto"/>
            </w:pPr>
            <w:r/>
            <w:r>
              <w:rPr>
                <w:rFonts w:ascii="Times New Roman" w:hAnsi="Times New Roman" w:eastAsia="宋体"/>
                <w:b w:val="0"/>
                <w:color w:val="1F1F1F"/>
                <w:sz w:val="16"/>
              </w:rPr>
              <w:t>柔性资源聚合与需求响应接入</w:t>
            </w:r>
          </w:p>
        </w:tc>
        <w:tc>
          <w:tcPr>
            <w:tcW w:type="dxa" w:w="2092"/>
          </w:tcPr>
          <w:p>
            <w:pPr>
              <w:spacing w:before="0" w:after="0" w:line="276" w:lineRule="auto"/>
            </w:pPr>
            <w:r/>
            <w:r>
              <w:rPr>
                <w:rFonts w:ascii="Times New Roman" w:hAnsi="Times New Roman" w:eastAsia="宋体"/>
                <w:b w:val="0"/>
                <w:color w:val="1F1F1F"/>
                <w:sz w:val="16"/>
              </w:rPr>
              <w:t>蓄冷、光伏、充电、可选储能与算力负荷聚合；容量清单；接入实时电价与需求响应</w:t>
            </w:r>
          </w:p>
        </w:tc>
        <w:tc>
          <w:tcPr>
            <w:tcW w:type="dxa" w:w="1174"/>
          </w:tcPr>
          <w:p>
            <w:pPr>
              <w:spacing w:before="0" w:after="0" w:line="276" w:lineRule="auto"/>
            </w:pPr>
            <w:r/>
            <w:r>
              <w:rPr>
                <w:rFonts w:ascii="Times New Roman" w:hAnsi="Times New Roman" w:eastAsia="宋体"/>
                <w:b w:val="0"/>
                <w:color w:val="1F1F1F"/>
                <w:sz w:val="16"/>
              </w:rPr>
              <w:t>能源中心区接口</w:t>
            </w:r>
          </w:p>
        </w:tc>
        <w:tc>
          <w:tcPr>
            <w:tcW w:type="dxa" w:w="1075"/>
          </w:tcPr>
          <w:p>
            <w:pPr>
              <w:spacing w:before="0" w:after="0" w:line="276" w:lineRule="auto"/>
            </w:pPr>
            <w:r/>
            <w:r>
              <w:rPr>
                <w:rFonts w:ascii="Times New Roman" w:hAnsi="Times New Roman" w:eastAsia="宋体"/>
                <w:b w:val="0"/>
                <w:color w:val="1F1F1F"/>
                <w:sz w:val="16"/>
              </w:rPr>
              <w:t>近期清单、中期接入</w:t>
            </w:r>
          </w:p>
        </w:tc>
        <w:tc>
          <w:tcPr>
            <w:tcW w:type="dxa" w:w="1416"/>
          </w:tcPr>
          <w:p>
            <w:pPr>
              <w:spacing w:before="0" w:after="0" w:line="276" w:lineRule="auto"/>
            </w:pPr>
            <w:r/>
            <w:r>
              <w:rPr>
                <w:rFonts w:ascii="Times New Roman" w:hAnsi="Times New Roman" w:eastAsia="宋体"/>
                <w:b w:val="0"/>
                <w:color w:val="1F1F1F"/>
                <w:sz w:val="16"/>
              </w:rPr>
              <w:t>柔性资源容量清单；接入运行记录</w:t>
            </w:r>
          </w:p>
        </w:tc>
        <w:tc>
          <w:tcPr>
            <w:tcW w:type="dxa" w:w="927"/>
          </w:tcPr>
          <w:p>
            <w:pPr>
              <w:spacing w:before="0" w:after="0" w:line="276" w:lineRule="auto"/>
            </w:pPr>
            <w:r/>
            <w:r>
              <w:rPr>
                <w:rFonts w:ascii="Times New Roman" w:hAnsi="Times New Roman" w:eastAsia="宋体"/>
                <w:b w:val="0"/>
                <w:color w:val="1F1F1F"/>
                <w:sz w:val="16"/>
              </w:rPr>
              <w:t>9</w:t>
            </w:r>
          </w:p>
        </w:tc>
      </w:tr>
      <w:tr>
        <w:trPr>
          <w:cantSplit/>
        </w:trPr>
        <w:tc>
          <w:tcPr>
            <w:tcW w:type="dxa" w:w="927"/>
          </w:tcPr>
          <w:p>
            <w:pPr>
              <w:spacing w:before="0" w:after="0" w:line="276" w:lineRule="auto"/>
            </w:pPr>
            <w:r/>
            <w:r>
              <w:rPr>
                <w:rFonts w:ascii="Times New Roman" w:hAnsi="Times New Roman" w:eastAsia="宋体"/>
                <w:b w:val="0"/>
                <w:color w:val="1F1F1F"/>
                <w:sz w:val="16"/>
              </w:rPr>
              <w:t>A6</w:t>
            </w:r>
          </w:p>
        </w:tc>
        <w:tc>
          <w:tcPr>
            <w:tcW w:type="dxa" w:w="1233"/>
          </w:tcPr>
          <w:p>
            <w:pPr>
              <w:spacing w:before="0" w:after="0" w:line="276" w:lineRule="auto"/>
            </w:pPr>
            <w:r/>
            <w:r>
              <w:rPr>
                <w:rFonts w:ascii="Times New Roman" w:hAnsi="Times New Roman" w:eastAsia="宋体"/>
                <w:b w:val="0"/>
                <w:color w:val="1F1F1F"/>
                <w:sz w:val="16"/>
              </w:rPr>
              <w:t>数据机房节能与余热回收</w:t>
            </w:r>
          </w:p>
        </w:tc>
        <w:tc>
          <w:tcPr>
            <w:tcW w:type="dxa" w:w="2092"/>
          </w:tcPr>
          <w:p>
            <w:pPr>
              <w:spacing w:before="0" w:after="0" w:line="276" w:lineRule="auto"/>
            </w:pPr>
            <w:r/>
            <w:r>
              <w:rPr>
                <w:rFonts w:ascii="Times New Roman" w:hAnsi="Times New Roman" w:eastAsia="宋体"/>
                <w:b w:val="0"/>
                <w:color w:val="1F1F1F"/>
                <w:sz w:val="16"/>
              </w:rPr>
              <w:t>机房子账；制冷与冷站协调；余热经热泵供生活热水或除湿再热；需求侧摸底</w:t>
            </w:r>
          </w:p>
        </w:tc>
        <w:tc>
          <w:tcPr>
            <w:tcW w:type="dxa" w:w="1174"/>
          </w:tcPr>
          <w:p>
            <w:pPr>
              <w:spacing w:before="0" w:after="0" w:line="276" w:lineRule="auto"/>
            </w:pPr>
            <w:r/>
            <w:r>
              <w:rPr>
                <w:rFonts w:ascii="Times New Roman" w:hAnsi="Times New Roman" w:eastAsia="宋体"/>
                <w:b w:val="0"/>
                <w:color w:val="1F1F1F"/>
                <w:sz w:val="16"/>
              </w:rPr>
              <w:t>数据机房区</w:t>
            </w:r>
          </w:p>
        </w:tc>
        <w:tc>
          <w:tcPr>
            <w:tcW w:type="dxa" w:w="1075"/>
          </w:tcPr>
          <w:p>
            <w:pPr>
              <w:spacing w:before="0" w:after="0" w:line="276" w:lineRule="auto"/>
            </w:pPr>
            <w:r/>
            <w:r>
              <w:rPr>
                <w:rFonts w:ascii="Times New Roman" w:hAnsi="Times New Roman" w:eastAsia="宋体"/>
                <w:b w:val="0"/>
                <w:color w:val="1F1F1F"/>
                <w:sz w:val="16"/>
              </w:rPr>
              <w:t>近期摸底、中期实施</w:t>
            </w:r>
          </w:p>
        </w:tc>
        <w:tc>
          <w:tcPr>
            <w:tcW w:type="dxa" w:w="1416"/>
          </w:tcPr>
          <w:p>
            <w:pPr>
              <w:spacing w:before="0" w:after="0" w:line="276" w:lineRule="auto"/>
            </w:pPr>
            <w:r/>
            <w:r>
              <w:rPr>
                <w:rFonts w:ascii="Times New Roman" w:hAnsi="Times New Roman" w:eastAsia="宋体"/>
                <w:b w:val="0"/>
                <w:color w:val="1F1F1F"/>
                <w:sz w:val="16"/>
              </w:rPr>
              <w:t>机房子账；余热利用方案与实施</w:t>
            </w:r>
          </w:p>
        </w:tc>
        <w:tc>
          <w:tcPr>
            <w:tcW w:type="dxa" w:w="927"/>
          </w:tcPr>
          <w:p>
            <w:pPr>
              <w:spacing w:before="0" w:after="0" w:line="276" w:lineRule="auto"/>
            </w:pPr>
            <w:r/>
            <w:r>
              <w:rPr>
                <w:rFonts w:ascii="Times New Roman" w:hAnsi="Times New Roman" w:eastAsia="宋体"/>
                <w:b w:val="0"/>
                <w:color w:val="1F1F1F"/>
                <w:sz w:val="16"/>
              </w:rPr>
              <w:t>3、7</w:t>
            </w:r>
          </w:p>
        </w:tc>
      </w:tr>
      <w:tr>
        <w:trPr>
          <w:cantSplit/>
        </w:trPr>
        <w:tc>
          <w:tcPr>
            <w:tcW w:type="dxa" w:w="927"/>
          </w:tcPr>
          <w:p>
            <w:pPr>
              <w:spacing w:before="0" w:after="0" w:line="276" w:lineRule="auto"/>
            </w:pPr>
            <w:r/>
            <w:r>
              <w:rPr>
                <w:rFonts w:ascii="Times New Roman" w:hAnsi="Times New Roman" w:eastAsia="宋体"/>
                <w:b w:val="0"/>
                <w:color w:val="1F1F1F"/>
                <w:sz w:val="16"/>
              </w:rPr>
              <w:t>A7</w:t>
            </w:r>
          </w:p>
        </w:tc>
        <w:tc>
          <w:tcPr>
            <w:tcW w:type="dxa" w:w="1233"/>
          </w:tcPr>
          <w:p>
            <w:pPr>
              <w:spacing w:before="0" w:after="0" w:line="276" w:lineRule="auto"/>
            </w:pPr>
            <w:r/>
            <w:r>
              <w:rPr>
                <w:rFonts w:ascii="Times New Roman" w:hAnsi="Times New Roman" w:eastAsia="宋体"/>
                <w:b w:val="0"/>
                <w:color w:val="1F1F1F"/>
                <w:sz w:val="16"/>
              </w:rPr>
              <w:t>园区碳账本与核算体系</w:t>
            </w:r>
          </w:p>
        </w:tc>
        <w:tc>
          <w:tcPr>
            <w:tcW w:type="dxa" w:w="2092"/>
          </w:tcPr>
          <w:p>
            <w:pPr>
              <w:spacing w:before="0" w:after="0" w:line="276" w:lineRule="auto"/>
            </w:pPr>
            <w:r/>
            <w:r>
              <w:rPr>
                <w:rFonts w:ascii="Times New Roman" w:hAnsi="Times New Roman" w:eastAsia="宋体"/>
                <w:b w:val="0"/>
                <w:color w:val="1F1F1F"/>
                <w:sz w:val="16"/>
              </w:rPr>
              <w:t>总账加两个子账；核算规则书面化；年度复核与公示；平台自动生成</w:t>
            </w:r>
          </w:p>
        </w:tc>
        <w:tc>
          <w:tcPr>
            <w:tcW w:type="dxa" w:w="1174"/>
          </w:tcPr>
          <w:p>
            <w:pPr>
              <w:spacing w:before="0" w:after="0" w:line="276" w:lineRule="auto"/>
            </w:pPr>
            <w:r/>
            <w:r>
              <w:rPr>
                <w:rFonts w:ascii="Times New Roman" w:hAnsi="Times New Roman" w:eastAsia="宋体"/>
                <w:b w:val="0"/>
                <w:color w:val="1F1F1F"/>
                <w:sz w:val="16"/>
              </w:rPr>
              <w:t>统一平台；全园计量点</w:t>
            </w:r>
          </w:p>
        </w:tc>
        <w:tc>
          <w:tcPr>
            <w:tcW w:type="dxa" w:w="1075"/>
          </w:tcPr>
          <w:p>
            <w:pPr>
              <w:spacing w:before="0" w:after="0" w:line="276" w:lineRule="auto"/>
            </w:pPr>
            <w:r/>
            <w:r>
              <w:rPr>
                <w:rFonts w:ascii="Times New Roman" w:hAnsi="Times New Roman" w:eastAsia="宋体"/>
                <w:b w:val="0"/>
                <w:color w:val="1F1F1F"/>
                <w:sz w:val="16"/>
              </w:rPr>
              <w:t>近期·先行</w:t>
            </w:r>
          </w:p>
        </w:tc>
        <w:tc>
          <w:tcPr>
            <w:tcW w:type="dxa" w:w="1416"/>
          </w:tcPr>
          <w:p>
            <w:pPr>
              <w:spacing w:before="0" w:after="0" w:line="276" w:lineRule="auto"/>
            </w:pPr>
            <w:r/>
            <w:r>
              <w:rPr>
                <w:rFonts w:ascii="Times New Roman" w:hAnsi="Times New Roman" w:eastAsia="宋体"/>
                <w:b w:val="0"/>
                <w:color w:val="1F1F1F"/>
                <w:sz w:val="16"/>
              </w:rPr>
              <w:t>《园区碳核算规则》；第一个年度碳账</w:t>
            </w:r>
          </w:p>
        </w:tc>
        <w:tc>
          <w:tcPr>
            <w:tcW w:type="dxa" w:w="927"/>
          </w:tcPr>
          <w:p>
            <w:pPr>
              <w:spacing w:before="0" w:after="0" w:line="276" w:lineRule="auto"/>
            </w:pPr>
            <w:r/>
            <w:r>
              <w:rPr>
                <w:rFonts w:ascii="Times New Roman" w:hAnsi="Times New Roman" w:eastAsia="宋体"/>
                <w:b w:val="0"/>
                <w:color w:val="1F1F1F"/>
                <w:sz w:val="16"/>
              </w:rPr>
              <w:t>1、2、3</w:t>
            </w:r>
          </w:p>
        </w:tc>
      </w:tr>
      <w:tr>
        <w:trPr>
          <w:cantSplit/>
        </w:trPr>
        <w:tc>
          <w:tcPr>
            <w:tcW w:type="dxa" w:w="927"/>
          </w:tcPr>
          <w:p>
            <w:pPr>
              <w:spacing w:before="0" w:after="0" w:line="276" w:lineRule="auto"/>
            </w:pPr>
            <w:r/>
            <w:r>
              <w:rPr>
                <w:rFonts w:ascii="Times New Roman" w:hAnsi="Times New Roman" w:eastAsia="宋体"/>
                <w:b w:val="0"/>
                <w:color w:val="1F1F1F"/>
                <w:sz w:val="16"/>
              </w:rPr>
              <w:t>A8</w:t>
            </w:r>
          </w:p>
        </w:tc>
        <w:tc>
          <w:tcPr>
            <w:tcW w:type="dxa" w:w="1233"/>
          </w:tcPr>
          <w:p>
            <w:pPr>
              <w:spacing w:before="0" w:after="0" w:line="276" w:lineRule="auto"/>
            </w:pPr>
            <w:r/>
            <w:r>
              <w:rPr>
                <w:rFonts w:ascii="Times New Roman" w:hAnsi="Times New Roman" w:eastAsia="宋体"/>
                <w:b w:val="0"/>
                <w:color w:val="1F1F1F"/>
                <w:sz w:val="16"/>
              </w:rPr>
              <w:t>绿电采购与抵消结构</w:t>
            </w:r>
          </w:p>
        </w:tc>
        <w:tc>
          <w:tcPr>
            <w:tcW w:type="dxa" w:w="2092"/>
          </w:tcPr>
          <w:p>
            <w:pPr>
              <w:spacing w:before="0" w:after="0" w:line="276" w:lineRule="auto"/>
            </w:pPr>
            <w:r/>
            <w:r>
              <w:rPr>
                <w:rFonts w:ascii="Times New Roman" w:hAnsi="Times New Roman" w:eastAsia="宋体"/>
                <w:b w:val="0"/>
                <w:color w:val="1F1F1F"/>
                <w:sz w:val="16"/>
              </w:rPr>
              <w:t>按近零碳档缺口设计绿电交易与合规抵消方案；来源可溯源</w:t>
            </w:r>
          </w:p>
        </w:tc>
        <w:tc>
          <w:tcPr>
            <w:tcW w:type="dxa" w:w="1174"/>
          </w:tcPr>
          <w:p>
            <w:pPr>
              <w:spacing w:before="0" w:after="0" w:line="276" w:lineRule="auto"/>
            </w:pPr>
            <w:r/>
            <w:r>
              <w:rPr>
                <w:rFonts w:ascii="Times New Roman" w:hAnsi="Times New Roman" w:eastAsia="宋体"/>
                <w:b w:val="0"/>
                <w:color w:val="1F1F1F"/>
                <w:sz w:val="16"/>
              </w:rPr>
              <w:t>平台园外侧接口</w:t>
            </w:r>
          </w:p>
        </w:tc>
        <w:tc>
          <w:tcPr>
            <w:tcW w:type="dxa" w:w="1075"/>
          </w:tcPr>
          <w:p>
            <w:pPr>
              <w:spacing w:before="0" w:after="0" w:line="276" w:lineRule="auto"/>
            </w:pPr>
            <w:r/>
            <w:r>
              <w:rPr>
                <w:rFonts w:ascii="Times New Roman" w:hAnsi="Times New Roman" w:eastAsia="宋体"/>
                <w:b w:val="0"/>
                <w:color w:val="1F1F1F"/>
                <w:sz w:val="16"/>
              </w:rPr>
              <w:t>中期</w:t>
            </w:r>
          </w:p>
        </w:tc>
        <w:tc>
          <w:tcPr>
            <w:tcW w:type="dxa" w:w="1416"/>
          </w:tcPr>
          <w:p>
            <w:pPr>
              <w:spacing w:before="0" w:after="0" w:line="276" w:lineRule="auto"/>
            </w:pPr>
            <w:r/>
            <w:r>
              <w:rPr>
                <w:rFonts w:ascii="Times New Roman" w:hAnsi="Times New Roman" w:eastAsia="宋体"/>
                <w:b w:val="0"/>
                <w:color w:val="1F1F1F"/>
                <w:sz w:val="16"/>
              </w:rPr>
              <w:t>抵消结构方案；年度绿电采购计划</w:t>
            </w:r>
          </w:p>
        </w:tc>
        <w:tc>
          <w:tcPr>
            <w:tcW w:type="dxa" w:w="927"/>
          </w:tcPr>
          <w:p>
            <w:pPr>
              <w:spacing w:before="0" w:after="0" w:line="276" w:lineRule="auto"/>
            </w:pPr>
            <w:r/>
            <w:r>
              <w:rPr>
                <w:rFonts w:ascii="Times New Roman" w:hAnsi="Times New Roman" w:eastAsia="宋体"/>
                <w:b w:val="0"/>
                <w:color w:val="1F1F1F"/>
                <w:sz w:val="16"/>
              </w:rPr>
              <w:t>1、2、4</w:t>
            </w:r>
          </w:p>
        </w:tc>
      </w:tr>
    </w:tbl>
    <w:p>
      <w:pPr>
        <w:spacing w:after="80"/>
      </w:pPr>
    </w:p>
    <w:p>
      <w:pPr>
        <w:pStyle w:val="Heading2"/>
        <w:keepNext/>
        <w:spacing w:before="240" w:after="120" w:line="360" w:lineRule="auto"/>
      </w:pPr>
      <w:r>
        <w:rPr>
          <w:rFonts w:ascii="Times New Roman" w:hAnsi="Times New Roman" w:eastAsia="黑体"/>
          <w:b w:val="0"/>
          <w:color w:val="1F1F1F"/>
          <w:sz w:val="32"/>
        </w:rPr>
        <w:t>二、B 包：绿色生态</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8"/>
        <w:gridCol w:w="1271"/>
        <w:gridCol w:w="1916"/>
        <w:gridCol w:w="1309"/>
        <w:gridCol w:w="1013"/>
        <w:gridCol w:w="1348"/>
        <w:gridCol w:w="1039"/>
      </w:tblGrid>
      <w:tr>
        <w:trPr>
          <w:cantSplit/>
          <w:tblHeader/>
        </w:trPr>
        <w:tc>
          <w:tcPr>
            <w:tcW w:type="dxa" w:w="948"/>
            <w:shd w:val="clear" w:color="auto" w:fill="E7EEF3"/>
          </w:tcPr>
          <w:p>
            <w:pPr>
              <w:keepNext/>
              <w:spacing w:before="0" w:after="0" w:line="276" w:lineRule="auto"/>
              <w:jc w:val="center"/>
            </w:pPr>
            <w:r/>
            <w:r>
              <w:rPr>
                <w:rFonts w:ascii="Times New Roman" w:hAnsi="Times New Roman" w:eastAsia="宋体"/>
                <w:b/>
                <w:color w:val="1F1F1F"/>
                <w:sz w:val="16"/>
              </w:rPr>
              <w:t>编号</w:t>
            </w:r>
          </w:p>
        </w:tc>
        <w:tc>
          <w:tcPr>
            <w:tcW w:type="dxa" w:w="1271"/>
            <w:shd w:val="clear" w:color="auto" w:fill="E7EEF3"/>
          </w:tcPr>
          <w:p>
            <w:pPr>
              <w:keepNext/>
              <w:spacing w:before="0" w:after="0" w:line="276" w:lineRule="auto"/>
              <w:jc w:val="center"/>
            </w:pPr>
            <w:r/>
            <w:r>
              <w:rPr>
                <w:rFonts w:ascii="Times New Roman" w:hAnsi="Times New Roman" w:eastAsia="宋体"/>
                <w:b/>
                <w:color w:val="1F1F1F"/>
                <w:sz w:val="16"/>
              </w:rPr>
              <w:t>项目</w:t>
            </w:r>
          </w:p>
        </w:tc>
        <w:tc>
          <w:tcPr>
            <w:tcW w:type="dxa" w:w="1916"/>
            <w:shd w:val="clear" w:color="auto" w:fill="E7EEF3"/>
          </w:tcPr>
          <w:p>
            <w:pPr>
              <w:keepNext/>
              <w:spacing w:before="0" w:after="0" w:line="276" w:lineRule="auto"/>
              <w:jc w:val="center"/>
            </w:pPr>
            <w:r/>
            <w:r>
              <w:rPr>
                <w:rFonts w:ascii="Times New Roman" w:hAnsi="Times New Roman" w:eastAsia="宋体"/>
                <w:b/>
                <w:color w:val="1F1F1F"/>
                <w:sz w:val="16"/>
              </w:rPr>
              <w:t>主要内容</w:t>
            </w:r>
          </w:p>
        </w:tc>
        <w:tc>
          <w:tcPr>
            <w:tcW w:type="dxa" w:w="1309"/>
            <w:shd w:val="clear" w:color="auto" w:fill="E7EEF3"/>
          </w:tcPr>
          <w:p>
            <w:pPr>
              <w:keepNext/>
              <w:spacing w:before="0" w:after="0" w:line="276" w:lineRule="auto"/>
              <w:jc w:val="center"/>
            </w:pPr>
            <w:r/>
            <w:r>
              <w:rPr>
                <w:rFonts w:ascii="Times New Roman" w:hAnsi="Times New Roman" w:eastAsia="宋体"/>
                <w:b/>
                <w:color w:val="1F1F1F"/>
                <w:sz w:val="16"/>
              </w:rPr>
              <w:t>位置与系统</w:t>
            </w:r>
          </w:p>
        </w:tc>
        <w:tc>
          <w:tcPr>
            <w:tcW w:type="dxa" w:w="1013"/>
            <w:shd w:val="clear" w:color="auto" w:fill="E7EEF3"/>
          </w:tcPr>
          <w:p>
            <w:pPr>
              <w:keepNext/>
              <w:spacing w:before="0" w:after="0" w:line="276" w:lineRule="auto"/>
              <w:jc w:val="center"/>
            </w:pPr>
            <w:r/>
            <w:r>
              <w:rPr>
                <w:rFonts w:ascii="Times New Roman" w:hAnsi="Times New Roman" w:eastAsia="宋体"/>
                <w:b/>
                <w:color w:val="1F1F1F"/>
                <w:sz w:val="16"/>
              </w:rPr>
              <w:t>建设时序</w:t>
            </w:r>
          </w:p>
        </w:tc>
        <w:tc>
          <w:tcPr>
            <w:tcW w:type="dxa" w:w="1348"/>
            <w:shd w:val="clear" w:color="auto" w:fill="E7EEF3"/>
          </w:tcPr>
          <w:p>
            <w:pPr>
              <w:keepNext/>
              <w:spacing w:before="0" w:after="0" w:line="276" w:lineRule="auto"/>
              <w:jc w:val="center"/>
            </w:pPr>
            <w:r/>
            <w:r>
              <w:rPr>
                <w:rFonts w:ascii="Times New Roman" w:hAnsi="Times New Roman" w:eastAsia="宋体"/>
                <w:b/>
                <w:color w:val="1F1F1F"/>
                <w:sz w:val="16"/>
              </w:rPr>
              <w:t>主要产出</w:t>
            </w:r>
          </w:p>
        </w:tc>
        <w:tc>
          <w:tcPr>
            <w:tcW w:type="dxa" w:w="1039"/>
            <w:shd w:val="clear" w:color="auto" w:fill="E7EEF3"/>
          </w:tcPr>
          <w:p>
            <w:pPr>
              <w:keepNext/>
              <w:spacing w:before="0" w:after="0" w:line="276" w:lineRule="auto"/>
              <w:jc w:val="center"/>
            </w:pPr>
            <w:r/>
            <w:r>
              <w:rPr>
                <w:rFonts w:ascii="Times New Roman" w:hAnsi="Times New Roman" w:eastAsia="宋体"/>
                <w:b/>
                <w:color w:val="1F1F1F"/>
                <w:sz w:val="16"/>
              </w:rPr>
              <w:t>关联指标</w:t>
            </w:r>
          </w:p>
        </w:tc>
      </w:tr>
      <w:tr>
        <w:trPr>
          <w:cantSplit/>
        </w:trPr>
        <w:tc>
          <w:tcPr>
            <w:tcW w:type="dxa" w:w="948"/>
          </w:tcPr>
          <w:p>
            <w:pPr>
              <w:spacing w:before="0" w:after="0" w:line="276" w:lineRule="auto"/>
            </w:pPr>
            <w:r/>
            <w:r>
              <w:rPr>
                <w:rFonts w:ascii="Times New Roman" w:hAnsi="Times New Roman" w:eastAsia="宋体"/>
                <w:b w:val="0"/>
                <w:color w:val="1F1F1F"/>
                <w:sz w:val="16"/>
              </w:rPr>
              <w:t>B1</w:t>
            </w:r>
          </w:p>
        </w:tc>
        <w:tc>
          <w:tcPr>
            <w:tcW w:type="dxa" w:w="1271"/>
          </w:tcPr>
          <w:p>
            <w:pPr>
              <w:spacing w:before="0" w:after="0" w:line="276" w:lineRule="auto"/>
            </w:pPr>
            <w:r/>
            <w:r>
              <w:rPr>
                <w:rFonts w:ascii="Times New Roman" w:hAnsi="Times New Roman" w:eastAsia="宋体"/>
                <w:b w:val="0"/>
                <w:color w:val="1F1F1F"/>
                <w:sz w:val="16"/>
              </w:rPr>
              <w:t>庭院微气候与半开放空间试点</w:t>
            </w:r>
          </w:p>
        </w:tc>
        <w:tc>
          <w:tcPr>
            <w:tcW w:type="dxa" w:w="1916"/>
          </w:tcPr>
          <w:p>
            <w:pPr>
              <w:spacing w:before="0" w:after="0" w:line="276" w:lineRule="auto"/>
            </w:pPr>
            <w:r/>
            <w:r>
              <w:rPr>
                <w:rFonts w:ascii="Times New Roman" w:hAnsi="Times New Roman" w:eastAsia="宋体"/>
                <w:b w:val="0"/>
                <w:color w:val="1F1F1F"/>
                <w:sz w:val="16"/>
              </w:rPr>
              <w:t>遮阳、通风廊道、乔木与垂直绿化、半开放休憩空间；室外环境监测</w:t>
            </w:r>
          </w:p>
        </w:tc>
        <w:tc>
          <w:tcPr>
            <w:tcW w:type="dxa" w:w="1309"/>
          </w:tcPr>
          <w:p>
            <w:pPr>
              <w:spacing w:before="0" w:after="0" w:line="276" w:lineRule="auto"/>
            </w:pPr>
            <w:r/>
            <w:r>
              <w:rPr>
                <w:rFonts w:ascii="Times New Roman" w:hAnsi="Times New Roman" w:eastAsia="宋体"/>
                <w:b w:val="0"/>
                <w:color w:val="1F1F1F"/>
                <w:sz w:val="16"/>
              </w:rPr>
              <w:t>1 号楼后空地【待核】及邻近庭院</w:t>
            </w:r>
          </w:p>
        </w:tc>
        <w:tc>
          <w:tcPr>
            <w:tcW w:type="dxa" w:w="1013"/>
          </w:tcPr>
          <w:p>
            <w:pPr>
              <w:spacing w:before="0" w:after="0" w:line="276" w:lineRule="auto"/>
            </w:pPr>
            <w:r/>
            <w:r>
              <w:rPr>
                <w:rFonts w:ascii="Times New Roman" w:hAnsi="Times New Roman" w:eastAsia="宋体"/>
                <w:b w:val="0"/>
                <w:color w:val="1F1F1F"/>
                <w:sz w:val="16"/>
              </w:rPr>
              <w:t>近期</w:t>
            </w:r>
          </w:p>
        </w:tc>
        <w:tc>
          <w:tcPr>
            <w:tcW w:type="dxa" w:w="1348"/>
          </w:tcPr>
          <w:p>
            <w:pPr>
              <w:spacing w:before="0" w:after="0" w:line="276" w:lineRule="auto"/>
            </w:pPr>
            <w:r/>
            <w:r>
              <w:rPr>
                <w:rFonts w:ascii="Times New Roman" w:hAnsi="Times New Roman" w:eastAsia="宋体"/>
                <w:b w:val="0"/>
                <w:color w:val="1F1F1F"/>
                <w:sz w:val="16"/>
              </w:rPr>
              <w:t>试点场地建成；微气候实测对比</w:t>
            </w:r>
          </w:p>
        </w:tc>
        <w:tc>
          <w:tcPr>
            <w:tcW w:type="dxa" w:w="1039"/>
          </w:tcPr>
          <w:p>
            <w:pPr>
              <w:spacing w:before="0" w:after="0" w:line="276" w:lineRule="auto"/>
            </w:pPr>
            <w:r/>
            <w:r>
              <w:rPr>
                <w:rFonts w:ascii="Times New Roman" w:hAnsi="Times New Roman" w:eastAsia="宋体"/>
                <w:b w:val="0"/>
                <w:color w:val="1F1F1F"/>
                <w:sz w:val="16"/>
              </w:rPr>
              <w:t>16、25</w:t>
            </w:r>
          </w:p>
        </w:tc>
      </w:tr>
      <w:tr>
        <w:trPr>
          <w:cantSplit/>
        </w:trPr>
        <w:tc>
          <w:tcPr>
            <w:tcW w:type="dxa" w:w="948"/>
          </w:tcPr>
          <w:p>
            <w:pPr>
              <w:spacing w:before="0" w:after="0" w:line="276" w:lineRule="auto"/>
            </w:pPr>
            <w:r/>
            <w:r>
              <w:rPr>
                <w:rFonts w:ascii="Times New Roman" w:hAnsi="Times New Roman" w:eastAsia="宋体"/>
                <w:b w:val="0"/>
                <w:color w:val="1F1F1F"/>
                <w:sz w:val="16"/>
              </w:rPr>
              <w:t>B2</w:t>
            </w:r>
          </w:p>
        </w:tc>
        <w:tc>
          <w:tcPr>
            <w:tcW w:type="dxa" w:w="1271"/>
          </w:tcPr>
          <w:p>
            <w:pPr>
              <w:spacing w:before="0" w:after="0" w:line="276" w:lineRule="auto"/>
            </w:pPr>
            <w:r/>
            <w:r>
              <w:rPr>
                <w:rFonts w:ascii="Times New Roman" w:hAnsi="Times New Roman" w:eastAsia="宋体"/>
                <w:b w:val="0"/>
                <w:color w:val="1F1F1F"/>
                <w:sz w:val="16"/>
              </w:rPr>
              <w:t>海绵化与雨水、中水回用</w:t>
            </w:r>
          </w:p>
        </w:tc>
        <w:tc>
          <w:tcPr>
            <w:tcW w:type="dxa" w:w="1916"/>
          </w:tcPr>
          <w:p>
            <w:pPr>
              <w:spacing w:before="0" w:after="0" w:line="276" w:lineRule="auto"/>
            </w:pPr>
            <w:r/>
            <w:r>
              <w:rPr>
                <w:rFonts w:ascii="Times New Roman" w:hAnsi="Times New Roman" w:eastAsia="宋体"/>
                <w:b w:val="0"/>
                <w:color w:val="1F1F1F"/>
                <w:sz w:val="16"/>
              </w:rPr>
              <w:t>透水铺装改造；雨水收集回用；中水回用范围研究</w:t>
            </w:r>
          </w:p>
        </w:tc>
        <w:tc>
          <w:tcPr>
            <w:tcW w:type="dxa" w:w="1309"/>
          </w:tcPr>
          <w:p>
            <w:pPr>
              <w:spacing w:before="0" w:after="0" w:line="276" w:lineRule="auto"/>
            </w:pPr>
            <w:r/>
            <w:r>
              <w:rPr>
                <w:rFonts w:ascii="Times New Roman" w:hAnsi="Times New Roman" w:eastAsia="宋体"/>
                <w:b w:val="0"/>
                <w:color w:val="1F1F1F"/>
                <w:sz w:val="16"/>
              </w:rPr>
              <w:t>道路、广场、绿地、水景</w:t>
            </w:r>
          </w:p>
        </w:tc>
        <w:tc>
          <w:tcPr>
            <w:tcW w:type="dxa" w:w="1013"/>
          </w:tcPr>
          <w:p>
            <w:pPr>
              <w:spacing w:before="0" w:after="0" w:line="276" w:lineRule="auto"/>
            </w:pPr>
            <w:r/>
            <w:r>
              <w:rPr>
                <w:rFonts w:ascii="Times New Roman" w:hAnsi="Times New Roman" w:eastAsia="宋体"/>
                <w:b w:val="0"/>
                <w:color w:val="1F1F1F"/>
                <w:sz w:val="16"/>
              </w:rPr>
              <w:t>近期试点、中期全园</w:t>
            </w:r>
          </w:p>
        </w:tc>
        <w:tc>
          <w:tcPr>
            <w:tcW w:type="dxa" w:w="1348"/>
          </w:tcPr>
          <w:p>
            <w:pPr>
              <w:spacing w:before="0" w:after="0" w:line="276" w:lineRule="auto"/>
            </w:pPr>
            <w:r/>
            <w:r>
              <w:rPr>
                <w:rFonts w:ascii="Times New Roman" w:hAnsi="Times New Roman" w:eastAsia="宋体"/>
                <w:b w:val="0"/>
                <w:color w:val="1F1F1F"/>
                <w:sz w:val="16"/>
              </w:rPr>
              <w:t>非传统水源利用量；海绵化面积</w:t>
            </w:r>
          </w:p>
        </w:tc>
        <w:tc>
          <w:tcPr>
            <w:tcW w:type="dxa" w:w="1039"/>
          </w:tcPr>
          <w:p>
            <w:pPr>
              <w:spacing w:before="0" w:after="0" w:line="276" w:lineRule="auto"/>
            </w:pPr>
            <w:r/>
            <w:r>
              <w:rPr>
                <w:rFonts w:ascii="Times New Roman" w:hAnsi="Times New Roman" w:eastAsia="宋体"/>
                <w:b w:val="0"/>
                <w:color w:val="1F1F1F"/>
                <w:sz w:val="16"/>
              </w:rPr>
              <w:t>15、16</w:t>
            </w:r>
          </w:p>
        </w:tc>
      </w:tr>
      <w:tr>
        <w:trPr>
          <w:cantSplit/>
        </w:trPr>
        <w:tc>
          <w:tcPr>
            <w:tcW w:type="dxa" w:w="948"/>
          </w:tcPr>
          <w:p>
            <w:pPr>
              <w:spacing w:before="0" w:after="0" w:line="276" w:lineRule="auto"/>
            </w:pPr>
            <w:r/>
            <w:r>
              <w:rPr>
                <w:rFonts w:ascii="Times New Roman" w:hAnsi="Times New Roman" w:eastAsia="宋体"/>
                <w:b w:val="0"/>
                <w:color w:val="1F1F1F"/>
                <w:sz w:val="16"/>
              </w:rPr>
              <w:t>B3</w:t>
            </w:r>
          </w:p>
        </w:tc>
        <w:tc>
          <w:tcPr>
            <w:tcW w:type="dxa" w:w="1271"/>
          </w:tcPr>
          <w:p>
            <w:pPr>
              <w:spacing w:before="0" w:after="0" w:line="276" w:lineRule="auto"/>
            </w:pPr>
            <w:r/>
            <w:r>
              <w:rPr>
                <w:rFonts w:ascii="Times New Roman" w:hAnsi="Times New Roman" w:eastAsia="宋体"/>
                <w:b w:val="0"/>
                <w:color w:val="1F1F1F"/>
                <w:sz w:val="16"/>
              </w:rPr>
              <w:t>绿量提升与步行系统串联</w:t>
            </w:r>
          </w:p>
        </w:tc>
        <w:tc>
          <w:tcPr>
            <w:tcW w:type="dxa" w:w="1916"/>
          </w:tcPr>
          <w:p>
            <w:pPr>
              <w:spacing w:before="0" w:after="0" w:line="276" w:lineRule="auto"/>
            </w:pPr>
            <w:r/>
            <w:r>
              <w:rPr>
                <w:rFonts w:ascii="Times New Roman" w:hAnsi="Times New Roman" w:eastAsia="宋体"/>
                <w:b w:val="0"/>
                <w:color w:val="1F1F1F"/>
                <w:sz w:val="16"/>
              </w:rPr>
              <w:t>增补乔木与垂直绿化；步道串联庭院、架空层、连廊；休憩与健身节点</w:t>
            </w:r>
          </w:p>
        </w:tc>
        <w:tc>
          <w:tcPr>
            <w:tcW w:type="dxa" w:w="1309"/>
          </w:tcPr>
          <w:p>
            <w:pPr>
              <w:spacing w:before="0" w:after="0" w:line="276" w:lineRule="auto"/>
            </w:pPr>
            <w:r/>
            <w:r>
              <w:rPr>
                <w:rFonts w:ascii="Times New Roman" w:hAnsi="Times New Roman" w:eastAsia="宋体"/>
                <w:b w:val="0"/>
                <w:color w:val="1F1F1F"/>
                <w:sz w:val="16"/>
              </w:rPr>
              <w:t>公共空间与庭院区</w:t>
            </w:r>
          </w:p>
        </w:tc>
        <w:tc>
          <w:tcPr>
            <w:tcW w:type="dxa" w:w="1013"/>
          </w:tcPr>
          <w:p>
            <w:pPr>
              <w:spacing w:before="0" w:after="0" w:line="276" w:lineRule="auto"/>
            </w:pPr>
            <w:r/>
            <w:r>
              <w:rPr>
                <w:rFonts w:ascii="Times New Roman" w:hAnsi="Times New Roman" w:eastAsia="宋体"/>
                <w:b w:val="0"/>
                <w:color w:val="1F1F1F"/>
                <w:sz w:val="16"/>
              </w:rPr>
              <w:t>中期</w:t>
            </w:r>
          </w:p>
        </w:tc>
        <w:tc>
          <w:tcPr>
            <w:tcW w:type="dxa" w:w="1348"/>
          </w:tcPr>
          <w:p>
            <w:pPr>
              <w:spacing w:before="0" w:after="0" w:line="276" w:lineRule="auto"/>
            </w:pPr>
            <w:r/>
            <w:r>
              <w:rPr>
                <w:rFonts w:ascii="Times New Roman" w:hAnsi="Times New Roman" w:eastAsia="宋体"/>
                <w:b w:val="0"/>
                <w:color w:val="1F1F1F"/>
                <w:sz w:val="16"/>
              </w:rPr>
              <w:t>连续步行系统；绿量增量</w:t>
            </w:r>
          </w:p>
        </w:tc>
        <w:tc>
          <w:tcPr>
            <w:tcW w:type="dxa" w:w="1039"/>
          </w:tcPr>
          <w:p>
            <w:pPr>
              <w:spacing w:before="0" w:after="0" w:line="276" w:lineRule="auto"/>
            </w:pPr>
            <w:r/>
            <w:r>
              <w:rPr>
                <w:rFonts w:ascii="Times New Roman" w:hAnsi="Times New Roman" w:eastAsia="宋体"/>
                <w:b w:val="0"/>
                <w:color w:val="1F1F1F"/>
                <w:sz w:val="16"/>
              </w:rPr>
              <w:t>16、25</w:t>
            </w:r>
          </w:p>
        </w:tc>
      </w:tr>
    </w:tbl>
    <w:p>
      <w:pPr>
        <w:spacing w:after="80"/>
      </w:pPr>
    </w:p>
    <w:p>
      <w:pPr>
        <w:pStyle w:val="Heading2"/>
        <w:keepNext/>
        <w:spacing w:before="240" w:after="120" w:line="360" w:lineRule="auto"/>
      </w:pPr>
      <w:r>
        <w:rPr>
          <w:rFonts w:ascii="Times New Roman" w:hAnsi="Times New Roman" w:eastAsia="黑体"/>
          <w:b w:val="0"/>
          <w:color w:val="1F1F1F"/>
          <w:sz w:val="32"/>
        </w:rPr>
        <w:t>三、C 包：智慧运营</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29"/>
        <w:gridCol w:w="1221"/>
        <w:gridCol w:w="2134"/>
        <w:gridCol w:w="1131"/>
        <w:gridCol w:w="1086"/>
        <w:gridCol w:w="1385"/>
        <w:gridCol w:w="958"/>
      </w:tblGrid>
      <w:tr>
        <w:trPr>
          <w:cantSplit/>
          <w:tblHeader/>
        </w:trPr>
        <w:tc>
          <w:tcPr>
            <w:tcW w:type="dxa" w:w="929"/>
            <w:shd w:val="clear" w:color="auto" w:fill="E7EEF3"/>
          </w:tcPr>
          <w:p>
            <w:pPr>
              <w:keepNext/>
              <w:spacing w:before="0" w:after="0" w:line="276" w:lineRule="auto"/>
              <w:jc w:val="center"/>
            </w:pPr>
            <w:r/>
            <w:r>
              <w:rPr>
                <w:rFonts w:ascii="Times New Roman" w:hAnsi="Times New Roman" w:eastAsia="宋体"/>
                <w:b/>
                <w:color w:val="1F1F1F"/>
                <w:sz w:val="16"/>
              </w:rPr>
              <w:t>编号</w:t>
            </w:r>
          </w:p>
        </w:tc>
        <w:tc>
          <w:tcPr>
            <w:tcW w:type="dxa" w:w="1221"/>
            <w:shd w:val="clear" w:color="auto" w:fill="E7EEF3"/>
          </w:tcPr>
          <w:p>
            <w:pPr>
              <w:keepNext/>
              <w:spacing w:before="0" w:after="0" w:line="276" w:lineRule="auto"/>
              <w:jc w:val="center"/>
            </w:pPr>
            <w:r/>
            <w:r>
              <w:rPr>
                <w:rFonts w:ascii="Times New Roman" w:hAnsi="Times New Roman" w:eastAsia="宋体"/>
                <w:b/>
                <w:color w:val="1F1F1F"/>
                <w:sz w:val="16"/>
              </w:rPr>
              <w:t>项目</w:t>
            </w:r>
          </w:p>
        </w:tc>
        <w:tc>
          <w:tcPr>
            <w:tcW w:type="dxa" w:w="2134"/>
            <w:shd w:val="clear" w:color="auto" w:fill="E7EEF3"/>
          </w:tcPr>
          <w:p>
            <w:pPr>
              <w:keepNext/>
              <w:spacing w:before="0" w:after="0" w:line="276" w:lineRule="auto"/>
              <w:jc w:val="center"/>
            </w:pPr>
            <w:r/>
            <w:r>
              <w:rPr>
                <w:rFonts w:ascii="Times New Roman" w:hAnsi="Times New Roman" w:eastAsia="宋体"/>
                <w:b/>
                <w:color w:val="1F1F1F"/>
                <w:sz w:val="16"/>
              </w:rPr>
              <w:t>主要内容</w:t>
            </w:r>
          </w:p>
        </w:tc>
        <w:tc>
          <w:tcPr>
            <w:tcW w:type="dxa" w:w="1131"/>
            <w:shd w:val="clear" w:color="auto" w:fill="E7EEF3"/>
          </w:tcPr>
          <w:p>
            <w:pPr>
              <w:keepNext/>
              <w:spacing w:before="0" w:after="0" w:line="276" w:lineRule="auto"/>
              <w:jc w:val="center"/>
            </w:pPr>
            <w:r/>
            <w:r>
              <w:rPr>
                <w:rFonts w:ascii="Times New Roman" w:hAnsi="Times New Roman" w:eastAsia="宋体"/>
                <w:b/>
                <w:color w:val="1F1F1F"/>
                <w:sz w:val="16"/>
              </w:rPr>
              <w:t>位置与系统</w:t>
            </w:r>
          </w:p>
        </w:tc>
        <w:tc>
          <w:tcPr>
            <w:tcW w:type="dxa" w:w="1086"/>
            <w:shd w:val="clear" w:color="auto" w:fill="E7EEF3"/>
          </w:tcPr>
          <w:p>
            <w:pPr>
              <w:keepNext/>
              <w:spacing w:before="0" w:after="0" w:line="276" w:lineRule="auto"/>
              <w:jc w:val="center"/>
            </w:pPr>
            <w:r/>
            <w:r>
              <w:rPr>
                <w:rFonts w:ascii="Times New Roman" w:hAnsi="Times New Roman" w:eastAsia="宋体"/>
                <w:b/>
                <w:color w:val="1F1F1F"/>
                <w:sz w:val="16"/>
              </w:rPr>
              <w:t>建设时序</w:t>
            </w:r>
          </w:p>
        </w:tc>
        <w:tc>
          <w:tcPr>
            <w:tcW w:type="dxa" w:w="1385"/>
            <w:shd w:val="clear" w:color="auto" w:fill="E7EEF3"/>
          </w:tcPr>
          <w:p>
            <w:pPr>
              <w:keepNext/>
              <w:spacing w:before="0" w:after="0" w:line="276" w:lineRule="auto"/>
              <w:jc w:val="center"/>
            </w:pPr>
            <w:r/>
            <w:r>
              <w:rPr>
                <w:rFonts w:ascii="Times New Roman" w:hAnsi="Times New Roman" w:eastAsia="宋体"/>
                <w:b/>
                <w:color w:val="1F1F1F"/>
                <w:sz w:val="16"/>
              </w:rPr>
              <w:t>主要产出</w:t>
            </w:r>
          </w:p>
        </w:tc>
        <w:tc>
          <w:tcPr>
            <w:tcW w:type="dxa" w:w="958"/>
            <w:shd w:val="clear" w:color="auto" w:fill="E7EEF3"/>
          </w:tcPr>
          <w:p>
            <w:pPr>
              <w:keepNext/>
              <w:spacing w:before="0" w:after="0" w:line="276" w:lineRule="auto"/>
              <w:jc w:val="center"/>
            </w:pPr>
            <w:r/>
            <w:r>
              <w:rPr>
                <w:rFonts w:ascii="Times New Roman" w:hAnsi="Times New Roman" w:eastAsia="宋体"/>
                <w:b/>
                <w:color w:val="1F1F1F"/>
                <w:sz w:val="16"/>
              </w:rPr>
              <w:t>关联指标</w:t>
            </w:r>
          </w:p>
        </w:tc>
      </w:tr>
      <w:tr>
        <w:trPr>
          <w:cantSplit/>
        </w:trPr>
        <w:tc>
          <w:tcPr>
            <w:tcW w:type="dxa" w:w="929"/>
          </w:tcPr>
          <w:p>
            <w:pPr>
              <w:spacing w:before="0" w:after="0" w:line="276" w:lineRule="auto"/>
            </w:pPr>
            <w:r/>
            <w:r>
              <w:rPr>
                <w:rFonts w:ascii="Times New Roman" w:hAnsi="Times New Roman" w:eastAsia="宋体"/>
                <w:b w:val="0"/>
                <w:color w:val="1F1F1F"/>
                <w:sz w:val="16"/>
              </w:rPr>
              <w:t>C1</w:t>
            </w:r>
          </w:p>
        </w:tc>
        <w:tc>
          <w:tcPr>
            <w:tcW w:type="dxa" w:w="1221"/>
          </w:tcPr>
          <w:p>
            <w:pPr>
              <w:spacing w:before="0" w:after="0" w:line="276" w:lineRule="auto"/>
            </w:pPr>
            <w:r/>
            <w:r>
              <w:rPr>
                <w:rFonts w:ascii="Times New Roman" w:hAnsi="Times New Roman" w:eastAsia="宋体"/>
                <w:b w:val="0"/>
                <w:color w:val="1F1F1F"/>
                <w:sz w:val="16"/>
              </w:rPr>
              <w:t>平台总体设计与数据主权</w:t>
            </w:r>
          </w:p>
        </w:tc>
        <w:tc>
          <w:tcPr>
            <w:tcW w:type="dxa" w:w="2134"/>
          </w:tcPr>
          <w:p>
            <w:pPr>
              <w:spacing w:before="0" w:after="0" w:line="276" w:lineRule="auto"/>
            </w:pPr>
            <w:r/>
            <w:r>
              <w:rPr>
                <w:rFonts w:ascii="Times New Roman" w:hAnsi="Times New Roman" w:eastAsia="宋体"/>
                <w:b w:val="0"/>
                <w:color w:val="1F1F1F"/>
                <w:sz w:val="16"/>
              </w:rPr>
              <w:t>“一个平台、两类功能”总体设计；接口清单；本地化部署与数据主权条款；网络安全分区</w:t>
            </w:r>
          </w:p>
        </w:tc>
        <w:tc>
          <w:tcPr>
            <w:tcW w:type="dxa" w:w="1131"/>
          </w:tcPr>
          <w:p>
            <w:pPr>
              <w:spacing w:before="0" w:after="0" w:line="276" w:lineRule="auto"/>
            </w:pPr>
            <w:r/>
            <w:r>
              <w:rPr>
                <w:rFonts w:ascii="Times New Roman" w:hAnsi="Times New Roman" w:eastAsia="宋体"/>
                <w:b w:val="0"/>
                <w:color w:val="1F1F1F"/>
                <w:sz w:val="16"/>
              </w:rPr>
              <w:t>统一平台</w:t>
            </w:r>
          </w:p>
        </w:tc>
        <w:tc>
          <w:tcPr>
            <w:tcW w:type="dxa" w:w="1086"/>
          </w:tcPr>
          <w:p>
            <w:pPr>
              <w:spacing w:before="0" w:after="0" w:line="276" w:lineRule="auto"/>
            </w:pPr>
            <w:r/>
            <w:r>
              <w:rPr>
                <w:rFonts w:ascii="Times New Roman" w:hAnsi="Times New Roman" w:eastAsia="宋体"/>
                <w:b w:val="0"/>
                <w:color w:val="1F1F1F"/>
                <w:sz w:val="16"/>
              </w:rPr>
              <w:t>近期·先行</w:t>
            </w:r>
          </w:p>
        </w:tc>
        <w:tc>
          <w:tcPr>
            <w:tcW w:type="dxa" w:w="1385"/>
          </w:tcPr>
          <w:p>
            <w:pPr>
              <w:spacing w:before="0" w:after="0" w:line="276" w:lineRule="auto"/>
            </w:pPr>
            <w:r/>
            <w:r>
              <w:rPr>
                <w:rFonts w:ascii="Times New Roman" w:hAnsi="Times New Roman" w:eastAsia="宋体"/>
                <w:b w:val="0"/>
                <w:color w:val="1F1F1F"/>
                <w:sz w:val="16"/>
              </w:rPr>
              <w:t>平台总体设计文件；数据主权条款模板</w:t>
            </w:r>
          </w:p>
        </w:tc>
        <w:tc>
          <w:tcPr>
            <w:tcW w:type="dxa" w:w="958"/>
          </w:tcPr>
          <w:p>
            <w:pPr>
              <w:spacing w:before="0" w:after="0" w:line="276" w:lineRule="auto"/>
            </w:pPr>
            <w:r/>
            <w:r>
              <w:rPr>
                <w:rFonts w:ascii="Times New Roman" w:hAnsi="Times New Roman" w:eastAsia="宋体"/>
                <w:b w:val="0"/>
                <w:color w:val="1F1F1F"/>
                <w:sz w:val="16"/>
              </w:rPr>
              <w:t>13</w:t>
            </w:r>
          </w:p>
        </w:tc>
      </w:tr>
      <w:tr>
        <w:trPr>
          <w:cantSplit/>
        </w:trPr>
        <w:tc>
          <w:tcPr>
            <w:tcW w:type="dxa" w:w="929"/>
          </w:tcPr>
          <w:p>
            <w:pPr>
              <w:spacing w:before="0" w:after="0" w:line="276" w:lineRule="auto"/>
            </w:pPr>
            <w:r/>
            <w:r>
              <w:rPr>
                <w:rFonts w:ascii="Times New Roman" w:hAnsi="Times New Roman" w:eastAsia="宋体"/>
                <w:b w:val="0"/>
                <w:color w:val="1F1F1F"/>
                <w:sz w:val="16"/>
              </w:rPr>
              <w:t>C2</w:t>
            </w:r>
          </w:p>
        </w:tc>
        <w:tc>
          <w:tcPr>
            <w:tcW w:type="dxa" w:w="1221"/>
          </w:tcPr>
          <w:p>
            <w:pPr>
              <w:spacing w:before="0" w:after="0" w:line="276" w:lineRule="auto"/>
            </w:pPr>
            <w:r/>
            <w:r>
              <w:rPr>
                <w:rFonts w:ascii="Times New Roman" w:hAnsi="Times New Roman" w:eastAsia="宋体"/>
                <w:b w:val="0"/>
                <w:color w:val="1F1F1F"/>
                <w:sz w:val="16"/>
              </w:rPr>
              <w:t>四级计量补齐与能碳数据底座</w:t>
            </w:r>
          </w:p>
        </w:tc>
        <w:tc>
          <w:tcPr>
            <w:tcW w:type="dxa" w:w="2134"/>
          </w:tcPr>
          <w:p>
            <w:pPr>
              <w:spacing w:before="0" w:after="0" w:line="276" w:lineRule="auto"/>
            </w:pPr>
            <w:r/>
            <w:r>
              <w:rPr>
                <w:rFonts w:ascii="Times New Roman" w:hAnsi="Times New Roman" w:eastAsia="宋体"/>
                <w:b w:val="0"/>
                <w:color w:val="1F1F1F"/>
                <w:sz w:val="16"/>
              </w:rPr>
              <w:t>地块—楼宇—区域—楼层计量补齐；环境、设备、人流数据汇聚；计量口径两用</w:t>
            </w:r>
          </w:p>
        </w:tc>
        <w:tc>
          <w:tcPr>
            <w:tcW w:type="dxa" w:w="1131"/>
          </w:tcPr>
          <w:p>
            <w:pPr>
              <w:spacing w:before="0" w:after="0" w:line="276" w:lineRule="auto"/>
            </w:pPr>
            <w:r/>
            <w:r>
              <w:rPr>
                <w:rFonts w:ascii="Times New Roman" w:hAnsi="Times New Roman" w:eastAsia="宋体"/>
                <w:b w:val="0"/>
                <w:color w:val="1F1F1F"/>
                <w:sz w:val="16"/>
              </w:rPr>
              <w:t>全园计量点；平台</w:t>
            </w:r>
          </w:p>
        </w:tc>
        <w:tc>
          <w:tcPr>
            <w:tcW w:type="dxa" w:w="1086"/>
          </w:tcPr>
          <w:p>
            <w:pPr>
              <w:spacing w:before="0" w:after="0" w:line="276" w:lineRule="auto"/>
            </w:pPr>
            <w:r/>
            <w:r>
              <w:rPr>
                <w:rFonts w:ascii="Times New Roman" w:hAnsi="Times New Roman" w:eastAsia="宋体"/>
                <w:b w:val="0"/>
                <w:color w:val="1F1F1F"/>
                <w:sz w:val="16"/>
              </w:rPr>
              <w:t>近期试点区、中期全园</w:t>
            </w:r>
          </w:p>
        </w:tc>
        <w:tc>
          <w:tcPr>
            <w:tcW w:type="dxa" w:w="1385"/>
          </w:tcPr>
          <w:p>
            <w:pPr>
              <w:spacing w:before="0" w:after="0" w:line="276" w:lineRule="auto"/>
            </w:pPr>
            <w:r/>
            <w:r>
              <w:rPr>
                <w:rFonts w:ascii="Times New Roman" w:hAnsi="Times New Roman" w:eastAsia="宋体"/>
                <w:b w:val="0"/>
                <w:color w:val="1F1F1F"/>
                <w:sz w:val="16"/>
              </w:rPr>
              <w:t>分项计量全覆盖；能碳数据底座</w:t>
            </w:r>
          </w:p>
        </w:tc>
        <w:tc>
          <w:tcPr>
            <w:tcW w:type="dxa" w:w="958"/>
          </w:tcPr>
          <w:p>
            <w:pPr>
              <w:spacing w:before="0" w:after="0" w:line="276" w:lineRule="auto"/>
            </w:pPr>
            <w:r/>
            <w:r>
              <w:rPr>
                <w:rFonts w:ascii="Times New Roman" w:hAnsi="Times New Roman" w:eastAsia="宋体"/>
                <w:b w:val="0"/>
                <w:color w:val="1F1F1F"/>
                <w:sz w:val="16"/>
              </w:rPr>
              <w:t>11、12</w:t>
            </w:r>
          </w:p>
        </w:tc>
      </w:tr>
      <w:tr>
        <w:trPr>
          <w:cantSplit/>
        </w:trPr>
        <w:tc>
          <w:tcPr>
            <w:tcW w:type="dxa" w:w="929"/>
          </w:tcPr>
          <w:p>
            <w:pPr>
              <w:spacing w:before="0" w:after="0" w:line="276" w:lineRule="auto"/>
            </w:pPr>
            <w:r/>
            <w:r>
              <w:rPr>
                <w:rFonts w:ascii="Times New Roman" w:hAnsi="Times New Roman" w:eastAsia="宋体"/>
                <w:b w:val="0"/>
                <w:color w:val="1F1F1F"/>
                <w:sz w:val="16"/>
              </w:rPr>
              <w:t>C3</w:t>
            </w:r>
          </w:p>
        </w:tc>
        <w:tc>
          <w:tcPr>
            <w:tcW w:type="dxa" w:w="1221"/>
          </w:tcPr>
          <w:p>
            <w:pPr>
              <w:spacing w:before="0" w:after="0" w:line="276" w:lineRule="auto"/>
            </w:pPr>
            <w:r/>
            <w:r>
              <w:rPr>
                <w:rFonts w:ascii="Times New Roman" w:hAnsi="Times New Roman" w:eastAsia="宋体"/>
                <w:b w:val="0"/>
                <w:color w:val="1F1F1F"/>
                <w:sz w:val="16"/>
              </w:rPr>
              <w:t>会议预约联动与末端节能</w:t>
            </w:r>
          </w:p>
        </w:tc>
        <w:tc>
          <w:tcPr>
            <w:tcW w:type="dxa" w:w="2134"/>
          </w:tcPr>
          <w:p>
            <w:pPr>
              <w:spacing w:before="0" w:after="0" w:line="276" w:lineRule="auto"/>
            </w:pPr>
            <w:r/>
            <w:r>
              <w:rPr>
                <w:rFonts w:ascii="Times New Roman" w:hAnsi="Times New Roman" w:eastAsia="宋体"/>
                <w:b w:val="0"/>
                <w:color w:val="1F1F1F"/>
                <w:sz w:val="16"/>
              </w:rPr>
              <w:t>会议室、公共区照明与空调末端接入预约系统；人感控制；智能空开插座</w:t>
            </w:r>
          </w:p>
        </w:tc>
        <w:tc>
          <w:tcPr>
            <w:tcW w:type="dxa" w:w="1131"/>
          </w:tcPr>
          <w:p>
            <w:pPr>
              <w:spacing w:before="0" w:after="0" w:line="276" w:lineRule="auto"/>
            </w:pPr>
            <w:r/>
            <w:r>
              <w:rPr>
                <w:rFonts w:ascii="Times New Roman" w:hAnsi="Times New Roman" w:eastAsia="宋体"/>
                <w:b w:val="0"/>
                <w:color w:val="1F1F1F"/>
                <w:sz w:val="16"/>
              </w:rPr>
              <w:t>各办公楼；试点区先行</w:t>
            </w:r>
          </w:p>
        </w:tc>
        <w:tc>
          <w:tcPr>
            <w:tcW w:type="dxa" w:w="1086"/>
          </w:tcPr>
          <w:p>
            <w:pPr>
              <w:spacing w:before="0" w:after="0" w:line="276" w:lineRule="auto"/>
            </w:pPr>
            <w:r/>
            <w:r>
              <w:rPr>
                <w:rFonts w:ascii="Times New Roman" w:hAnsi="Times New Roman" w:eastAsia="宋体"/>
                <w:b w:val="0"/>
                <w:color w:val="1F1F1F"/>
                <w:sz w:val="16"/>
              </w:rPr>
              <w:t>近期试点、中期全园</w:t>
            </w:r>
          </w:p>
        </w:tc>
        <w:tc>
          <w:tcPr>
            <w:tcW w:type="dxa" w:w="1385"/>
          </w:tcPr>
          <w:p>
            <w:pPr>
              <w:spacing w:before="0" w:after="0" w:line="276" w:lineRule="auto"/>
            </w:pPr>
            <w:r/>
            <w:r>
              <w:rPr>
                <w:rFonts w:ascii="Times New Roman" w:hAnsi="Times New Roman" w:eastAsia="宋体"/>
                <w:b w:val="0"/>
                <w:color w:val="1F1F1F"/>
                <w:sz w:val="16"/>
              </w:rPr>
              <w:t>联动覆盖率；末端待机能耗下降实测值</w:t>
            </w:r>
          </w:p>
        </w:tc>
        <w:tc>
          <w:tcPr>
            <w:tcW w:type="dxa" w:w="958"/>
          </w:tcPr>
          <w:p>
            <w:pPr>
              <w:spacing w:before="0" w:after="0" w:line="276" w:lineRule="auto"/>
            </w:pPr>
            <w:r/>
            <w:r>
              <w:rPr>
                <w:rFonts w:ascii="Times New Roman" w:hAnsi="Times New Roman" w:eastAsia="宋体"/>
                <w:b w:val="0"/>
                <w:color w:val="1F1F1F"/>
                <w:sz w:val="16"/>
              </w:rPr>
              <w:t>10</w:t>
            </w:r>
          </w:p>
        </w:tc>
      </w:tr>
      <w:tr>
        <w:trPr>
          <w:cantSplit/>
        </w:trPr>
        <w:tc>
          <w:tcPr>
            <w:tcW w:type="dxa" w:w="929"/>
          </w:tcPr>
          <w:p>
            <w:pPr>
              <w:spacing w:before="0" w:after="0" w:line="276" w:lineRule="auto"/>
            </w:pPr>
            <w:r/>
            <w:r>
              <w:rPr>
                <w:rFonts w:ascii="Times New Roman" w:hAnsi="Times New Roman" w:eastAsia="宋体"/>
                <w:b w:val="0"/>
                <w:color w:val="1F1F1F"/>
                <w:sz w:val="16"/>
              </w:rPr>
              <w:t>C4</w:t>
            </w:r>
          </w:p>
        </w:tc>
        <w:tc>
          <w:tcPr>
            <w:tcW w:type="dxa" w:w="1221"/>
          </w:tcPr>
          <w:p>
            <w:pPr>
              <w:spacing w:before="0" w:after="0" w:line="276" w:lineRule="auto"/>
            </w:pPr>
            <w:r/>
            <w:r>
              <w:rPr>
                <w:rFonts w:ascii="Times New Roman" w:hAnsi="Times New Roman" w:eastAsia="宋体"/>
                <w:b w:val="0"/>
                <w:color w:val="1F1F1F"/>
                <w:sz w:val="16"/>
              </w:rPr>
              <w:t>数字孪生与智能运营中心</w:t>
            </w:r>
          </w:p>
        </w:tc>
        <w:tc>
          <w:tcPr>
            <w:tcW w:type="dxa" w:w="2134"/>
          </w:tcPr>
          <w:p>
            <w:pPr>
              <w:spacing w:before="0" w:after="0" w:line="276" w:lineRule="auto"/>
            </w:pPr>
            <w:r/>
            <w:r>
              <w:rPr>
                <w:rFonts w:ascii="Times New Roman" w:hAnsi="Times New Roman" w:eastAsia="宋体"/>
                <w:b w:val="0"/>
                <w:color w:val="1F1F1F"/>
                <w:sz w:val="16"/>
              </w:rPr>
              <w:t>园区模型联动运行数据；异常预警闭环；叠加电网侧数据；利用既有房间设运营中心</w:t>
            </w:r>
          </w:p>
        </w:tc>
        <w:tc>
          <w:tcPr>
            <w:tcW w:type="dxa" w:w="1131"/>
          </w:tcPr>
          <w:p>
            <w:pPr>
              <w:spacing w:before="0" w:after="0" w:line="276" w:lineRule="auto"/>
            </w:pPr>
            <w:r/>
            <w:r>
              <w:rPr>
                <w:rFonts w:ascii="Times New Roman" w:hAnsi="Times New Roman" w:eastAsia="宋体"/>
                <w:b w:val="0"/>
                <w:color w:val="1F1F1F"/>
                <w:sz w:val="16"/>
              </w:rPr>
              <w:t>运营中心；平台</w:t>
            </w:r>
          </w:p>
        </w:tc>
        <w:tc>
          <w:tcPr>
            <w:tcW w:type="dxa" w:w="1086"/>
          </w:tcPr>
          <w:p>
            <w:pPr>
              <w:spacing w:before="0" w:after="0" w:line="276" w:lineRule="auto"/>
            </w:pPr>
            <w:r/>
            <w:r>
              <w:rPr>
                <w:rFonts w:ascii="Times New Roman" w:hAnsi="Times New Roman" w:eastAsia="宋体"/>
                <w:b w:val="0"/>
                <w:color w:val="1F1F1F"/>
                <w:sz w:val="16"/>
              </w:rPr>
              <w:t>中期</w:t>
            </w:r>
          </w:p>
        </w:tc>
        <w:tc>
          <w:tcPr>
            <w:tcW w:type="dxa" w:w="1385"/>
          </w:tcPr>
          <w:p>
            <w:pPr>
              <w:spacing w:before="0" w:after="0" w:line="276" w:lineRule="auto"/>
            </w:pPr>
            <w:r/>
            <w:r>
              <w:rPr>
                <w:rFonts w:ascii="Times New Roman" w:hAnsi="Times New Roman" w:eastAsia="宋体"/>
                <w:b w:val="0"/>
                <w:color w:val="1F1F1F"/>
                <w:sz w:val="16"/>
              </w:rPr>
              <w:t>运营中心建成；预警闭环记录</w:t>
            </w:r>
          </w:p>
        </w:tc>
        <w:tc>
          <w:tcPr>
            <w:tcW w:type="dxa" w:w="958"/>
          </w:tcPr>
          <w:p>
            <w:pPr>
              <w:spacing w:before="0" w:after="0" w:line="276" w:lineRule="auto"/>
            </w:pPr>
            <w:r/>
            <w:r>
              <w:rPr>
                <w:rFonts w:ascii="Times New Roman" w:hAnsi="Times New Roman" w:eastAsia="宋体"/>
                <w:b w:val="0"/>
                <w:color w:val="1F1F1F"/>
                <w:sz w:val="16"/>
              </w:rPr>
              <w:t>12、26</w:t>
            </w:r>
          </w:p>
        </w:tc>
      </w:tr>
      <w:tr>
        <w:trPr>
          <w:cantSplit/>
        </w:trPr>
        <w:tc>
          <w:tcPr>
            <w:tcW w:type="dxa" w:w="929"/>
          </w:tcPr>
          <w:p>
            <w:pPr>
              <w:spacing w:before="0" w:after="0" w:line="276" w:lineRule="auto"/>
            </w:pPr>
            <w:r/>
            <w:r>
              <w:rPr>
                <w:rFonts w:ascii="Times New Roman" w:hAnsi="Times New Roman" w:eastAsia="宋体"/>
                <w:b w:val="0"/>
                <w:color w:val="1F1F1F"/>
                <w:sz w:val="16"/>
              </w:rPr>
              <w:t>C5</w:t>
            </w:r>
          </w:p>
        </w:tc>
        <w:tc>
          <w:tcPr>
            <w:tcW w:type="dxa" w:w="1221"/>
          </w:tcPr>
          <w:p>
            <w:pPr>
              <w:spacing w:before="0" w:after="0" w:line="276" w:lineRule="auto"/>
            </w:pPr>
            <w:r/>
            <w:r>
              <w:rPr>
                <w:rFonts w:ascii="Times New Roman" w:hAnsi="Times New Roman" w:eastAsia="宋体"/>
                <w:b w:val="0"/>
                <w:color w:val="1F1F1F"/>
                <w:sz w:val="16"/>
              </w:rPr>
              <w:t>负荷预测与调优模型</w:t>
            </w:r>
          </w:p>
        </w:tc>
        <w:tc>
          <w:tcPr>
            <w:tcW w:type="dxa" w:w="2134"/>
          </w:tcPr>
          <w:p>
            <w:pPr>
              <w:spacing w:before="0" w:after="0" w:line="276" w:lineRule="auto"/>
            </w:pPr>
            <w:r/>
            <w:r>
              <w:rPr>
                <w:rFonts w:ascii="Times New Roman" w:hAnsi="Times New Roman" w:eastAsia="宋体"/>
                <w:b w:val="0"/>
                <w:color w:val="1F1F1F"/>
                <w:sz w:val="16"/>
              </w:rPr>
              <w:t>冷站与末端负荷预测；与实时电价、需求响应打通；驱动 A2、A3</w:t>
            </w:r>
          </w:p>
        </w:tc>
        <w:tc>
          <w:tcPr>
            <w:tcW w:type="dxa" w:w="1131"/>
          </w:tcPr>
          <w:p>
            <w:pPr>
              <w:spacing w:before="0" w:after="0" w:line="276" w:lineRule="auto"/>
            </w:pPr>
            <w:r/>
            <w:r>
              <w:rPr>
                <w:rFonts w:ascii="Times New Roman" w:hAnsi="Times New Roman" w:eastAsia="宋体"/>
                <w:b w:val="0"/>
                <w:color w:val="1F1F1F"/>
                <w:sz w:val="16"/>
              </w:rPr>
              <w:t>平台模型层；边缘控制器</w:t>
            </w:r>
          </w:p>
        </w:tc>
        <w:tc>
          <w:tcPr>
            <w:tcW w:type="dxa" w:w="1086"/>
          </w:tcPr>
          <w:p>
            <w:pPr>
              <w:spacing w:before="0" w:after="0" w:line="276" w:lineRule="auto"/>
            </w:pPr>
            <w:r/>
            <w:r>
              <w:rPr>
                <w:rFonts w:ascii="Times New Roman" w:hAnsi="Times New Roman" w:eastAsia="宋体"/>
                <w:b w:val="0"/>
                <w:color w:val="1F1F1F"/>
                <w:sz w:val="16"/>
              </w:rPr>
              <w:t>近期基线、中期在线</w:t>
            </w:r>
          </w:p>
        </w:tc>
        <w:tc>
          <w:tcPr>
            <w:tcW w:type="dxa" w:w="1385"/>
          </w:tcPr>
          <w:p>
            <w:pPr>
              <w:spacing w:before="0" w:after="0" w:line="276" w:lineRule="auto"/>
            </w:pPr>
            <w:r/>
            <w:r>
              <w:rPr>
                <w:rFonts w:ascii="Times New Roman" w:hAnsi="Times New Roman" w:eastAsia="宋体"/>
                <w:b w:val="0"/>
                <w:color w:val="1F1F1F"/>
                <w:sz w:val="16"/>
              </w:rPr>
              <w:t>训练完成的模型；预测精度记录</w:t>
            </w:r>
          </w:p>
        </w:tc>
        <w:tc>
          <w:tcPr>
            <w:tcW w:type="dxa" w:w="958"/>
          </w:tcPr>
          <w:p>
            <w:pPr>
              <w:spacing w:before="0" w:after="0" w:line="276" w:lineRule="auto"/>
            </w:pPr>
            <w:r/>
            <w:r>
              <w:rPr>
                <w:rFonts w:ascii="Times New Roman" w:hAnsi="Times New Roman" w:eastAsia="宋体"/>
                <w:b w:val="0"/>
                <w:color w:val="1F1F1F"/>
                <w:sz w:val="16"/>
              </w:rPr>
              <w:t>8、14</w:t>
            </w:r>
          </w:p>
        </w:tc>
      </w:tr>
    </w:tbl>
    <w:p>
      <w:pPr>
        <w:spacing w:after="80"/>
      </w:pPr>
    </w:p>
    <w:p>
      <w:pPr>
        <w:pStyle w:val="Heading2"/>
        <w:keepNext/>
        <w:spacing w:before="240" w:after="120" w:line="360" w:lineRule="auto"/>
      </w:pPr>
      <w:r>
        <w:rPr>
          <w:rFonts w:ascii="Times New Roman" w:hAnsi="Times New Roman" w:eastAsia="黑体"/>
          <w:b w:val="0"/>
          <w:color w:val="1F1F1F"/>
          <w:sz w:val="32"/>
        </w:rPr>
        <w:t>四、D 包：普惠、健康与人文</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3"/>
        <w:gridCol w:w="1278"/>
        <w:gridCol w:w="2046"/>
        <w:gridCol w:w="1278"/>
        <w:gridCol w:w="1058"/>
        <w:gridCol w:w="1278"/>
        <w:gridCol w:w="963"/>
      </w:tblGrid>
      <w:tr>
        <w:trPr>
          <w:cantSplit/>
          <w:tblHeader/>
        </w:trPr>
        <w:tc>
          <w:tcPr>
            <w:tcW w:type="dxa" w:w="943"/>
            <w:shd w:val="clear" w:color="auto" w:fill="E7EEF3"/>
          </w:tcPr>
          <w:p>
            <w:pPr>
              <w:keepNext/>
              <w:spacing w:before="0" w:after="0" w:line="276" w:lineRule="auto"/>
              <w:jc w:val="center"/>
            </w:pPr>
            <w:r/>
            <w:r>
              <w:rPr>
                <w:rFonts w:ascii="Times New Roman" w:hAnsi="Times New Roman" w:eastAsia="宋体"/>
                <w:b/>
                <w:color w:val="1F1F1F"/>
                <w:sz w:val="16"/>
              </w:rPr>
              <w:t>编号</w:t>
            </w:r>
          </w:p>
        </w:tc>
        <w:tc>
          <w:tcPr>
            <w:tcW w:type="dxa" w:w="1278"/>
            <w:shd w:val="clear" w:color="auto" w:fill="E7EEF3"/>
          </w:tcPr>
          <w:p>
            <w:pPr>
              <w:keepNext/>
              <w:spacing w:before="0" w:after="0" w:line="276" w:lineRule="auto"/>
              <w:jc w:val="center"/>
            </w:pPr>
            <w:r/>
            <w:r>
              <w:rPr>
                <w:rFonts w:ascii="Times New Roman" w:hAnsi="Times New Roman" w:eastAsia="宋体"/>
                <w:b/>
                <w:color w:val="1F1F1F"/>
                <w:sz w:val="16"/>
              </w:rPr>
              <w:t>项目</w:t>
            </w:r>
          </w:p>
        </w:tc>
        <w:tc>
          <w:tcPr>
            <w:tcW w:type="dxa" w:w="2046"/>
            <w:shd w:val="clear" w:color="auto" w:fill="E7EEF3"/>
          </w:tcPr>
          <w:p>
            <w:pPr>
              <w:keepNext/>
              <w:spacing w:before="0" w:after="0" w:line="276" w:lineRule="auto"/>
              <w:jc w:val="center"/>
            </w:pPr>
            <w:r/>
            <w:r>
              <w:rPr>
                <w:rFonts w:ascii="Times New Roman" w:hAnsi="Times New Roman" w:eastAsia="宋体"/>
                <w:b/>
                <w:color w:val="1F1F1F"/>
                <w:sz w:val="16"/>
              </w:rPr>
              <w:t>主要内容</w:t>
            </w:r>
          </w:p>
        </w:tc>
        <w:tc>
          <w:tcPr>
            <w:tcW w:type="dxa" w:w="1278"/>
            <w:shd w:val="clear" w:color="auto" w:fill="E7EEF3"/>
          </w:tcPr>
          <w:p>
            <w:pPr>
              <w:keepNext/>
              <w:spacing w:before="0" w:after="0" w:line="276" w:lineRule="auto"/>
              <w:jc w:val="center"/>
            </w:pPr>
            <w:r/>
            <w:r>
              <w:rPr>
                <w:rFonts w:ascii="Times New Roman" w:hAnsi="Times New Roman" w:eastAsia="宋体"/>
                <w:b/>
                <w:color w:val="1F1F1F"/>
                <w:sz w:val="16"/>
              </w:rPr>
              <w:t>位置与系统</w:t>
            </w:r>
          </w:p>
        </w:tc>
        <w:tc>
          <w:tcPr>
            <w:tcW w:type="dxa" w:w="1058"/>
            <w:shd w:val="clear" w:color="auto" w:fill="E7EEF3"/>
          </w:tcPr>
          <w:p>
            <w:pPr>
              <w:keepNext/>
              <w:spacing w:before="0" w:after="0" w:line="276" w:lineRule="auto"/>
              <w:jc w:val="center"/>
            </w:pPr>
            <w:r/>
            <w:r>
              <w:rPr>
                <w:rFonts w:ascii="Times New Roman" w:hAnsi="Times New Roman" w:eastAsia="宋体"/>
                <w:b/>
                <w:color w:val="1F1F1F"/>
                <w:sz w:val="16"/>
              </w:rPr>
              <w:t>建设时序</w:t>
            </w:r>
          </w:p>
        </w:tc>
        <w:tc>
          <w:tcPr>
            <w:tcW w:type="dxa" w:w="1278"/>
            <w:shd w:val="clear" w:color="auto" w:fill="E7EEF3"/>
          </w:tcPr>
          <w:p>
            <w:pPr>
              <w:keepNext/>
              <w:spacing w:before="0" w:after="0" w:line="276" w:lineRule="auto"/>
              <w:jc w:val="center"/>
            </w:pPr>
            <w:r/>
            <w:r>
              <w:rPr>
                <w:rFonts w:ascii="Times New Roman" w:hAnsi="Times New Roman" w:eastAsia="宋体"/>
                <w:b/>
                <w:color w:val="1F1F1F"/>
                <w:sz w:val="16"/>
              </w:rPr>
              <w:t>主要产出</w:t>
            </w:r>
          </w:p>
        </w:tc>
        <w:tc>
          <w:tcPr>
            <w:tcW w:type="dxa" w:w="963"/>
            <w:shd w:val="clear" w:color="auto" w:fill="E7EEF3"/>
          </w:tcPr>
          <w:p>
            <w:pPr>
              <w:keepNext/>
              <w:spacing w:before="0" w:after="0" w:line="276" w:lineRule="auto"/>
              <w:jc w:val="center"/>
            </w:pPr>
            <w:r/>
            <w:r>
              <w:rPr>
                <w:rFonts w:ascii="Times New Roman" w:hAnsi="Times New Roman" w:eastAsia="宋体"/>
                <w:b/>
                <w:color w:val="1F1F1F"/>
                <w:sz w:val="16"/>
              </w:rPr>
              <w:t>关联指标</w:t>
            </w:r>
          </w:p>
        </w:tc>
      </w:tr>
      <w:tr>
        <w:trPr>
          <w:cantSplit/>
        </w:trPr>
        <w:tc>
          <w:tcPr>
            <w:tcW w:type="dxa" w:w="943"/>
          </w:tcPr>
          <w:p>
            <w:pPr>
              <w:spacing w:before="0" w:after="0" w:line="276" w:lineRule="auto"/>
            </w:pPr>
            <w:r/>
            <w:r>
              <w:rPr>
                <w:rFonts w:ascii="Times New Roman" w:hAnsi="Times New Roman" w:eastAsia="宋体"/>
                <w:b w:val="0"/>
                <w:color w:val="1F1F1F"/>
                <w:sz w:val="16"/>
              </w:rPr>
              <w:t>D1</w:t>
            </w:r>
          </w:p>
        </w:tc>
        <w:tc>
          <w:tcPr>
            <w:tcW w:type="dxa" w:w="1278"/>
          </w:tcPr>
          <w:p>
            <w:pPr>
              <w:spacing w:before="0" w:after="0" w:line="276" w:lineRule="auto"/>
            </w:pPr>
            <w:r/>
            <w:r>
              <w:rPr>
                <w:rFonts w:ascii="Times New Roman" w:hAnsi="Times New Roman" w:eastAsia="宋体"/>
                <w:b w:val="0"/>
                <w:color w:val="1F1F1F"/>
                <w:sz w:val="16"/>
              </w:rPr>
              <w:t>碳普惠与三级碳账</w:t>
            </w:r>
          </w:p>
        </w:tc>
        <w:tc>
          <w:tcPr>
            <w:tcW w:type="dxa" w:w="2046"/>
          </w:tcPr>
          <w:p>
            <w:pPr>
              <w:spacing w:before="0" w:after="0" w:line="276" w:lineRule="auto"/>
            </w:pPr>
            <w:r/>
            <w:r>
              <w:rPr>
                <w:rFonts w:ascii="Times New Roman" w:hAnsi="Times New Roman" w:eastAsia="宋体"/>
                <w:b w:val="0"/>
                <w:color w:val="1F1F1F"/>
                <w:sz w:val="16"/>
              </w:rPr>
              <w:t>个人—团队—园区三级碳账；行为自动记账；总账公示；积分兑换</w:t>
            </w:r>
          </w:p>
        </w:tc>
        <w:tc>
          <w:tcPr>
            <w:tcW w:type="dxa" w:w="1278"/>
          </w:tcPr>
          <w:p>
            <w:pPr>
              <w:spacing w:before="0" w:after="0" w:line="276" w:lineRule="auto"/>
            </w:pPr>
            <w:r/>
            <w:r>
              <w:rPr>
                <w:rFonts w:ascii="Times New Roman" w:hAnsi="Times New Roman" w:eastAsia="宋体"/>
                <w:b w:val="0"/>
                <w:color w:val="1F1F1F"/>
                <w:sz w:val="16"/>
              </w:rPr>
              <w:t>平台园内侧；小程序</w:t>
            </w:r>
          </w:p>
        </w:tc>
        <w:tc>
          <w:tcPr>
            <w:tcW w:type="dxa" w:w="1058"/>
          </w:tcPr>
          <w:p>
            <w:pPr>
              <w:spacing w:before="0" w:after="0" w:line="276" w:lineRule="auto"/>
            </w:pPr>
            <w:r/>
            <w:r>
              <w:rPr>
                <w:rFonts w:ascii="Times New Roman" w:hAnsi="Times New Roman" w:eastAsia="宋体"/>
                <w:b w:val="0"/>
                <w:color w:val="1F1F1F"/>
                <w:sz w:val="16"/>
              </w:rPr>
              <w:t>近期</w:t>
            </w:r>
          </w:p>
        </w:tc>
        <w:tc>
          <w:tcPr>
            <w:tcW w:type="dxa" w:w="1278"/>
          </w:tcPr>
          <w:p>
            <w:pPr>
              <w:spacing w:before="0" w:after="0" w:line="276" w:lineRule="auto"/>
            </w:pPr>
            <w:r/>
            <w:r>
              <w:rPr>
                <w:rFonts w:ascii="Times New Roman" w:hAnsi="Times New Roman" w:eastAsia="宋体"/>
                <w:b w:val="0"/>
                <w:color w:val="1F1F1F"/>
                <w:sz w:val="16"/>
              </w:rPr>
              <w:t>三级碳账规则；参与率数据</w:t>
            </w:r>
          </w:p>
        </w:tc>
        <w:tc>
          <w:tcPr>
            <w:tcW w:type="dxa" w:w="963"/>
          </w:tcPr>
          <w:p>
            <w:pPr>
              <w:spacing w:before="0" w:after="0" w:line="276" w:lineRule="auto"/>
            </w:pPr>
            <w:r/>
            <w:r>
              <w:rPr>
                <w:rFonts w:ascii="Times New Roman" w:hAnsi="Times New Roman" w:eastAsia="宋体"/>
                <w:b w:val="0"/>
                <w:color w:val="1F1F1F"/>
                <w:sz w:val="16"/>
              </w:rPr>
              <w:t>17</w:t>
            </w:r>
          </w:p>
        </w:tc>
      </w:tr>
      <w:tr>
        <w:trPr>
          <w:cantSplit/>
        </w:trPr>
        <w:tc>
          <w:tcPr>
            <w:tcW w:type="dxa" w:w="943"/>
          </w:tcPr>
          <w:p>
            <w:pPr>
              <w:spacing w:before="0" w:after="0" w:line="276" w:lineRule="auto"/>
            </w:pPr>
            <w:r/>
            <w:r>
              <w:rPr>
                <w:rFonts w:ascii="Times New Roman" w:hAnsi="Times New Roman" w:eastAsia="宋体"/>
                <w:b w:val="0"/>
                <w:color w:val="1F1F1F"/>
                <w:sz w:val="16"/>
              </w:rPr>
              <w:t>D2</w:t>
            </w:r>
          </w:p>
        </w:tc>
        <w:tc>
          <w:tcPr>
            <w:tcW w:type="dxa" w:w="1278"/>
          </w:tcPr>
          <w:p>
            <w:pPr>
              <w:spacing w:before="0" w:after="0" w:line="276" w:lineRule="auto"/>
            </w:pPr>
            <w:r/>
            <w:r>
              <w:rPr>
                <w:rFonts w:ascii="Times New Roman" w:hAnsi="Times New Roman" w:eastAsia="宋体"/>
                <w:b w:val="0"/>
                <w:color w:val="1F1F1F"/>
                <w:sz w:val="16"/>
              </w:rPr>
              <w:t>全员算力与 AI 工具门户</w:t>
            </w:r>
          </w:p>
        </w:tc>
        <w:tc>
          <w:tcPr>
            <w:tcW w:type="dxa" w:w="2046"/>
          </w:tcPr>
          <w:p>
            <w:pPr>
              <w:spacing w:before="0" w:after="0" w:line="276" w:lineRule="auto"/>
            </w:pPr>
            <w:r/>
            <w:r>
              <w:rPr>
                <w:rFonts w:ascii="Times New Roman" w:hAnsi="Times New Roman" w:eastAsia="宋体"/>
                <w:b w:val="0"/>
                <w:color w:val="1F1F1F"/>
                <w:sz w:val="16"/>
              </w:rPr>
              <w:t>算力与 AI 工具向全员开放；配额透明；培训与场景孵化</w:t>
            </w:r>
          </w:p>
        </w:tc>
        <w:tc>
          <w:tcPr>
            <w:tcW w:type="dxa" w:w="1278"/>
          </w:tcPr>
          <w:p>
            <w:pPr>
              <w:spacing w:before="0" w:after="0" w:line="276" w:lineRule="auto"/>
            </w:pPr>
            <w:r/>
            <w:r>
              <w:rPr>
                <w:rFonts w:ascii="Times New Roman" w:hAnsi="Times New Roman" w:eastAsia="宋体"/>
                <w:b w:val="0"/>
                <w:color w:val="1F1F1F"/>
                <w:sz w:val="16"/>
              </w:rPr>
              <w:t>平台园内侧；数据机房区算力</w:t>
            </w:r>
          </w:p>
        </w:tc>
        <w:tc>
          <w:tcPr>
            <w:tcW w:type="dxa" w:w="1058"/>
          </w:tcPr>
          <w:p>
            <w:pPr>
              <w:spacing w:before="0" w:after="0" w:line="276" w:lineRule="auto"/>
            </w:pPr>
            <w:r/>
            <w:r>
              <w:rPr>
                <w:rFonts w:ascii="Times New Roman" w:hAnsi="Times New Roman" w:eastAsia="宋体"/>
                <w:b w:val="0"/>
                <w:color w:val="1F1F1F"/>
                <w:sz w:val="16"/>
              </w:rPr>
              <w:t>近期</w:t>
            </w:r>
          </w:p>
        </w:tc>
        <w:tc>
          <w:tcPr>
            <w:tcW w:type="dxa" w:w="1278"/>
          </w:tcPr>
          <w:p>
            <w:pPr>
              <w:spacing w:before="0" w:after="0" w:line="276" w:lineRule="auto"/>
            </w:pPr>
            <w:r/>
            <w:r>
              <w:rPr>
                <w:rFonts w:ascii="Times New Roman" w:hAnsi="Times New Roman" w:eastAsia="宋体"/>
                <w:b w:val="0"/>
                <w:color w:val="1F1F1F"/>
                <w:sz w:val="16"/>
              </w:rPr>
              <w:t>全员开通；使用记录</w:t>
            </w:r>
          </w:p>
        </w:tc>
        <w:tc>
          <w:tcPr>
            <w:tcW w:type="dxa" w:w="963"/>
          </w:tcPr>
          <w:p>
            <w:pPr>
              <w:spacing w:before="0" w:after="0" w:line="276" w:lineRule="auto"/>
            </w:pPr>
            <w:r/>
            <w:r>
              <w:rPr>
                <w:rFonts w:ascii="Times New Roman" w:hAnsi="Times New Roman" w:eastAsia="宋体"/>
                <w:b w:val="0"/>
                <w:color w:val="1F1F1F"/>
                <w:sz w:val="16"/>
              </w:rPr>
              <w:t>18</w:t>
            </w:r>
          </w:p>
        </w:tc>
      </w:tr>
      <w:tr>
        <w:trPr>
          <w:cantSplit/>
        </w:trPr>
        <w:tc>
          <w:tcPr>
            <w:tcW w:type="dxa" w:w="943"/>
          </w:tcPr>
          <w:p>
            <w:pPr>
              <w:spacing w:before="0" w:after="0" w:line="276" w:lineRule="auto"/>
            </w:pPr>
            <w:r/>
            <w:r>
              <w:rPr>
                <w:rFonts w:ascii="Times New Roman" w:hAnsi="Times New Roman" w:eastAsia="宋体"/>
                <w:b w:val="0"/>
                <w:color w:val="1F1F1F"/>
                <w:sz w:val="16"/>
              </w:rPr>
              <w:t>D3</w:t>
            </w:r>
          </w:p>
        </w:tc>
        <w:tc>
          <w:tcPr>
            <w:tcW w:type="dxa" w:w="1278"/>
          </w:tcPr>
          <w:p>
            <w:pPr>
              <w:spacing w:before="0" w:after="0" w:line="276" w:lineRule="auto"/>
            </w:pPr>
            <w:r/>
            <w:r>
              <w:rPr>
                <w:rFonts w:ascii="Times New Roman" w:hAnsi="Times New Roman" w:eastAsia="宋体"/>
                <w:b w:val="0"/>
                <w:color w:val="1F1F1F"/>
                <w:sz w:val="16"/>
              </w:rPr>
              <w:t>统一预约与资源开放</w:t>
            </w:r>
          </w:p>
        </w:tc>
        <w:tc>
          <w:tcPr>
            <w:tcW w:type="dxa" w:w="2046"/>
          </w:tcPr>
          <w:p>
            <w:pPr>
              <w:spacing w:before="0" w:after="0" w:line="276" w:lineRule="auto"/>
            </w:pPr>
            <w:r/>
            <w:r>
              <w:rPr>
                <w:rFonts w:ascii="Times New Roman" w:hAnsi="Times New Roman" w:eastAsia="宋体"/>
                <w:b w:val="0"/>
                <w:color w:val="1F1F1F"/>
                <w:sz w:val="16"/>
              </w:rPr>
              <w:t>充电、会议、文体、餐饮、共享空间统一预约；分配规则公开；公众开放范围评估</w:t>
            </w:r>
          </w:p>
        </w:tc>
        <w:tc>
          <w:tcPr>
            <w:tcW w:type="dxa" w:w="1278"/>
          </w:tcPr>
          <w:p>
            <w:pPr>
              <w:spacing w:before="0" w:after="0" w:line="276" w:lineRule="auto"/>
            </w:pPr>
            <w:r/>
            <w:r>
              <w:rPr>
                <w:rFonts w:ascii="Times New Roman" w:hAnsi="Times New Roman" w:eastAsia="宋体"/>
                <w:b w:val="0"/>
                <w:color w:val="1F1F1F"/>
                <w:sz w:val="16"/>
              </w:rPr>
              <w:t>平台园内侧</w:t>
            </w:r>
          </w:p>
        </w:tc>
        <w:tc>
          <w:tcPr>
            <w:tcW w:type="dxa" w:w="1058"/>
          </w:tcPr>
          <w:p>
            <w:pPr>
              <w:spacing w:before="0" w:after="0" w:line="276" w:lineRule="auto"/>
            </w:pPr>
            <w:r/>
            <w:r>
              <w:rPr>
                <w:rFonts w:ascii="Times New Roman" w:hAnsi="Times New Roman" w:eastAsia="宋体"/>
                <w:b w:val="0"/>
                <w:color w:val="1F1F1F"/>
                <w:sz w:val="16"/>
              </w:rPr>
              <w:t>近期会议与充电、中期全部</w:t>
            </w:r>
          </w:p>
        </w:tc>
        <w:tc>
          <w:tcPr>
            <w:tcW w:type="dxa" w:w="1278"/>
          </w:tcPr>
          <w:p>
            <w:pPr>
              <w:spacing w:before="0" w:after="0" w:line="276" w:lineRule="auto"/>
            </w:pPr>
            <w:r/>
            <w:r>
              <w:rPr>
                <w:rFonts w:ascii="Times New Roman" w:hAnsi="Times New Roman" w:eastAsia="宋体"/>
                <w:b w:val="0"/>
                <w:color w:val="1F1F1F"/>
                <w:sz w:val="16"/>
              </w:rPr>
              <w:t>预约平台覆盖清单；开放规则</w:t>
            </w:r>
          </w:p>
        </w:tc>
        <w:tc>
          <w:tcPr>
            <w:tcW w:type="dxa" w:w="963"/>
          </w:tcPr>
          <w:p>
            <w:pPr>
              <w:spacing w:before="0" w:after="0" w:line="276" w:lineRule="auto"/>
            </w:pPr>
            <w:r/>
            <w:r>
              <w:rPr>
                <w:rFonts w:ascii="Times New Roman" w:hAnsi="Times New Roman" w:eastAsia="宋体"/>
                <w:b w:val="0"/>
                <w:color w:val="1F1F1F"/>
                <w:sz w:val="16"/>
              </w:rPr>
              <w:t>19</w:t>
            </w:r>
          </w:p>
        </w:tc>
      </w:tr>
      <w:tr>
        <w:trPr>
          <w:cantSplit/>
        </w:trPr>
        <w:tc>
          <w:tcPr>
            <w:tcW w:type="dxa" w:w="943"/>
          </w:tcPr>
          <w:p>
            <w:pPr>
              <w:spacing w:before="0" w:after="0" w:line="276" w:lineRule="auto"/>
            </w:pPr>
            <w:r/>
            <w:r>
              <w:rPr>
                <w:rFonts w:ascii="Times New Roman" w:hAnsi="Times New Roman" w:eastAsia="宋体"/>
                <w:b w:val="0"/>
                <w:color w:val="1F1F1F"/>
                <w:sz w:val="16"/>
              </w:rPr>
              <w:t>D4</w:t>
            </w:r>
          </w:p>
        </w:tc>
        <w:tc>
          <w:tcPr>
            <w:tcW w:type="dxa" w:w="1278"/>
          </w:tcPr>
          <w:p>
            <w:pPr>
              <w:spacing w:before="0" w:after="0" w:line="276" w:lineRule="auto"/>
            </w:pPr>
            <w:r/>
            <w:r>
              <w:rPr>
                <w:rFonts w:ascii="Times New Roman" w:hAnsi="Times New Roman" w:eastAsia="宋体"/>
                <w:b w:val="0"/>
                <w:color w:val="1F1F1F"/>
                <w:sz w:val="16"/>
              </w:rPr>
              <w:t>无障碍与适老化排查整改</w:t>
            </w:r>
          </w:p>
        </w:tc>
        <w:tc>
          <w:tcPr>
            <w:tcW w:type="dxa" w:w="2046"/>
          </w:tcPr>
          <w:p>
            <w:pPr>
              <w:spacing w:before="0" w:after="0" w:line="276" w:lineRule="auto"/>
            </w:pPr>
            <w:r/>
            <w:r>
              <w:rPr>
                <w:rFonts w:ascii="Times New Roman" w:hAnsi="Times New Roman" w:eastAsia="宋体"/>
                <w:b w:val="0"/>
                <w:color w:val="1F1F1F"/>
                <w:sz w:val="16"/>
              </w:rPr>
              <w:t>全域无障碍动线、信息无障碍、适老化设施排查与整改</w:t>
            </w:r>
          </w:p>
        </w:tc>
        <w:tc>
          <w:tcPr>
            <w:tcW w:type="dxa" w:w="1278"/>
          </w:tcPr>
          <w:p>
            <w:pPr>
              <w:spacing w:before="0" w:after="0" w:line="276" w:lineRule="auto"/>
            </w:pPr>
            <w:r/>
            <w:r>
              <w:rPr>
                <w:rFonts w:ascii="Times New Roman" w:hAnsi="Times New Roman" w:eastAsia="宋体"/>
                <w:b w:val="0"/>
                <w:color w:val="1F1F1F"/>
                <w:sz w:val="16"/>
              </w:rPr>
              <w:t>全园</w:t>
            </w:r>
          </w:p>
        </w:tc>
        <w:tc>
          <w:tcPr>
            <w:tcW w:type="dxa" w:w="1058"/>
          </w:tcPr>
          <w:p>
            <w:pPr>
              <w:spacing w:before="0" w:after="0" w:line="276" w:lineRule="auto"/>
            </w:pPr>
            <w:r/>
            <w:r>
              <w:rPr>
                <w:rFonts w:ascii="Times New Roman" w:hAnsi="Times New Roman" w:eastAsia="宋体"/>
                <w:b w:val="0"/>
                <w:color w:val="1F1F1F"/>
                <w:sz w:val="16"/>
              </w:rPr>
              <w:t>近期</w:t>
            </w:r>
          </w:p>
        </w:tc>
        <w:tc>
          <w:tcPr>
            <w:tcW w:type="dxa" w:w="1278"/>
          </w:tcPr>
          <w:p>
            <w:pPr>
              <w:spacing w:before="0" w:after="0" w:line="276" w:lineRule="auto"/>
            </w:pPr>
            <w:r/>
            <w:r>
              <w:rPr>
                <w:rFonts w:ascii="Times New Roman" w:hAnsi="Times New Roman" w:eastAsia="宋体"/>
                <w:b w:val="0"/>
                <w:color w:val="1F1F1F"/>
                <w:sz w:val="16"/>
              </w:rPr>
              <w:t>排查报告；整改完成</w:t>
            </w:r>
          </w:p>
        </w:tc>
        <w:tc>
          <w:tcPr>
            <w:tcW w:type="dxa" w:w="963"/>
          </w:tcPr>
          <w:p>
            <w:pPr>
              <w:spacing w:before="0" w:after="0" w:line="276" w:lineRule="auto"/>
            </w:pPr>
            <w:r/>
            <w:r>
              <w:rPr>
                <w:rFonts w:ascii="Times New Roman" w:hAnsi="Times New Roman" w:eastAsia="宋体"/>
                <w:b w:val="0"/>
                <w:color w:val="1F1F1F"/>
                <w:sz w:val="16"/>
              </w:rPr>
              <w:t>20</w:t>
            </w:r>
          </w:p>
        </w:tc>
      </w:tr>
      <w:tr>
        <w:trPr>
          <w:cantSplit/>
        </w:trPr>
        <w:tc>
          <w:tcPr>
            <w:tcW w:type="dxa" w:w="943"/>
          </w:tcPr>
          <w:p>
            <w:pPr>
              <w:spacing w:before="0" w:after="0" w:line="276" w:lineRule="auto"/>
            </w:pPr>
            <w:r/>
            <w:r>
              <w:rPr>
                <w:rFonts w:ascii="Times New Roman" w:hAnsi="Times New Roman" w:eastAsia="宋体"/>
                <w:b w:val="0"/>
                <w:color w:val="1F1F1F"/>
                <w:sz w:val="16"/>
              </w:rPr>
              <w:t>D5</w:t>
            </w:r>
          </w:p>
        </w:tc>
        <w:tc>
          <w:tcPr>
            <w:tcW w:type="dxa" w:w="1278"/>
          </w:tcPr>
          <w:p>
            <w:pPr>
              <w:spacing w:before="0" w:after="0" w:line="276" w:lineRule="auto"/>
            </w:pPr>
            <w:r/>
            <w:r>
              <w:rPr>
                <w:rFonts w:ascii="Times New Roman" w:hAnsi="Times New Roman" w:eastAsia="宋体"/>
                <w:b w:val="0"/>
                <w:color w:val="1F1F1F"/>
                <w:sz w:val="16"/>
              </w:rPr>
              <w:t>室内环境监测与公示</w:t>
            </w:r>
          </w:p>
        </w:tc>
        <w:tc>
          <w:tcPr>
            <w:tcW w:type="dxa" w:w="2046"/>
          </w:tcPr>
          <w:p>
            <w:pPr>
              <w:spacing w:before="0" w:after="0" w:line="276" w:lineRule="auto"/>
            </w:pPr>
            <w:r/>
            <w:r>
              <w:rPr>
                <w:rFonts w:ascii="Times New Roman" w:hAnsi="Times New Roman" w:eastAsia="宋体"/>
                <w:b w:val="0"/>
                <w:color w:val="1F1F1F"/>
                <w:sz w:val="16"/>
              </w:rPr>
              <w:t>楼层级多参数连续监测；公示；数据接入平台</w:t>
            </w:r>
          </w:p>
        </w:tc>
        <w:tc>
          <w:tcPr>
            <w:tcW w:type="dxa" w:w="1278"/>
          </w:tcPr>
          <w:p>
            <w:pPr>
              <w:spacing w:before="0" w:after="0" w:line="276" w:lineRule="auto"/>
            </w:pPr>
            <w:r/>
            <w:r>
              <w:rPr>
                <w:rFonts w:ascii="Times New Roman" w:hAnsi="Times New Roman" w:eastAsia="宋体"/>
                <w:b w:val="0"/>
                <w:color w:val="1F1F1F"/>
                <w:sz w:val="16"/>
              </w:rPr>
              <w:t>各办公楼；试点区先行</w:t>
            </w:r>
          </w:p>
        </w:tc>
        <w:tc>
          <w:tcPr>
            <w:tcW w:type="dxa" w:w="1058"/>
          </w:tcPr>
          <w:p>
            <w:pPr>
              <w:spacing w:before="0" w:after="0" w:line="276" w:lineRule="auto"/>
            </w:pPr>
            <w:r/>
            <w:r>
              <w:rPr>
                <w:rFonts w:ascii="Times New Roman" w:hAnsi="Times New Roman" w:eastAsia="宋体"/>
                <w:b w:val="0"/>
                <w:color w:val="1F1F1F"/>
                <w:sz w:val="16"/>
              </w:rPr>
              <w:t>近期试点、中期全园</w:t>
            </w:r>
          </w:p>
        </w:tc>
        <w:tc>
          <w:tcPr>
            <w:tcW w:type="dxa" w:w="1278"/>
          </w:tcPr>
          <w:p>
            <w:pPr>
              <w:spacing w:before="0" w:after="0" w:line="276" w:lineRule="auto"/>
            </w:pPr>
            <w:r/>
            <w:r>
              <w:rPr>
                <w:rFonts w:ascii="Times New Roman" w:hAnsi="Times New Roman" w:eastAsia="宋体"/>
                <w:b w:val="0"/>
                <w:color w:val="1F1F1F"/>
                <w:sz w:val="16"/>
              </w:rPr>
              <w:t>监测网建成；达标时长记录</w:t>
            </w:r>
          </w:p>
        </w:tc>
        <w:tc>
          <w:tcPr>
            <w:tcW w:type="dxa" w:w="963"/>
          </w:tcPr>
          <w:p>
            <w:pPr>
              <w:spacing w:before="0" w:after="0" w:line="276" w:lineRule="auto"/>
            </w:pPr>
            <w:r/>
            <w:r>
              <w:rPr>
                <w:rFonts w:ascii="Times New Roman" w:hAnsi="Times New Roman" w:eastAsia="宋体"/>
                <w:b w:val="0"/>
                <w:color w:val="1F1F1F"/>
                <w:sz w:val="16"/>
              </w:rPr>
              <w:t>21、22</w:t>
            </w:r>
          </w:p>
        </w:tc>
      </w:tr>
      <w:tr>
        <w:trPr>
          <w:cantSplit/>
        </w:trPr>
        <w:tc>
          <w:tcPr>
            <w:tcW w:type="dxa" w:w="943"/>
          </w:tcPr>
          <w:p>
            <w:pPr>
              <w:spacing w:before="0" w:after="0" w:line="276" w:lineRule="auto"/>
            </w:pPr>
            <w:r/>
            <w:r>
              <w:rPr>
                <w:rFonts w:ascii="Times New Roman" w:hAnsi="Times New Roman" w:eastAsia="宋体"/>
                <w:b w:val="0"/>
                <w:color w:val="1F1F1F"/>
                <w:sz w:val="16"/>
              </w:rPr>
              <w:t>D6</w:t>
            </w:r>
          </w:p>
        </w:tc>
        <w:tc>
          <w:tcPr>
            <w:tcW w:type="dxa" w:w="1278"/>
          </w:tcPr>
          <w:p>
            <w:pPr>
              <w:spacing w:before="0" w:after="0" w:line="276" w:lineRule="auto"/>
            </w:pPr>
            <w:r/>
            <w:r>
              <w:rPr>
                <w:rFonts w:ascii="Times New Roman" w:hAnsi="Times New Roman" w:eastAsia="宋体"/>
                <w:b w:val="0"/>
                <w:color w:val="1F1F1F"/>
                <w:sz w:val="16"/>
              </w:rPr>
              <w:t>新风净化与健康照明改造</w:t>
            </w:r>
          </w:p>
        </w:tc>
        <w:tc>
          <w:tcPr>
            <w:tcW w:type="dxa" w:w="2046"/>
          </w:tcPr>
          <w:p>
            <w:pPr>
              <w:spacing w:before="0" w:after="0" w:line="276" w:lineRule="auto"/>
            </w:pPr>
            <w:r/>
            <w:r>
              <w:rPr>
                <w:rFonts w:ascii="Times New Roman" w:hAnsi="Times New Roman" w:eastAsia="宋体"/>
                <w:b w:val="0"/>
                <w:color w:val="1F1F1F"/>
                <w:sz w:val="16"/>
              </w:rPr>
              <w:t>风系统诊断；新风量校核与过滤升级；节律照明与眩光治理；工位微环境</w:t>
            </w:r>
          </w:p>
        </w:tc>
        <w:tc>
          <w:tcPr>
            <w:tcW w:type="dxa" w:w="1278"/>
          </w:tcPr>
          <w:p>
            <w:pPr>
              <w:spacing w:before="0" w:after="0" w:line="276" w:lineRule="auto"/>
            </w:pPr>
            <w:r/>
            <w:r>
              <w:rPr>
                <w:rFonts w:ascii="Times New Roman" w:hAnsi="Times New Roman" w:eastAsia="宋体"/>
                <w:b w:val="0"/>
                <w:color w:val="1F1F1F"/>
                <w:sz w:val="16"/>
              </w:rPr>
              <w:t>各办公楼；与 A1、C3 同步</w:t>
            </w:r>
          </w:p>
        </w:tc>
        <w:tc>
          <w:tcPr>
            <w:tcW w:type="dxa" w:w="1058"/>
          </w:tcPr>
          <w:p>
            <w:pPr>
              <w:spacing w:before="0" w:after="0" w:line="276" w:lineRule="auto"/>
            </w:pPr>
            <w:r/>
            <w:r>
              <w:rPr>
                <w:rFonts w:ascii="Times New Roman" w:hAnsi="Times New Roman" w:eastAsia="宋体"/>
                <w:b w:val="0"/>
                <w:color w:val="1F1F1F"/>
                <w:sz w:val="16"/>
              </w:rPr>
              <w:t>近期试点、中期全园</w:t>
            </w:r>
          </w:p>
        </w:tc>
        <w:tc>
          <w:tcPr>
            <w:tcW w:type="dxa" w:w="1278"/>
          </w:tcPr>
          <w:p>
            <w:pPr>
              <w:spacing w:before="0" w:after="0" w:line="276" w:lineRule="auto"/>
            </w:pPr>
            <w:r/>
            <w:r>
              <w:rPr>
                <w:rFonts w:ascii="Times New Roman" w:hAnsi="Times New Roman" w:eastAsia="宋体"/>
                <w:b w:val="0"/>
                <w:color w:val="1F1F1F"/>
                <w:sz w:val="16"/>
              </w:rPr>
              <w:t>节能与健康互锁验收记录</w:t>
            </w:r>
          </w:p>
        </w:tc>
        <w:tc>
          <w:tcPr>
            <w:tcW w:type="dxa" w:w="963"/>
          </w:tcPr>
          <w:p>
            <w:pPr>
              <w:spacing w:before="0" w:after="0" w:line="276" w:lineRule="auto"/>
            </w:pPr>
            <w:r/>
            <w:r>
              <w:rPr>
                <w:rFonts w:ascii="Times New Roman" w:hAnsi="Times New Roman" w:eastAsia="宋体"/>
                <w:b w:val="0"/>
                <w:color w:val="1F1F1F"/>
                <w:sz w:val="16"/>
              </w:rPr>
              <w:t>21、23</w:t>
            </w:r>
          </w:p>
        </w:tc>
      </w:tr>
      <w:tr>
        <w:trPr>
          <w:cantSplit/>
        </w:trPr>
        <w:tc>
          <w:tcPr>
            <w:tcW w:type="dxa" w:w="943"/>
          </w:tcPr>
          <w:p>
            <w:pPr>
              <w:spacing w:before="0" w:after="0" w:line="276" w:lineRule="auto"/>
            </w:pPr>
            <w:r/>
            <w:r>
              <w:rPr>
                <w:rFonts w:ascii="Times New Roman" w:hAnsi="Times New Roman" w:eastAsia="宋体"/>
                <w:b w:val="0"/>
                <w:color w:val="1F1F1F"/>
                <w:sz w:val="16"/>
              </w:rPr>
              <w:t>D7</w:t>
            </w:r>
          </w:p>
        </w:tc>
        <w:tc>
          <w:tcPr>
            <w:tcW w:type="dxa" w:w="1278"/>
          </w:tcPr>
          <w:p>
            <w:pPr>
              <w:spacing w:before="0" w:after="0" w:line="276" w:lineRule="auto"/>
            </w:pPr>
            <w:r/>
            <w:r>
              <w:rPr>
                <w:rFonts w:ascii="Times New Roman" w:hAnsi="Times New Roman" w:eastAsia="宋体"/>
                <w:b w:val="0"/>
                <w:color w:val="1F1F1F"/>
                <w:sz w:val="16"/>
              </w:rPr>
              <w:t>健身、休憩与心理健康服务</w:t>
            </w:r>
          </w:p>
        </w:tc>
        <w:tc>
          <w:tcPr>
            <w:tcW w:type="dxa" w:w="2046"/>
          </w:tcPr>
          <w:p>
            <w:pPr>
              <w:spacing w:before="0" w:after="0" w:line="276" w:lineRule="auto"/>
            </w:pPr>
            <w:r/>
            <w:r>
              <w:rPr>
                <w:rFonts w:ascii="Times New Roman" w:hAnsi="Times New Roman" w:eastAsia="宋体"/>
                <w:b w:val="0"/>
                <w:color w:val="1F1F1F"/>
                <w:sz w:val="16"/>
              </w:rPr>
              <w:t>边角空间与半开放空间健身、休憩节点；员工心理健康服务</w:t>
            </w:r>
          </w:p>
        </w:tc>
        <w:tc>
          <w:tcPr>
            <w:tcW w:type="dxa" w:w="1278"/>
          </w:tcPr>
          <w:p>
            <w:pPr>
              <w:spacing w:before="0" w:after="0" w:line="276" w:lineRule="auto"/>
            </w:pPr>
            <w:r/>
            <w:r>
              <w:rPr>
                <w:rFonts w:ascii="Times New Roman" w:hAnsi="Times New Roman" w:eastAsia="宋体"/>
                <w:b w:val="0"/>
                <w:color w:val="1F1F1F"/>
                <w:sz w:val="16"/>
              </w:rPr>
              <w:t>公共空间与庭院区；办公楼边角空间</w:t>
            </w:r>
          </w:p>
        </w:tc>
        <w:tc>
          <w:tcPr>
            <w:tcW w:type="dxa" w:w="1058"/>
          </w:tcPr>
          <w:p>
            <w:pPr>
              <w:spacing w:before="0" w:after="0" w:line="276" w:lineRule="auto"/>
            </w:pPr>
            <w:r/>
            <w:r>
              <w:rPr>
                <w:rFonts w:ascii="Times New Roman" w:hAnsi="Times New Roman" w:eastAsia="宋体"/>
                <w:b w:val="0"/>
                <w:color w:val="1F1F1F"/>
                <w:sz w:val="16"/>
              </w:rPr>
              <w:t>中期</w:t>
            </w:r>
          </w:p>
        </w:tc>
        <w:tc>
          <w:tcPr>
            <w:tcW w:type="dxa" w:w="1278"/>
          </w:tcPr>
          <w:p>
            <w:pPr>
              <w:spacing w:before="0" w:after="0" w:line="276" w:lineRule="auto"/>
            </w:pPr>
            <w:r/>
            <w:r>
              <w:rPr>
                <w:rFonts w:ascii="Times New Roman" w:hAnsi="Times New Roman" w:eastAsia="宋体"/>
                <w:b w:val="0"/>
                <w:color w:val="1F1F1F"/>
                <w:sz w:val="16"/>
              </w:rPr>
              <w:t>空间建成；服务覆盖</w:t>
            </w:r>
          </w:p>
        </w:tc>
        <w:tc>
          <w:tcPr>
            <w:tcW w:type="dxa" w:w="963"/>
          </w:tcPr>
          <w:p>
            <w:pPr>
              <w:spacing w:before="0" w:after="0" w:line="276" w:lineRule="auto"/>
            </w:pPr>
            <w:r/>
            <w:r>
              <w:rPr>
                <w:rFonts w:ascii="Times New Roman" w:hAnsi="Times New Roman" w:eastAsia="宋体"/>
                <w:b w:val="0"/>
                <w:color w:val="1F1F1F"/>
                <w:sz w:val="16"/>
              </w:rPr>
              <w:t>25、27</w:t>
            </w:r>
          </w:p>
        </w:tc>
      </w:tr>
      <w:tr>
        <w:trPr>
          <w:cantSplit/>
        </w:trPr>
        <w:tc>
          <w:tcPr>
            <w:tcW w:type="dxa" w:w="943"/>
          </w:tcPr>
          <w:p>
            <w:pPr>
              <w:spacing w:before="0" w:after="0" w:line="276" w:lineRule="auto"/>
            </w:pPr>
            <w:r/>
            <w:r>
              <w:rPr>
                <w:rFonts w:ascii="Times New Roman" w:hAnsi="Times New Roman" w:eastAsia="宋体"/>
                <w:b w:val="0"/>
                <w:color w:val="1F1F1F"/>
                <w:sz w:val="16"/>
              </w:rPr>
              <w:t>D8</w:t>
            </w:r>
          </w:p>
        </w:tc>
        <w:tc>
          <w:tcPr>
            <w:tcW w:type="dxa" w:w="1278"/>
          </w:tcPr>
          <w:p>
            <w:pPr>
              <w:spacing w:before="0" w:after="0" w:line="276" w:lineRule="auto"/>
            </w:pPr>
            <w:r/>
            <w:r>
              <w:rPr>
                <w:rFonts w:ascii="Times New Roman" w:hAnsi="Times New Roman" w:eastAsia="宋体"/>
                <w:b w:val="0"/>
                <w:color w:val="1F1F1F"/>
                <w:sz w:val="16"/>
              </w:rPr>
              <w:t>风貌保护下的针灸式更新</w:t>
            </w:r>
          </w:p>
        </w:tc>
        <w:tc>
          <w:tcPr>
            <w:tcW w:type="dxa" w:w="2046"/>
          </w:tcPr>
          <w:p>
            <w:pPr>
              <w:spacing w:before="0" w:after="0" w:line="276" w:lineRule="auto"/>
            </w:pPr>
            <w:r/>
            <w:r>
              <w:rPr>
                <w:rFonts w:ascii="Times New Roman" w:hAnsi="Times New Roman" w:eastAsia="宋体"/>
                <w:b w:val="0"/>
                <w:color w:val="1F1F1F"/>
                <w:sz w:val="16"/>
              </w:rPr>
              <w:t>入口、连廊、庭院、灰空间节点提升；更新导则</w:t>
            </w:r>
          </w:p>
        </w:tc>
        <w:tc>
          <w:tcPr>
            <w:tcW w:type="dxa" w:w="1278"/>
          </w:tcPr>
          <w:p>
            <w:pPr>
              <w:spacing w:before="0" w:after="0" w:line="276" w:lineRule="auto"/>
            </w:pPr>
            <w:r/>
            <w:r>
              <w:rPr>
                <w:rFonts w:ascii="Times New Roman" w:hAnsi="Times New Roman" w:eastAsia="宋体"/>
                <w:b w:val="0"/>
                <w:color w:val="1F1F1F"/>
                <w:sz w:val="16"/>
              </w:rPr>
              <w:t>公共空间与出入口区</w:t>
            </w:r>
          </w:p>
        </w:tc>
        <w:tc>
          <w:tcPr>
            <w:tcW w:type="dxa" w:w="1058"/>
          </w:tcPr>
          <w:p>
            <w:pPr>
              <w:spacing w:before="0" w:after="0" w:line="276" w:lineRule="auto"/>
            </w:pPr>
            <w:r/>
            <w:r>
              <w:rPr>
                <w:rFonts w:ascii="Times New Roman" w:hAnsi="Times New Roman" w:eastAsia="宋体"/>
                <w:b w:val="0"/>
                <w:color w:val="1F1F1F"/>
                <w:sz w:val="16"/>
              </w:rPr>
              <w:t>近期导则、中期实施</w:t>
            </w:r>
          </w:p>
        </w:tc>
        <w:tc>
          <w:tcPr>
            <w:tcW w:type="dxa" w:w="1278"/>
          </w:tcPr>
          <w:p>
            <w:pPr>
              <w:spacing w:before="0" w:after="0" w:line="276" w:lineRule="auto"/>
            </w:pPr>
            <w:r/>
            <w:r>
              <w:rPr>
                <w:rFonts w:ascii="Times New Roman" w:hAnsi="Times New Roman" w:eastAsia="宋体"/>
                <w:b w:val="0"/>
                <w:color w:val="1F1F1F"/>
                <w:sz w:val="16"/>
              </w:rPr>
              <w:t>更新导则；节点建成</w:t>
            </w:r>
          </w:p>
        </w:tc>
        <w:tc>
          <w:tcPr>
            <w:tcW w:type="dxa" w:w="963"/>
          </w:tcPr>
          <w:p>
            <w:pPr>
              <w:spacing w:before="0" w:after="0" w:line="276" w:lineRule="auto"/>
            </w:pPr>
            <w:r/>
            <w:r>
              <w:rPr>
                <w:rFonts w:ascii="Times New Roman" w:hAnsi="Times New Roman" w:eastAsia="宋体"/>
                <w:b w:val="0"/>
                <w:color w:val="1F1F1F"/>
                <w:sz w:val="16"/>
              </w:rPr>
              <w:t>24、25</w:t>
            </w:r>
          </w:p>
        </w:tc>
      </w:tr>
      <w:tr>
        <w:trPr>
          <w:cantSplit/>
        </w:trPr>
        <w:tc>
          <w:tcPr>
            <w:tcW w:type="dxa" w:w="943"/>
          </w:tcPr>
          <w:p>
            <w:pPr>
              <w:spacing w:before="0" w:after="0" w:line="276" w:lineRule="auto"/>
            </w:pPr>
            <w:r/>
            <w:r>
              <w:rPr>
                <w:rFonts w:ascii="Times New Roman" w:hAnsi="Times New Roman" w:eastAsia="宋体"/>
                <w:b w:val="0"/>
                <w:color w:val="1F1F1F"/>
                <w:sz w:val="16"/>
              </w:rPr>
              <w:t>D9</w:t>
            </w:r>
          </w:p>
        </w:tc>
        <w:tc>
          <w:tcPr>
            <w:tcW w:type="dxa" w:w="1278"/>
          </w:tcPr>
          <w:p>
            <w:pPr>
              <w:spacing w:before="0" w:after="0" w:line="276" w:lineRule="auto"/>
            </w:pPr>
            <w:r/>
            <w:r>
              <w:rPr>
                <w:rFonts w:ascii="Times New Roman" w:hAnsi="Times New Roman" w:eastAsia="宋体"/>
                <w:b w:val="0"/>
                <w:color w:val="1F1F1F"/>
                <w:sz w:val="16"/>
              </w:rPr>
              <w:t>真实系统展项与参观动线</w:t>
            </w:r>
          </w:p>
        </w:tc>
        <w:tc>
          <w:tcPr>
            <w:tcW w:type="dxa" w:w="2046"/>
          </w:tcPr>
          <w:p>
            <w:pPr>
              <w:spacing w:before="0" w:after="0" w:line="276" w:lineRule="auto"/>
            </w:pPr>
            <w:r/>
            <w:r>
              <w:rPr>
                <w:rFonts w:ascii="Times New Roman" w:hAnsi="Times New Roman" w:eastAsia="宋体"/>
                <w:b w:val="0"/>
                <w:color w:val="1F1F1F"/>
                <w:sz w:val="16"/>
              </w:rPr>
              <w:t>以运营中心、冷站、碳账本等真实系统组织动线；讲解手册；公众开放日</w:t>
            </w:r>
          </w:p>
        </w:tc>
        <w:tc>
          <w:tcPr>
            <w:tcW w:type="dxa" w:w="1278"/>
          </w:tcPr>
          <w:p>
            <w:pPr>
              <w:spacing w:before="0" w:after="0" w:line="276" w:lineRule="auto"/>
            </w:pPr>
            <w:r/>
            <w:r>
              <w:rPr>
                <w:rFonts w:ascii="Times New Roman" w:hAnsi="Times New Roman" w:eastAsia="宋体"/>
                <w:b w:val="0"/>
                <w:color w:val="1F1F1F"/>
                <w:sz w:val="16"/>
              </w:rPr>
              <w:t>运营中心、能源中心区、庭院</w:t>
            </w:r>
          </w:p>
        </w:tc>
        <w:tc>
          <w:tcPr>
            <w:tcW w:type="dxa" w:w="1058"/>
          </w:tcPr>
          <w:p>
            <w:pPr>
              <w:spacing w:before="0" w:after="0" w:line="276" w:lineRule="auto"/>
            </w:pPr>
            <w:r/>
            <w:r>
              <w:rPr>
                <w:rFonts w:ascii="Times New Roman" w:hAnsi="Times New Roman" w:eastAsia="宋体"/>
                <w:b w:val="0"/>
                <w:color w:val="1F1F1F"/>
                <w:sz w:val="16"/>
              </w:rPr>
              <w:t>中期</w:t>
            </w:r>
          </w:p>
        </w:tc>
        <w:tc>
          <w:tcPr>
            <w:tcW w:type="dxa" w:w="1278"/>
          </w:tcPr>
          <w:p>
            <w:pPr>
              <w:spacing w:before="0" w:after="0" w:line="276" w:lineRule="auto"/>
            </w:pPr>
            <w:r/>
            <w:r>
              <w:rPr>
                <w:rFonts w:ascii="Times New Roman" w:hAnsi="Times New Roman" w:eastAsia="宋体"/>
                <w:b w:val="0"/>
                <w:color w:val="1F1F1F"/>
                <w:sz w:val="16"/>
              </w:rPr>
              <w:t>动线建成；讲解手册</w:t>
            </w:r>
          </w:p>
        </w:tc>
        <w:tc>
          <w:tcPr>
            <w:tcW w:type="dxa" w:w="963"/>
          </w:tcPr>
          <w:p>
            <w:pPr>
              <w:spacing w:before="0" w:after="0" w:line="276" w:lineRule="auto"/>
            </w:pPr>
            <w:r/>
            <w:r>
              <w:rPr>
                <w:rFonts w:ascii="Times New Roman" w:hAnsi="Times New Roman" w:eastAsia="宋体"/>
                <w:b w:val="0"/>
                <w:color w:val="1F1F1F"/>
                <w:sz w:val="16"/>
              </w:rPr>
              <w:t>26</w:t>
            </w:r>
          </w:p>
        </w:tc>
      </w:tr>
    </w:tbl>
    <w:p>
      <w:pPr>
        <w:spacing w:after="80"/>
      </w:pPr>
    </w:p>
    <w:p>
      <w:pPr>
        <w:pStyle w:val="Heading2"/>
        <w:keepNext/>
        <w:spacing w:before="240" w:after="120" w:line="360" w:lineRule="auto"/>
      </w:pPr>
      <w:r>
        <w:rPr>
          <w:rFonts w:ascii="Times New Roman" w:hAnsi="Times New Roman" w:eastAsia="黑体"/>
          <w:b w:val="0"/>
          <w:color w:val="1F1F1F"/>
          <w:sz w:val="32"/>
        </w:rPr>
        <w:t>五、项目库汇总</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28"/>
        <w:gridCol w:w="1531"/>
        <w:gridCol w:w="1531"/>
        <w:gridCol w:w="1531"/>
        <w:gridCol w:w="2023"/>
      </w:tblGrid>
      <w:tr>
        <w:trPr>
          <w:cantSplit/>
          <w:tblHeader/>
        </w:trPr>
        <w:tc>
          <w:tcPr>
            <w:tcW w:type="dxa" w:w="2228"/>
            <w:shd w:val="clear" w:color="auto" w:fill="E7EEF3"/>
          </w:tcPr>
          <w:p>
            <w:pPr>
              <w:keepNext/>
              <w:spacing w:before="0" w:after="0" w:line="276" w:lineRule="auto"/>
              <w:jc w:val="center"/>
            </w:pPr>
            <w:r/>
            <w:r>
              <w:rPr>
                <w:rFonts w:ascii="Times New Roman" w:hAnsi="Times New Roman" w:eastAsia="宋体"/>
                <w:b/>
                <w:color w:val="1F1F1F"/>
                <w:sz w:val="18"/>
              </w:rPr>
              <w:t>项目包</w:t>
            </w:r>
          </w:p>
        </w:tc>
        <w:tc>
          <w:tcPr>
            <w:tcW w:type="dxa" w:w="1531"/>
            <w:shd w:val="clear" w:color="auto" w:fill="E7EEF3"/>
          </w:tcPr>
          <w:p>
            <w:pPr>
              <w:keepNext/>
              <w:spacing w:before="0" w:after="0" w:line="276" w:lineRule="auto"/>
              <w:jc w:val="center"/>
            </w:pPr>
            <w:r/>
            <w:r>
              <w:rPr>
                <w:rFonts w:ascii="Times New Roman" w:hAnsi="Times New Roman" w:eastAsia="宋体"/>
                <w:b/>
                <w:color w:val="1F1F1F"/>
                <w:sz w:val="18"/>
              </w:rPr>
              <w:t>项目数</w:t>
            </w:r>
          </w:p>
        </w:tc>
        <w:tc>
          <w:tcPr>
            <w:tcW w:type="dxa" w:w="1531"/>
            <w:shd w:val="clear" w:color="auto" w:fill="E7EEF3"/>
          </w:tcPr>
          <w:p>
            <w:pPr>
              <w:keepNext/>
              <w:spacing w:before="0" w:after="0" w:line="276" w:lineRule="auto"/>
              <w:jc w:val="center"/>
            </w:pPr>
            <w:r/>
            <w:r>
              <w:rPr>
                <w:rFonts w:ascii="Times New Roman" w:hAnsi="Times New Roman" w:eastAsia="宋体"/>
                <w:b/>
                <w:color w:val="1F1F1F"/>
                <w:sz w:val="18"/>
              </w:rPr>
              <w:t>近期启动</w:t>
            </w:r>
          </w:p>
        </w:tc>
        <w:tc>
          <w:tcPr>
            <w:tcW w:type="dxa" w:w="1531"/>
            <w:shd w:val="clear" w:color="auto" w:fill="E7EEF3"/>
          </w:tcPr>
          <w:p>
            <w:pPr>
              <w:keepNext/>
              <w:spacing w:before="0" w:after="0" w:line="276" w:lineRule="auto"/>
              <w:jc w:val="center"/>
            </w:pPr>
            <w:r/>
            <w:r>
              <w:rPr>
                <w:rFonts w:ascii="Times New Roman" w:hAnsi="Times New Roman" w:eastAsia="宋体"/>
                <w:b/>
                <w:color w:val="1F1F1F"/>
                <w:sz w:val="18"/>
              </w:rPr>
              <w:t>中期启动</w:t>
            </w:r>
          </w:p>
        </w:tc>
        <w:tc>
          <w:tcPr>
            <w:tcW w:type="dxa" w:w="2023"/>
            <w:shd w:val="clear" w:color="auto" w:fill="E7EEF3"/>
          </w:tcPr>
          <w:p>
            <w:pPr>
              <w:keepNext/>
              <w:spacing w:before="0" w:after="0" w:line="276" w:lineRule="auto"/>
              <w:jc w:val="center"/>
            </w:pPr>
            <w:r/>
            <w:r>
              <w:rPr>
                <w:rFonts w:ascii="Times New Roman" w:hAnsi="Times New Roman" w:eastAsia="宋体"/>
                <w:b/>
                <w:color w:val="1F1F1F"/>
                <w:sz w:val="18"/>
              </w:rPr>
              <w:t>主要承接要素</w:t>
            </w:r>
          </w:p>
        </w:tc>
      </w:tr>
      <w:tr>
        <w:trPr>
          <w:cantSplit/>
        </w:trPr>
        <w:tc>
          <w:tcPr>
            <w:tcW w:type="dxa" w:w="2228"/>
          </w:tcPr>
          <w:p>
            <w:pPr>
              <w:spacing w:before="0" w:after="0" w:line="276" w:lineRule="auto"/>
            </w:pPr>
            <w:r/>
            <w:r>
              <w:rPr>
                <w:rFonts w:ascii="Times New Roman" w:hAnsi="Times New Roman" w:eastAsia="宋体"/>
                <w:b w:val="0"/>
                <w:color w:val="1F1F1F"/>
                <w:sz w:val="18"/>
              </w:rPr>
              <w:t>A 近零碳与能源</w:t>
            </w:r>
          </w:p>
        </w:tc>
        <w:tc>
          <w:tcPr>
            <w:tcW w:type="dxa" w:w="1531"/>
          </w:tcPr>
          <w:p>
            <w:pPr>
              <w:spacing w:before="0" w:after="0" w:line="276" w:lineRule="auto"/>
            </w:pPr>
            <w:r/>
            <w:r>
              <w:rPr>
                <w:rFonts w:ascii="Times New Roman" w:hAnsi="Times New Roman" w:eastAsia="宋体"/>
                <w:b w:val="0"/>
                <w:color w:val="1F1F1F"/>
                <w:sz w:val="18"/>
              </w:rPr>
              <w:t>8</w:t>
            </w:r>
          </w:p>
        </w:tc>
        <w:tc>
          <w:tcPr>
            <w:tcW w:type="dxa" w:w="1531"/>
          </w:tcPr>
          <w:p>
            <w:pPr>
              <w:spacing w:before="0" w:after="0" w:line="276" w:lineRule="auto"/>
            </w:pPr>
            <w:r/>
            <w:r>
              <w:rPr>
                <w:rFonts w:ascii="Times New Roman" w:hAnsi="Times New Roman" w:eastAsia="宋体"/>
                <w:b w:val="0"/>
                <w:color w:val="1F1F1F"/>
                <w:sz w:val="18"/>
              </w:rPr>
              <w:t>7</w:t>
            </w:r>
          </w:p>
        </w:tc>
        <w:tc>
          <w:tcPr>
            <w:tcW w:type="dxa" w:w="1531"/>
          </w:tcPr>
          <w:p>
            <w:pPr>
              <w:spacing w:before="0" w:after="0" w:line="276" w:lineRule="auto"/>
            </w:pPr>
            <w:r/>
            <w:r>
              <w:rPr>
                <w:rFonts w:ascii="Times New Roman" w:hAnsi="Times New Roman" w:eastAsia="宋体"/>
                <w:b w:val="0"/>
                <w:color w:val="1F1F1F"/>
                <w:sz w:val="18"/>
              </w:rPr>
              <w:t>1</w:t>
            </w:r>
          </w:p>
        </w:tc>
        <w:tc>
          <w:tcPr>
            <w:tcW w:type="dxa" w:w="2023"/>
          </w:tcPr>
          <w:p>
            <w:pPr>
              <w:spacing w:before="0" w:after="0" w:line="276" w:lineRule="auto"/>
            </w:pPr>
            <w:r/>
            <w:r>
              <w:rPr>
                <w:rFonts w:ascii="Times New Roman" w:hAnsi="Times New Roman" w:eastAsia="宋体"/>
                <w:b w:val="0"/>
                <w:color w:val="1F1F1F"/>
                <w:sz w:val="18"/>
              </w:rPr>
              <w:t>绿色、高效</w:t>
            </w:r>
          </w:p>
        </w:tc>
      </w:tr>
      <w:tr>
        <w:trPr>
          <w:cantSplit/>
        </w:trPr>
        <w:tc>
          <w:tcPr>
            <w:tcW w:type="dxa" w:w="2228"/>
          </w:tcPr>
          <w:p>
            <w:pPr>
              <w:spacing w:before="0" w:after="0" w:line="276" w:lineRule="auto"/>
            </w:pPr>
            <w:r/>
            <w:r>
              <w:rPr>
                <w:rFonts w:ascii="Times New Roman" w:hAnsi="Times New Roman" w:eastAsia="宋体"/>
                <w:b w:val="0"/>
                <w:color w:val="1F1F1F"/>
                <w:sz w:val="18"/>
              </w:rPr>
              <w:t>B 绿色生态</w:t>
            </w:r>
          </w:p>
        </w:tc>
        <w:tc>
          <w:tcPr>
            <w:tcW w:type="dxa" w:w="1531"/>
          </w:tcPr>
          <w:p>
            <w:pPr>
              <w:spacing w:before="0" w:after="0" w:line="276" w:lineRule="auto"/>
            </w:pPr>
            <w:r/>
            <w:r>
              <w:rPr>
                <w:rFonts w:ascii="Times New Roman" w:hAnsi="Times New Roman" w:eastAsia="宋体"/>
                <w:b w:val="0"/>
                <w:color w:val="1F1F1F"/>
                <w:sz w:val="18"/>
              </w:rPr>
              <w:t>3</w:t>
            </w:r>
          </w:p>
        </w:tc>
        <w:tc>
          <w:tcPr>
            <w:tcW w:type="dxa" w:w="1531"/>
          </w:tcPr>
          <w:p>
            <w:pPr>
              <w:spacing w:before="0" w:after="0" w:line="276" w:lineRule="auto"/>
            </w:pPr>
            <w:r/>
            <w:r>
              <w:rPr>
                <w:rFonts w:ascii="Times New Roman" w:hAnsi="Times New Roman" w:eastAsia="宋体"/>
                <w:b w:val="0"/>
                <w:color w:val="1F1F1F"/>
                <w:sz w:val="18"/>
              </w:rPr>
              <w:t>2</w:t>
            </w:r>
          </w:p>
        </w:tc>
        <w:tc>
          <w:tcPr>
            <w:tcW w:type="dxa" w:w="1531"/>
          </w:tcPr>
          <w:p>
            <w:pPr>
              <w:spacing w:before="0" w:after="0" w:line="276" w:lineRule="auto"/>
            </w:pPr>
            <w:r/>
            <w:r>
              <w:rPr>
                <w:rFonts w:ascii="Times New Roman" w:hAnsi="Times New Roman" w:eastAsia="宋体"/>
                <w:b w:val="0"/>
                <w:color w:val="1F1F1F"/>
                <w:sz w:val="18"/>
              </w:rPr>
              <w:t>1</w:t>
            </w:r>
          </w:p>
        </w:tc>
        <w:tc>
          <w:tcPr>
            <w:tcW w:type="dxa" w:w="2023"/>
          </w:tcPr>
          <w:p>
            <w:pPr>
              <w:spacing w:before="0" w:after="0" w:line="276" w:lineRule="auto"/>
            </w:pPr>
            <w:r/>
            <w:r>
              <w:rPr>
                <w:rFonts w:ascii="Times New Roman" w:hAnsi="Times New Roman" w:eastAsia="宋体"/>
                <w:b w:val="0"/>
                <w:color w:val="1F1F1F"/>
                <w:sz w:val="18"/>
              </w:rPr>
              <w:t>绿色、健康、人文</w:t>
            </w:r>
          </w:p>
        </w:tc>
      </w:tr>
      <w:tr>
        <w:trPr>
          <w:cantSplit/>
        </w:trPr>
        <w:tc>
          <w:tcPr>
            <w:tcW w:type="dxa" w:w="2228"/>
          </w:tcPr>
          <w:p>
            <w:pPr>
              <w:spacing w:before="0" w:after="0" w:line="276" w:lineRule="auto"/>
            </w:pPr>
            <w:r/>
            <w:r>
              <w:rPr>
                <w:rFonts w:ascii="Times New Roman" w:hAnsi="Times New Roman" w:eastAsia="宋体"/>
                <w:b w:val="0"/>
                <w:color w:val="1F1F1F"/>
                <w:sz w:val="18"/>
              </w:rPr>
              <w:t>C 智慧运营</w:t>
            </w:r>
          </w:p>
        </w:tc>
        <w:tc>
          <w:tcPr>
            <w:tcW w:type="dxa" w:w="1531"/>
          </w:tcPr>
          <w:p>
            <w:pPr>
              <w:spacing w:before="0" w:after="0" w:line="276" w:lineRule="auto"/>
            </w:pPr>
            <w:r/>
            <w:r>
              <w:rPr>
                <w:rFonts w:ascii="Times New Roman" w:hAnsi="Times New Roman" w:eastAsia="宋体"/>
                <w:b w:val="0"/>
                <w:color w:val="1F1F1F"/>
                <w:sz w:val="18"/>
              </w:rPr>
              <w:t>5</w:t>
            </w:r>
          </w:p>
        </w:tc>
        <w:tc>
          <w:tcPr>
            <w:tcW w:type="dxa" w:w="1531"/>
          </w:tcPr>
          <w:p>
            <w:pPr>
              <w:spacing w:before="0" w:after="0" w:line="276" w:lineRule="auto"/>
            </w:pPr>
            <w:r/>
            <w:r>
              <w:rPr>
                <w:rFonts w:ascii="Times New Roman" w:hAnsi="Times New Roman" w:eastAsia="宋体"/>
                <w:b w:val="0"/>
                <w:color w:val="1F1F1F"/>
                <w:sz w:val="18"/>
              </w:rPr>
              <w:t>4</w:t>
            </w:r>
          </w:p>
        </w:tc>
        <w:tc>
          <w:tcPr>
            <w:tcW w:type="dxa" w:w="1531"/>
          </w:tcPr>
          <w:p>
            <w:pPr>
              <w:spacing w:before="0" w:after="0" w:line="276" w:lineRule="auto"/>
            </w:pPr>
            <w:r/>
            <w:r>
              <w:rPr>
                <w:rFonts w:ascii="Times New Roman" w:hAnsi="Times New Roman" w:eastAsia="宋体"/>
                <w:b w:val="0"/>
                <w:color w:val="1F1F1F"/>
                <w:sz w:val="18"/>
              </w:rPr>
              <w:t>1</w:t>
            </w:r>
          </w:p>
        </w:tc>
        <w:tc>
          <w:tcPr>
            <w:tcW w:type="dxa" w:w="2023"/>
          </w:tcPr>
          <w:p>
            <w:pPr>
              <w:spacing w:before="0" w:after="0" w:line="276" w:lineRule="auto"/>
            </w:pPr>
            <w:r/>
            <w:r>
              <w:rPr>
                <w:rFonts w:ascii="Times New Roman" w:hAnsi="Times New Roman" w:eastAsia="宋体"/>
                <w:b w:val="0"/>
                <w:color w:val="1F1F1F"/>
                <w:sz w:val="18"/>
              </w:rPr>
              <w:t>智慧</w:t>
            </w:r>
          </w:p>
        </w:tc>
      </w:tr>
      <w:tr>
        <w:trPr>
          <w:cantSplit/>
        </w:trPr>
        <w:tc>
          <w:tcPr>
            <w:tcW w:type="dxa" w:w="2228"/>
          </w:tcPr>
          <w:p>
            <w:pPr>
              <w:spacing w:before="0" w:after="0" w:line="276" w:lineRule="auto"/>
            </w:pPr>
            <w:r/>
            <w:r>
              <w:rPr>
                <w:rFonts w:ascii="Times New Roman" w:hAnsi="Times New Roman" w:eastAsia="宋体"/>
                <w:b w:val="0"/>
                <w:color w:val="1F1F1F"/>
                <w:sz w:val="18"/>
              </w:rPr>
              <w:t>D 普惠、健康与人文</w:t>
            </w:r>
          </w:p>
        </w:tc>
        <w:tc>
          <w:tcPr>
            <w:tcW w:type="dxa" w:w="1531"/>
          </w:tcPr>
          <w:p>
            <w:pPr>
              <w:spacing w:before="0" w:after="0" w:line="276" w:lineRule="auto"/>
            </w:pPr>
            <w:r/>
            <w:r>
              <w:rPr>
                <w:rFonts w:ascii="Times New Roman" w:hAnsi="Times New Roman" w:eastAsia="宋体"/>
                <w:b w:val="0"/>
                <w:color w:val="1F1F1F"/>
                <w:sz w:val="18"/>
              </w:rPr>
              <w:t>9</w:t>
            </w:r>
          </w:p>
        </w:tc>
        <w:tc>
          <w:tcPr>
            <w:tcW w:type="dxa" w:w="1531"/>
          </w:tcPr>
          <w:p>
            <w:pPr>
              <w:spacing w:before="0" w:after="0" w:line="276" w:lineRule="auto"/>
            </w:pPr>
            <w:r/>
            <w:r>
              <w:rPr>
                <w:rFonts w:ascii="Times New Roman" w:hAnsi="Times New Roman" w:eastAsia="宋体"/>
                <w:b w:val="0"/>
                <w:color w:val="1F1F1F"/>
                <w:sz w:val="18"/>
              </w:rPr>
              <w:t>7</w:t>
            </w:r>
          </w:p>
        </w:tc>
        <w:tc>
          <w:tcPr>
            <w:tcW w:type="dxa" w:w="1531"/>
          </w:tcPr>
          <w:p>
            <w:pPr>
              <w:spacing w:before="0" w:after="0" w:line="276" w:lineRule="auto"/>
            </w:pPr>
            <w:r/>
            <w:r>
              <w:rPr>
                <w:rFonts w:ascii="Times New Roman" w:hAnsi="Times New Roman" w:eastAsia="宋体"/>
                <w:b w:val="0"/>
                <w:color w:val="1F1F1F"/>
                <w:sz w:val="18"/>
              </w:rPr>
              <w:t>2</w:t>
            </w:r>
          </w:p>
        </w:tc>
        <w:tc>
          <w:tcPr>
            <w:tcW w:type="dxa" w:w="2023"/>
          </w:tcPr>
          <w:p>
            <w:pPr>
              <w:spacing w:before="0" w:after="0" w:line="276" w:lineRule="auto"/>
            </w:pPr>
            <w:r/>
            <w:r>
              <w:rPr>
                <w:rFonts w:ascii="Times New Roman" w:hAnsi="Times New Roman" w:eastAsia="宋体"/>
                <w:b w:val="0"/>
                <w:color w:val="1F1F1F"/>
                <w:sz w:val="18"/>
              </w:rPr>
              <w:t>普惠、健康、人文</w:t>
            </w:r>
          </w:p>
        </w:tc>
      </w:tr>
      <w:tr>
        <w:trPr>
          <w:cantSplit/>
        </w:trPr>
        <w:tc>
          <w:tcPr>
            <w:tcW w:type="dxa" w:w="2228"/>
          </w:tcPr>
          <w:p>
            <w:pPr>
              <w:spacing w:before="0" w:after="0" w:line="276" w:lineRule="auto"/>
            </w:pPr>
            <w:r/>
            <w:r>
              <w:rPr>
                <w:rFonts w:ascii="Times New Roman" w:hAnsi="Times New Roman" w:eastAsia="宋体"/>
                <w:b w:val="0"/>
                <w:color w:val="1F1F1F"/>
                <w:sz w:val="18"/>
              </w:rPr>
              <w:t>合计</w:t>
            </w:r>
          </w:p>
        </w:tc>
        <w:tc>
          <w:tcPr>
            <w:tcW w:type="dxa" w:w="1531"/>
          </w:tcPr>
          <w:p>
            <w:pPr>
              <w:spacing w:before="0" w:after="0" w:line="276" w:lineRule="auto"/>
            </w:pPr>
            <w:r/>
            <w:r>
              <w:rPr>
                <w:rFonts w:ascii="Times New Roman" w:hAnsi="Times New Roman" w:eastAsia="宋体"/>
                <w:b w:val="0"/>
                <w:color w:val="1F1F1F"/>
                <w:sz w:val="18"/>
              </w:rPr>
              <w:t>25</w:t>
            </w:r>
          </w:p>
        </w:tc>
        <w:tc>
          <w:tcPr>
            <w:tcW w:type="dxa" w:w="1531"/>
          </w:tcPr>
          <w:p>
            <w:pPr>
              <w:spacing w:before="0" w:after="0" w:line="276" w:lineRule="auto"/>
            </w:pPr>
            <w:r/>
            <w:r>
              <w:rPr>
                <w:rFonts w:ascii="Times New Roman" w:hAnsi="Times New Roman" w:eastAsia="宋体"/>
                <w:b w:val="0"/>
                <w:color w:val="1F1F1F"/>
                <w:sz w:val="18"/>
              </w:rPr>
              <w:t>20</w:t>
            </w:r>
          </w:p>
        </w:tc>
        <w:tc>
          <w:tcPr>
            <w:tcW w:type="dxa" w:w="1531"/>
          </w:tcPr>
          <w:p>
            <w:pPr>
              <w:spacing w:before="0" w:after="0" w:line="276" w:lineRule="auto"/>
            </w:pPr>
            <w:r/>
            <w:r>
              <w:rPr>
                <w:rFonts w:ascii="Times New Roman" w:hAnsi="Times New Roman" w:eastAsia="宋体"/>
                <w:b w:val="0"/>
                <w:color w:val="1F1F1F"/>
                <w:sz w:val="18"/>
              </w:rPr>
              <w:t>5</w:t>
            </w:r>
          </w:p>
        </w:tc>
        <w:tc>
          <w:tcPr>
            <w:tcW w:type="dxa" w:w="2023"/>
          </w:tcPr>
          <w:p>
            <w:pPr>
              <w:spacing w:before="0" w:after="0" w:line="276" w:lineRule="auto"/>
            </w:pPr>
            <w:r/>
            <w:r>
              <w:rPr>
                <w:rFonts w:ascii="Times New Roman" w:hAnsi="Times New Roman" w:eastAsia="宋体"/>
                <w:b w:val="0"/>
                <w:color w:val="1F1F1F"/>
                <w:sz w:val="18"/>
              </w:rPr>
              <w:t>—</w:t>
            </w:r>
          </w:p>
        </w:tc>
      </w:tr>
    </w:tbl>
    <w:p>
      <w:pPr>
        <w:spacing w:after="80"/>
      </w:pPr>
    </w:p>
    <w:p>
      <w:pPr>
        <w:pStyle w:val="Heading1"/>
        <w:keepNext/>
        <w:pageBreakBefore/>
        <w:spacing w:before="360" w:after="240" w:line="360" w:lineRule="auto"/>
        <w:jc w:val="center"/>
      </w:pPr>
      <w:r>
        <w:rPr>
          <w:rFonts w:ascii="Times New Roman" w:hAnsi="Times New Roman" w:eastAsia="黑体"/>
          <w:b w:val="0"/>
          <w:color w:val="1F1F1F"/>
          <w:sz w:val="36"/>
        </w:rPr>
        <w:t>第七章 近期建设计划与分期</w:t>
      </w:r>
    </w:p>
    <w:p>
      <w:pPr>
        <w:pStyle w:val="Heading2"/>
        <w:keepNext/>
        <w:spacing w:before="240" w:after="120" w:line="360" w:lineRule="auto"/>
      </w:pPr>
      <w:r>
        <w:rPr>
          <w:rFonts w:ascii="Times New Roman" w:hAnsi="Times New Roman" w:eastAsia="黑体"/>
          <w:b w:val="0"/>
          <w:color w:val="1F1F1F"/>
          <w:sz w:val="32"/>
        </w:rPr>
        <w:t>一、分期安排</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31"/>
        <w:gridCol w:w="1485"/>
        <w:gridCol w:w="3638"/>
        <w:gridCol w:w="2690"/>
      </w:tblGrid>
      <w:tr>
        <w:trPr>
          <w:cantSplit/>
          <w:tblHeader/>
        </w:trPr>
        <w:tc>
          <w:tcPr>
            <w:tcW w:type="dxa" w:w="1031"/>
            <w:shd w:val="clear" w:color="auto" w:fill="E7EEF3"/>
          </w:tcPr>
          <w:p>
            <w:pPr>
              <w:keepNext/>
              <w:spacing w:before="0" w:after="0" w:line="276" w:lineRule="auto"/>
              <w:jc w:val="center"/>
            </w:pPr>
            <w:r/>
            <w:r>
              <w:rPr>
                <w:rFonts w:ascii="Times New Roman" w:hAnsi="Times New Roman" w:eastAsia="宋体"/>
                <w:b/>
                <w:color w:val="1F1F1F"/>
                <w:sz w:val="18"/>
              </w:rPr>
              <w:t>分期</w:t>
            </w:r>
          </w:p>
        </w:tc>
        <w:tc>
          <w:tcPr>
            <w:tcW w:type="dxa" w:w="1485"/>
            <w:shd w:val="clear" w:color="auto" w:fill="E7EEF3"/>
          </w:tcPr>
          <w:p>
            <w:pPr>
              <w:keepNext/>
              <w:spacing w:before="0" w:after="0" w:line="276" w:lineRule="auto"/>
              <w:jc w:val="center"/>
            </w:pPr>
            <w:r/>
            <w:r>
              <w:rPr>
                <w:rFonts w:ascii="Times New Roman" w:hAnsi="Times New Roman" w:eastAsia="宋体"/>
                <w:b/>
                <w:color w:val="1F1F1F"/>
                <w:sz w:val="18"/>
              </w:rPr>
              <w:t>年限</w:t>
            </w:r>
          </w:p>
        </w:tc>
        <w:tc>
          <w:tcPr>
            <w:tcW w:type="dxa" w:w="3638"/>
            <w:shd w:val="clear" w:color="auto" w:fill="E7EEF3"/>
          </w:tcPr>
          <w:p>
            <w:pPr>
              <w:keepNext/>
              <w:spacing w:before="0" w:after="0" w:line="276" w:lineRule="auto"/>
              <w:jc w:val="center"/>
            </w:pPr>
            <w:r/>
            <w:r>
              <w:rPr>
                <w:rFonts w:ascii="Times New Roman" w:hAnsi="Times New Roman" w:eastAsia="宋体"/>
                <w:b/>
                <w:color w:val="1F1F1F"/>
                <w:sz w:val="18"/>
              </w:rPr>
              <w:t>建设重点</w:t>
            </w:r>
          </w:p>
        </w:tc>
        <w:tc>
          <w:tcPr>
            <w:tcW w:type="dxa" w:w="2690"/>
            <w:shd w:val="clear" w:color="auto" w:fill="E7EEF3"/>
          </w:tcPr>
          <w:p>
            <w:pPr>
              <w:keepNext/>
              <w:spacing w:before="0" w:after="0" w:line="276" w:lineRule="auto"/>
              <w:jc w:val="center"/>
            </w:pPr>
            <w:r/>
            <w:r>
              <w:rPr>
                <w:rFonts w:ascii="Times New Roman" w:hAnsi="Times New Roman" w:eastAsia="宋体"/>
                <w:b/>
                <w:color w:val="1F1F1F"/>
                <w:sz w:val="18"/>
              </w:rPr>
              <w:t>阶段验收口径</w:t>
            </w:r>
          </w:p>
        </w:tc>
      </w:tr>
      <w:tr>
        <w:trPr>
          <w:cantSplit/>
        </w:trPr>
        <w:tc>
          <w:tcPr>
            <w:tcW w:type="dxa" w:w="1031"/>
          </w:tcPr>
          <w:p>
            <w:pPr>
              <w:spacing w:before="0" w:after="0" w:line="276" w:lineRule="auto"/>
            </w:pPr>
            <w:r/>
            <w:r>
              <w:rPr>
                <w:rFonts w:ascii="Times New Roman" w:hAnsi="Times New Roman" w:eastAsia="宋体"/>
                <w:b w:val="0"/>
                <w:color w:val="1F1F1F"/>
                <w:sz w:val="18"/>
              </w:rPr>
              <w:t>近期</w:t>
            </w:r>
          </w:p>
        </w:tc>
        <w:tc>
          <w:tcPr>
            <w:tcW w:type="dxa" w:w="1485"/>
          </w:tcPr>
          <w:p>
            <w:pPr>
              <w:spacing w:before="0" w:after="0" w:line="276" w:lineRule="auto"/>
            </w:pPr>
            <w:r/>
            <w:r>
              <w:rPr>
                <w:rFonts w:ascii="Times New Roman" w:hAnsi="Times New Roman" w:eastAsia="宋体"/>
                <w:b w:val="0"/>
                <w:color w:val="1F1F1F"/>
                <w:sz w:val="18"/>
              </w:rPr>
              <w:t>2027—2028 年</w:t>
            </w:r>
          </w:p>
        </w:tc>
        <w:tc>
          <w:tcPr>
            <w:tcW w:type="dxa" w:w="3638"/>
          </w:tcPr>
          <w:p>
            <w:pPr>
              <w:spacing w:before="0" w:after="0" w:line="276" w:lineRule="auto"/>
            </w:pPr>
            <w:r/>
            <w:r>
              <w:rPr>
                <w:rFonts w:ascii="Times New Roman" w:hAnsi="Times New Roman" w:eastAsia="宋体"/>
                <w:b w:val="0"/>
                <w:color w:val="1F1F1F"/>
                <w:sz w:val="18"/>
              </w:rPr>
              <w:t>三件先行；园中园试点；四级计量与预约联动试点区全覆盖；碳普惠、算力门户、无障碍整改上线</w:t>
            </w:r>
          </w:p>
        </w:tc>
        <w:tc>
          <w:tcPr>
            <w:tcW w:type="dxa" w:w="2690"/>
          </w:tcPr>
          <w:p>
            <w:pPr>
              <w:spacing w:before="0" w:after="0" w:line="276" w:lineRule="auto"/>
            </w:pPr>
            <w:r/>
            <w:r>
              <w:rPr>
                <w:rFonts w:ascii="Times New Roman" w:hAnsi="Times New Roman" w:eastAsia="宋体"/>
                <w:b w:val="0"/>
                <w:color w:val="1F1F1F"/>
                <w:sz w:val="18"/>
              </w:rPr>
              <w:t>一个完整供冷季实测数据；碳账本第一个年度账；试点区节能与健康同时达标；达到低碳档</w:t>
            </w:r>
          </w:p>
        </w:tc>
      </w:tr>
      <w:tr>
        <w:trPr>
          <w:cantSplit/>
        </w:trPr>
        <w:tc>
          <w:tcPr>
            <w:tcW w:type="dxa" w:w="1031"/>
          </w:tcPr>
          <w:p>
            <w:pPr>
              <w:spacing w:before="0" w:after="0" w:line="276" w:lineRule="auto"/>
            </w:pPr>
            <w:r/>
            <w:r>
              <w:rPr>
                <w:rFonts w:ascii="Times New Roman" w:hAnsi="Times New Roman" w:eastAsia="宋体"/>
                <w:b w:val="0"/>
                <w:color w:val="1F1F1F"/>
                <w:sz w:val="18"/>
              </w:rPr>
              <w:t>中期</w:t>
            </w:r>
          </w:p>
        </w:tc>
        <w:tc>
          <w:tcPr>
            <w:tcW w:type="dxa" w:w="1485"/>
          </w:tcPr>
          <w:p>
            <w:pPr>
              <w:spacing w:before="0" w:after="0" w:line="276" w:lineRule="auto"/>
            </w:pPr>
            <w:r/>
            <w:r>
              <w:rPr>
                <w:rFonts w:ascii="Times New Roman" w:hAnsi="Times New Roman" w:eastAsia="宋体"/>
                <w:b w:val="0"/>
                <w:color w:val="1F1F1F"/>
                <w:sz w:val="18"/>
              </w:rPr>
              <w:t>2029—2030 年</w:t>
            </w:r>
          </w:p>
        </w:tc>
        <w:tc>
          <w:tcPr>
            <w:tcW w:type="dxa" w:w="3638"/>
          </w:tcPr>
          <w:p>
            <w:pPr>
              <w:spacing w:before="0" w:after="0" w:line="276" w:lineRule="auto"/>
            </w:pPr>
            <w:r/>
            <w:r>
              <w:rPr>
                <w:rFonts w:ascii="Times New Roman" w:hAnsi="Times New Roman" w:eastAsia="宋体"/>
                <w:b w:val="0"/>
                <w:color w:val="1F1F1F"/>
                <w:sz w:val="18"/>
              </w:rPr>
              <w:t>冷站群控、计量、末端联动、环境监测全园推广；光伏分批加装；柔性资源接入；绿电与抵消结构；运营中心与展项动线；海绵与步行系统</w:t>
            </w:r>
          </w:p>
        </w:tc>
        <w:tc>
          <w:tcPr>
            <w:tcW w:type="dxa" w:w="2690"/>
          </w:tcPr>
          <w:p>
            <w:pPr>
              <w:spacing w:before="0" w:after="0" w:line="276" w:lineRule="auto"/>
            </w:pPr>
            <w:r/>
            <w:r>
              <w:rPr>
                <w:rFonts w:ascii="Times New Roman" w:hAnsi="Times New Roman" w:eastAsia="宋体"/>
                <w:b w:val="0"/>
                <w:color w:val="1F1F1F"/>
                <w:sz w:val="18"/>
              </w:rPr>
              <w:t>全园控制性指标达标；达到近零碳档；至少一个南网内园区开始复用方法与平台</w:t>
            </w:r>
          </w:p>
        </w:tc>
      </w:tr>
      <w:tr>
        <w:trPr>
          <w:cantSplit/>
        </w:trPr>
        <w:tc>
          <w:tcPr>
            <w:tcW w:type="dxa" w:w="1031"/>
          </w:tcPr>
          <w:p>
            <w:pPr>
              <w:spacing w:before="0" w:after="0" w:line="276" w:lineRule="auto"/>
            </w:pPr>
            <w:r/>
            <w:r>
              <w:rPr>
                <w:rFonts w:ascii="Times New Roman" w:hAnsi="Times New Roman" w:eastAsia="宋体"/>
                <w:b w:val="0"/>
                <w:color w:val="1F1F1F"/>
                <w:sz w:val="18"/>
              </w:rPr>
              <w:t>远期</w:t>
            </w:r>
          </w:p>
        </w:tc>
        <w:tc>
          <w:tcPr>
            <w:tcW w:type="dxa" w:w="1485"/>
          </w:tcPr>
          <w:p>
            <w:pPr>
              <w:spacing w:before="0" w:after="0" w:line="276" w:lineRule="auto"/>
            </w:pPr>
            <w:r/>
            <w:r>
              <w:rPr>
                <w:rFonts w:ascii="Times New Roman" w:hAnsi="Times New Roman" w:eastAsia="宋体"/>
                <w:b w:val="0"/>
                <w:color w:val="1F1F1F"/>
                <w:sz w:val="18"/>
              </w:rPr>
              <w:t>2031—2035 年</w:t>
            </w:r>
          </w:p>
        </w:tc>
        <w:tc>
          <w:tcPr>
            <w:tcW w:type="dxa" w:w="3638"/>
          </w:tcPr>
          <w:p>
            <w:pPr>
              <w:spacing w:before="0" w:after="0" w:line="276" w:lineRule="auto"/>
            </w:pPr>
            <w:r/>
            <w:r>
              <w:rPr>
                <w:rFonts w:ascii="Times New Roman" w:hAnsi="Times New Roman" w:eastAsia="宋体"/>
                <w:b w:val="0"/>
                <w:color w:val="1F1F1F"/>
                <w:sz w:val="18"/>
              </w:rPr>
              <w:t>深化运营与模型迭代；储能、V2G、直流试点比选；面向南网内园区的复制；研究碳中和路径</w:t>
            </w:r>
          </w:p>
        </w:tc>
        <w:tc>
          <w:tcPr>
            <w:tcW w:type="dxa" w:w="2690"/>
          </w:tcPr>
          <w:p>
            <w:pPr>
              <w:spacing w:before="0" w:after="0" w:line="276" w:lineRule="auto"/>
            </w:pPr>
            <w:r/>
            <w:r>
              <w:rPr>
                <w:rFonts w:ascii="Times New Roman" w:hAnsi="Times New Roman" w:eastAsia="宋体"/>
                <w:b w:val="0"/>
                <w:color w:val="1F1F1F"/>
                <w:sz w:val="18"/>
              </w:rPr>
              <w:t>年度碳账连续达标；复制成果形成</w:t>
            </w:r>
          </w:p>
        </w:tc>
      </w:tr>
    </w:tbl>
    <w:p>
      <w:pPr>
        <w:spacing w:after="80"/>
      </w:pPr>
    </w:p>
    <w:p>
      <w:pPr>
        <w:pStyle w:val="Heading2"/>
        <w:keepNext/>
        <w:spacing w:before="240" w:after="120" w:line="360" w:lineRule="auto"/>
      </w:pPr>
      <w:r>
        <w:rPr>
          <w:rFonts w:ascii="Times New Roman" w:hAnsi="Times New Roman" w:eastAsia="黑体"/>
          <w:b w:val="0"/>
          <w:color w:val="1F1F1F"/>
          <w:sz w:val="32"/>
        </w:rPr>
        <w:t>二、三件先行</w:t>
      </w:r>
    </w:p>
    <w:p>
      <w:pPr>
        <w:spacing w:before="0" w:after="120" w:line="360" w:lineRule="auto"/>
        <w:ind w:firstLine="480"/>
      </w:pPr>
      <w:r>
        <w:rPr>
          <w:rFonts w:ascii="Times New Roman" w:hAnsi="Times New Roman" w:eastAsia="仿宋_GB2312"/>
          <w:b w:val="0"/>
          <w:color w:val="1F1F1F"/>
          <w:sz w:val="32"/>
        </w:rPr>
        <w:t>以下三项为近期最先启动的项目，在预可行性方案批准后即行组织，互为输入。</w:t>
      </w:r>
    </w:p>
    <w:p>
      <w:pPr>
        <w:spacing w:before="0" w:after="120" w:line="360" w:lineRule="auto"/>
        <w:ind w:firstLine="480"/>
      </w:pPr>
      <w:r>
        <w:rPr>
          <w:rFonts w:ascii="Times New Roman" w:hAnsi="Times New Roman" w:eastAsia="仿宋_GB2312"/>
          <w:b/>
          <w:color w:val="1F1F1F"/>
          <w:sz w:val="32"/>
        </w:rPr>
        <w:t>（一）冷站与水系统深度诊断（A1）。</w:t>
      </w:r>
      <w:r>
        <w:rPr>
          <w:rFonts w:ascii="Times New Roman" w:hAnsi="Times New Roman" w:eastAsia="仿宋_GB2312"/>
          <w:b w:val="0"/>
          <w:color w:val="1F1F1F"/>
          <w:sz w:val="32"/>
        </w:rPr>
        <w:t xml:space="preserve"> 范围：能源中心区冷站全部主机、水泵、冷却塔、输配管网，各楼宇末端抽样，风系统同步诊断（与 D6 共用进场）。工期：覆盖 2027 年一个完整供冷季。产出：分项能耗基线报告、设备健康度分档、楼宇改造顺序建议、冷站能效基线值。后续用途：作为指标 6、7 的基期值，作为 A2 改造深度的依据。</w:t>
      </w:r>
    </w:p>
    <w:p>
      <w:pPr>
        <w:spacing w:before="0" w:after="120" w:line="360" w:lineRule="auto"/>
        <w:ind w:firstLine="480"/>
      </w:pPr>
      <w:r>
        <w:rPr>
          <w:rFonts w:ascii="Times New Roman" w:hAnsi="Times New Roman" w:eastAsia="仿宋_GB2312"/>
          <w:b/>
          <w:color w:val="1F1F1F"/>
          <w:sz w:val="32"/>
        </w:rPr>
        <w:t>（二）园区碳账本与核算体系（A7）。</w:t>
      </w:r>
      <w:r>
        <w:rPr>
          <w:rFonts w:ascii="Times New Roman" w:hAnsi="Times New Roman" w:eastAsia="仿宋_GB2312"/>
          <w:b w:val="0"/>
          <w:color w:val="1F1F1F"/>
          <w:sz w:val="32"/>
        </w:rPr>
        <w:t xml:space="preserve"> 范围：全园总账与办公区、数据机房两个子账；核算边界、机房进出账、绿电与抵消计入规则。工期：与 A1 同步启动，供冷季结束后形成第一个年度账。产出：《园区碳核算规则》、基准年碳排放、第一个年度碳账及公示格式。后续用途：作为指标 1、2、3 的基期值与考核依据，作为 A8 抵消结构的输入。</w:t>
      </w:r>
    </w:p>
    <w:p>
      <w:pPr>
        <w:spacing w:before="0" w:after="120" w:line="360" w:lineRule="auto"/>
        <w:ind w:firstLine="480"/>
      </w:pPr>
      <w:r>
        <w:rPr>
          <w:rFonts w:ascii="Times New Roman" w:hAnsi="Times New Roman" w:eastAsia="仿宋_GB2312"/>
          <w:b/>
          <w:color w:val="1F1F1F"/>
          <w:sz w:val="32"/>
        </w:rPr>
        <w:t>（三）平台总体设计与数据主权（C1）。</w:t>
      </w:r>
      <w:r>
        <w:rPr>
          <w:rFonts w:ascii="Times New Roman" w:hAnsi="Times New Roman" w:eastAsia="仿宋_GB2312"/>
          <w:b w:val="0"/>
          <w:color w:val="1F1F1F"/>
          <w:sz w:val="32"/>
        </w:rPr>
        <w:t xml:space="preserve"> 范围：“一个平台、两类功能”总体设计，接口清单，四级计量点布置方案，网络安全分区，本地化部署与数据主权条款。工期：预可研批准后半年内完成。产出：平台总体设计文件、数据主权条款模板、C2 与 C3 首批建设任务书。后续用途：作为 C2、C3、C5、D1、D2、D3、D5 的统一设计依据，避免分头建设后的二次集成。</w:t>
      </w:r>
    </w:p>
    <w:p>
      <w:pPr>
        <w:pStyle w:val="Heading2"/>
        <w:keepNext/>
        <w:spacing w:before="240" w:after="120" w:line="360" w:lineRule="auto"/>
      </w:pPr>
      <w:r>
        <w:rPr>
          <w:rFonts w:ascii="Times New Roman" w:hAnsi="Times New Roman" w:eastAsia="黑体"/>
          <w:b w:val="0"/>
          <w:color w:val="1F1F1F"/>
          <w:sz w:val="32"/>
        </w:rPr>
        <w:t>三、近期建设计划</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80"/>
        <w:gridCol w:w="4782"/>
        <w:gridCol w:w="2382"/>
      </w:tblGrid>
      <w:tr>
        <w:trPr>
          <w:cantSplit/>
          <w:tblHeader/>
        </w:trPr>
        <w:tc>
          <w:tcPr>
            <w:tcW w:type="dxa" w:w="1680"/>
            <w:shd w:val="clear" w:color="auto" w:fill="E7EEF3"/>
          </w:tcPr>
          <w:p>
            <w:pPr>
              <w:keepNext/>
              <w:spacing w:before="0" w:after="0" w:line="276" w:lineRule="auto"/>
              <w:jc w:val="center"/>
            </w:pPr>
            <w:r/>
            <w:r>
              <w:rPr>
                <w:rFonts w:ascii="Times New Roman" w:hAnsi="Times New Roman" w:eastAsia="宋体"/>
                <w:b/>
                <w:color w:val="1F1F1F"/>
                <w:sz w:val="18"/>
              </w:rPr>
              <w:t>时段</w:t>
            </w:r>
          </w:p>
        </w:tc>
        <w:tc>
          <w:tcPr>
            <w:tcW w:type="dxa" w:w="4782"/>
            <w:shd w:val="clear" w:color="auto" w:fill="E7EEF3"/>
          </w:tcPr>
          <w:p>
            <w:pPr>
              <w:keepNext/>
              <w:spacing w:before="0" w:after="0" w:line="276" w:lineRule="auto"/>
              <w:jc w:val="center"/>
            </w:pPr>
            <w:r/>
            <w:r>
              <w:rPr>
                <w:rFonts w:ascii="Times New Roman" w:hAnsi="Times New Roman" w:eastAsia="宋体"/>
                <w:b/>
                <w:color w:val="1F1F1F"/>
                <w:sz w:val="18"/>
              </w:rPr>
              <w:t>建设内容</w:t>
            </w:r>
          </w:p>
        </w:tc>
        <w:tc>
          <w:tcPr>
            <w:tcW w:type="dxa" w:w="2382"/>
            <w:shd w:val="clear" w:color="auto" w:fill="E7EEF3"/>
          </w:tcPr>
          <w:p>
            <w:pPr>
              <w:keepNext/>
              <w:spacing w:before="0" w:after="0" w:line="276" w:lineRule="auto"/>
              <w:jc w:val="center"/>
            </w:pPr>
            <w:r/>
            <w:r>
              <w:rPr>
                <w:rFonts w:ascii="Times New Roman" w:hAnsi="Times New Roman" w:eastAsia="宋体"/>
                <w:b/>
                <w:color w:val="1F1F1F"/>
                <w:sz w:val="18"/>
              </w:rPr>
              <w:t>涉及项目</w:t>
            </w:r>
          </w:p>
        </w:tc>
      </w:tr>
      <w:tr>
        <w:trPr>
          <w:cantSplit/>
        </w:trPr>
        <w:tc>
          <w:tcPr>
            <w:tcW w:type="dxa" w:w="1680"/>
          </w:tcPr>
          <w:p>
            <w:pPr>
              <w:spacing w:before="0" w:after="0" w:line="276" w:lineRule="auto"/>
            </w:pPr>
            <w:r/>
            <w:r>
              <w:rPr>
                <w:rFonts w:ascii="Times New Roman" w:hAnsi="Times New Roman" w:eastAsia="宋体"/>
                <w:b w:val="0"/>
                <w:color w:val="1F1F1F"/>
                <w:sz w:val="18"/>
              </w:rPr>
              <w:t>2026 年第四季度</w:t>
            </w:r>
          </w:p>
        </w:tc>
        <w:tc>
          <w:tcPr>
            <w:tcW w:type="dxa" w:w="4782"/>
          </w:tcPr>
          <w:p>
            <w:pPr>
              <w:spacing w:before="0" w:after="0" w:line="276" w:lineRule="auto"/>
            </w:pPr>
            <w:r/>
            <w:r>
              <w:rPr>
                <w:rFonts w:ascii="Times New Roman" w:hAnsi="Times New Roman" w:eastAsia="宋体"/>
                <w:b w:val="0"/>
                <w:color w:val="1F1F1F"/>
                <w:sz w:val="18"/>
              </w:rPr>
              <w:t>预可行性方案编制与审批；基础资料核验；三件先行的任务书与采购准备</w:t>
            </w:r>
          </w:p>
        </w:tc>
        <w:tc>
          <w:tcPr>
            <w:tcW w:type="dxa" w:w="2382"/>
          </w:tcPr>
          <w:p>
            <w:pPr>
              <w:spacing w:before="0" w:after="0" w:line="276" w:lineRule="auto"/>
            </w:pPr>
            <w:r/>
            <w:r>
              <w:rPr>
                <w:rFonts w:ascii="Times New Roman" w:hAnsi="Times New Roman" w:eastAsia="宋体"/>
                <w:b w:val="0"/>
                <w:color w:val="1F1F1F"/>
                <w:sz w:val="18"/>
              </w:rPr>
              <w:t>A1、A7、C1 准备</w:t>
            </w:r>
          </w:p>
        </w:tc>
      </w:tr>
      <w:tr>
        <w:trPr>
          <w:cantSplit/>
        </w:trPr>
        <w:tc>
          <w:tcPr>
            <w:tcW w:type="dxa" w:w="1680"/>
          </w:tcPr>
          <w:p>
            <w:pPr>
              <w:spacing w:before="0" w:after="0" w:line="276" w:lineRule="auto"/>
            </w:pPr>
            <w:r/>
            <w:r>
              <w:rPr>
                <w:rFonts w:ascii="Times New Roman" w:hAnsi="Times New Roman" w:eastAsia="宋体"/>
                <w:b w:val="0"/>
                <w:color w:val="1F1F1F"/>
                <w:sz w:val="18"/>
              </w:rPr>
              <w:t>2027 年上半年</w:t>
            </w:r>
          </w:p>
        </w:tc>
        <w:tc>
          <w:tcPr>
            <w:tcW w:type="dxa" w:w="4782"/>
          </w:tcPr>
          <w:p>
            <w:pPr>
              <w:spacing w:before="0" w:after="0" w:line="276" w:lineRule="auto"/>
            </w:pPr>
            <w:r/>
            <w:r>
              <w:rPr>
                <w:rFonts w:ascii="Times New Roman" w:hAnsi="Times New Roman" w:eastAsia="宋体"/>
                <w:b w:val="0"/>
                <w:color w:val="1F1F1F"/>
                <w:sz w:val="18"/>
              </w:rPr>
              <w:t>A1 进场并覆盖供冷季；A7 立账；C1 完成总体设计；A4 光伏普查；A6 余热需求摸底；D4 无障碍排查；试点区选定</w:t>
            </w:r>
          </w:p>
        </w:tc>
        <w:tc>
          <w:tcPr>
            <w:tcW w:type="dxa" w:w="2382"/>
          </w:tcPr>
          <w:p>
            <w:pPr>
              <w:spacing w:before="0" w:after="0" w:line="276" w:lineRule="auto"/>
            </w:pPr>
            <w:r/>
            <w:r>
              <w:rPr>
                <w:rFonts w:ascii="Times New Roman" w:hAnsi="Times New Roman" w:eastAsia="宋体"/>
                <w:b w:val="0"/>
                <w:color w:val="1F1F1F"/>
                <w:sz w:val="18"/>
              </w:rPr>
              <w:t>A1、A7、C1、A4、A6、D4</w:t>
            </w:r>
          </w:p>
        </w:tc>
      </w:tr>
      <w:tr>
        <w:trPr>
          <w:cantSplit/>
        </w:trPr>
        <w:tc>
          <w:tcPr>
            <w:tcW w:type="dxa" w:w="1680"/>
          </w:tcPr>
          <w:p>
            <w:pPr>
              <w:spacing w:before="0" w:after="0" w:line="276" w:lineRule="auto"/>
            </w:pPr>
            <w:r/>
            <w:r>
              <w:rPr>
                <w:rFonts w:ascii="Times New Roman" w:hAnsi="Times New Roman" w:eastAsia="宋体"/>
                <w:b w:val="0"/>
                <w:color w:val="1F1F1F"/>
                <w:sz w:val="18"/>
              </w:rPr>
              <w:t>2027 年下半年</w:t>
            </w:r>
          </w:p>
        </w:tc>
        <w:tc>
          <w:tcPr>
            <w:tcW w:type="dxa" w:w="4782"/>
          </w:tcPr>
          <w:p>
            <w:pPr>
              <w:spacing w:before="0" w:after="0" w:line="276" w:lineRule="auto"/>
            </w:pPr>
            <w:r/>
            <w:r>
              <w:rPr>
                <w:rFonts w:ascii="Times New Roman" w:hAnsi="Times New Roman" w:eastAsia="宋体"/>
                <w:b w:val="0"/>
                <w:color w:val="1F1F1F"/>
                <w:sz w:val="18"/>
              </w:rPr>
              <w:t>试点区：C2 计量补齐、C3 预约联动、D5 环境监测、D6 新风与照明、B1 微气候场地开工；A3 过渡期策略上线；D1 碳普惠、D2 算力门户上线；D8 更新导则</w:t>
            </w:r>
          </w:p>
        </w:tc>
        <w:tc>
          <w:tcPr>
            <w:tcW w:type="dxa" w:w="2382"/>
          </w:tcPr>
          <w:p>
            <w:pPr>
              <w:spacing w:before="0" w:after="0" w:line="276" w:lineRule="auto"/>
            </w:pPr>
            <w:r/>
            <w:r>
              <w:rPr>
                <w:rFonts w:ascii="Times New Roman" w:hAnsi="Times New Roman" w:eastAsia="宋体"/>
                <w:b w:val="0"/>
                <w:color w:val="1F1F1F"/>
                <w:sz w:val="18"/>
              </w:rPr>
              <w:t>C2、C3、D5、D6、B1、A3、D1、D2、D8</w:t>
            </w:r>
          </w:p>
        </w:tc>
      </w:tr>
      <w:tr>
        <w:trPr>
          <w:cantSplit/>
        </w:trPr>
        <w:tc>
          <w:tcPr>
            <w:tcW w:type="dxa" w:w="1680"/>
          </w:tcPr>
          <w:p>
            <w:pPr>
              <w:spacing w:before="0" w:after="0" w:line="276" w:lineRule="auto"/>
            </w:pPr>
            <w:r/>
            <w:r>
              <w:rPr>
                <w:rFonts w:ascii="Times New Roman" w:hAnsi="Times New Roman" w:eastAsia="宋体"/>
                <w:b w:val="0"/>
                <w:color w:val="1F1F1F"/>
                <w:sz w:val="18"/>
              </w:rPr>
              <w:t>2028 年上半年</w:t>
            </w:r>
          </w:p>
        </w:tc>
        <w:tc>
          <w:tcPr>
            <w:tcW w:type="dxa" w:w="4782"/>
          </w:tcPr>
          <w:p>
            <w:pPr>
              <w:spacing w:before="0" w:after="0" w:line="276" w:lineRule="auto"/>
            </w:pPr>
            <w:r/>
            <w:r>
              <w:rPr>
                <w:rFonts w:ascii="Times New Roman" w:hAnsi="Times New Roman" w:eastAsia="宋体"/>
                <w:b w:val="0"/>
                <w:color w:val="1F1F1F"/>
                <w:sz w:val="18"/>
              </w:rPr>
              <w:t>A1 基线报告与分档；指标基期值校定；A2 试点区群控改造；A4 首批光伏加装；A5 柔性资源清单；C5 预测模型基线；D3 会议与充电预约上线</w:t>
            </w:r>
          </w:p>
        </w:tc>
        <w:tc>
          <w:tcPr>
            <w:tcW w:type="dxa" w:w="2382"/>
          </w:tcPr>
          <w:p>
            <w:pPr>
              <w:spacing w:before="0" w:after="0" w:line="276" w:lineRule="auto"/>
            </w:pPr>
            <w:r/>
            <w:r>
              <w:rPr>
                <w:rFonts w:ascii="Times New Roman" w:hAnsi="Times New Roman" w:eastAsia="宋体"/>
                <w:b w:val="0"/>
                <w:color w:val="1F1F1F"/>
                <w:sz w:val="18"/>
              </w:rPr>
              <w:t>A1、A2、A4、A5、C5、D3</w:t>
            </w:r>
          </w:p>
        </w:tc>
      </w:tr>
      <w:tr>
        <w:trPr>
          <w:cantSplit/>
        </w:trPr>
        <w:tc>
          <w:tcPr>
            <w:tcW w:type="dxa" w:w="1680"/>
          </w:tcPr>
          <w:p>
            <w:pPr>
              <w:spacing w:before="0" w:after="0" w:line="276" w:lineRule="auto"/>
            </w:pPr>
            <w:r/>
            <w:r>
              <w:rPr>
                <w:rFonts w:ascii="Times New Roman" w:hAnsi="Times New Roman" w:eastAsia="宋体"/>
                <w:b w:val="0"/>
                <w:color w:val="1F1F1F"/>
                <w:sz w:val="18"/>
              </w:rPr>
              <w:t>2028 年下半年</w:t>
            </w:r>
          </w:p>
        </w:tc>
        <w:tc>
          <w:tcPr>
            <w:tcW w:type="dxa" w:w="4782"/>
          </w:tcPr>
          <w:p>
            <w:pPr>
              <w:spacing w:before="0" w:after="0" w:line="276" w:lineRule="auto"/>
            </w:pPr>
            <w:r/>
            <w:r>
              <w:rPr>
                <w:rFonts w:ascii="Times New Roman" w:hAnsi="Times New Roman" w:eastAsia="宋体"/>
                <w:b w:val="0"/>
                <w:color w:val="1F1F1F"/>
                <w:sz w:val="18"/>
              </w:rPr>
              <w:t>试点区一个完整供冷季验收（节能与健康互锁）；B2 海绵试点；第一个年度碳账公示；低碳档校核；中期建设计划与项目任务书编制</w:t>
            </w:r>
          </w:p>
        </w:tc>
        <w:tc>
          <w:tcPr>
            <w:tcW w:type="dxa" w:w="2382"/>
          </w:tcPr>
          <w:p>
            <w:pPr>
              <w:spacing w:before="0" w:after="0" w:line="276" w:lineRule="auto"/>
            </w:pPr>
            <w:r/>
            <w:r>
              <w:rPr>
                <w:rFonts w:ascii="Times New Roman" w:hAnsi="Times New Roman" w:eastAsia="宋体"/>
                <w:b w:val="0"/>
                <w:color w:val="1F1F1F"/>
                <w:sz w:val="18"/>
              </w:rPr>
              <w:t>A2、A7、B2、D5</w:t>
            </w:r>
          </w:p>
        </w:tc>
      </w:tr>
    </w:tbl>
    <w:p>
      <w:pPr>
        <w:spacing w:after="80"/>
      </w:pPr>
    </w:p>
    <w:p>
      <w:pPr>
        <w:pStyle w:val="Heading2"/>
        <w:keepNext/>
        <w:spacing w:before="240" w:after="120" w:line="360" w:lineRule="auto"/>
      </w:pPr>
      <w:r>
        <w:rPr>
          <w:rFonts w:ascii="Times New Roman" w:hAnsi="Times New Roman" w:eastAsia="黑体"/>
          <w:b w:val="0"/>
          <w:color w:val="1F1F1F"/>
          <w:sz w:val="32"/>
        </w:rPr>
        <w:t>四、园中园试点</w:t>
      </w:r>
    </w:p>
    <w:p>
      <w:pPr>
        <w:spacing w:before="0" w:after="120" w:line="360" w:lineRule="auto"/>
        <w:ind w:firstLine="480"/>
      </w:pPr>
      <w:r>
        <w:rPr>
          <w:rFonts w:ascii="Times New Roman" w:hAnsi="Times New Roman" w:eastAsia="仿宋_GB2312"/>
          <w:b w:val="0"/>
          <w:color w:val="1F1F1F"/>
          <w:sz w:val="32"/>
        </w:rPr>
        <w:t>试点分区按可停机窗口、用能可计量、措施可复制、成效可验证四项标准比选，候选为 1 号楼后空地及邻近楼宇【待核】。试点区在 2027 年下半年至 2028 年供冷季集中实施 C2、C3、D5、D6、A2 与 B1，验收口径为取得一个完整供冷季的实测数据，且节能指标与健康指标同时达标。试点区形成的做法、参数与流程直接作为中期全园推广的设计输入。</w:t>
      </w:r>
    </w:p>
    <w:p>
      <w:pPr>
        <w:pStyle w:val="Heading2"/>
        <w:keepNext/>
        <w:spacing w:before="240" w:after="120" w:line="360" w:lineRule="auto"/>
      </w:pPr>
      <w:r>
        <w:rPr>
          <w:rFonts w:ascii="Times New Roman" w:hAnsi="Times New Roman" w:eastAsia="黑体"/>
          <w:b w:val="0"/>
          <w:color w:val="1F1F1F"/>
          <w:sz w:val="32"/>
        </w:rPr>
        <w:t>五、分期建设时序示意</w:t>
      </w:r>
    </w:p>
    <w:p>
      <w:pPr>
        <w:spacing w:before="0" w:after="80" w:line="360" w:lineRule="auto"/>
        <w:jc w:val="center"/>
      </w:pPr>
      <w:r>
        <w:drawing>
          <wp:inline xmlns:a="http://schemas.openxmlformats.org/drawingml/2006/main" xmlns:pic="http://schemas.openxmlformats.org/drawingml/2006/picture">
            <wp:extent cx="5400000" cy="1232948"/>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400000" cy="1232948"/>
                    </a:xfrm>
                    <a:prstGeom prst="rect"/>
                  </pic:spPr>
                </pic:pic>
              </a:graphicData>
            </a:graphic>
          </wp:inline>
        </w:drawing>
      </w:r>
    </w:p>
    <w:p>
      <w:pPr>
        <w:spacing w:before="0" w:after="200" w:line="360" w:lineRule="auto"/>
        <w:jc w:val="center"/>
      </w:pPr>
      <w:r>
        <w:rPr>
          <w:rFonts w:ascii="Times New Roman" w:hAnsi="Times New Roman" w:eastAsia="宋体"/>
          <w:color w:val="1F1F1F"/>
          <w:sz w:val="21"/>
        </w:rPr>
        <w:t>图 7-1 分期建设时序示意</w:t>
      </w:r>
    </w:p>
    <w:p>
      <w:pPr>
        <w:pStyle w:val="Heading1"/>
        <w:keepNext/>
        <w:pageBreakBefore/>
        <w:spacing w:before="360" w:after="240" w:line="360" w:lineRule="auto"/>
        <w:jc w:val="center"/>
      </w:pPr>
      <w:r>
        <w:rPr>
          <w:rFonts w:ascii="Times New Roman" w:hAnsi="Times New Roman" w:eastAsia="黑体"/>
          <w:b w:val="0"/>
          <w:color w:val="1F1F1F"/>
          <w:sz w:val="36"/>
        </w:rPr>
        <w:t>第八章 实施与运营</w:t>
      </w:r>
    </w:p>
    <w:p>
      <w:pPr>
        <w:pStyle w:val="Heading2"/>
        <w:keepNext/>
        <w:spacing w:before="240" w:after="120" w:line="360" w:lineRule="auto"/>
      </w:pPr>
      <w:r>
        <w:rPr>
          <w:rFonts w:ascii="Times New Roman" w:hAnsi="Times New Roman" w:eastAsia="黑体"/>
          <w:b w:val="0"/>
          <w:color w:val="1F1F1F"/>
          <w:sz w:val="32"/>
        </w:rPr>
        <w:t>一、组织</w:t>
      </w:r>
    </w:p>
    <w:p>
      <w:pPr>
        <w:spacing w:before="0" w:after="120" w:line="360" w:lineRule="auto"/>
        <w:ind w:firstLine="480"/>
      </w:pPr>
      <w:r>
        <w:rPr>
          <w:rFonts w:ascii="Times New Roman" w:hAnsi="Times New Roman" w:eastAsia="仿宋_GB2312"/>
          <w:b w:val="0"/>
          <w:color w:val="1F1F1F"/>
          <w:sz w:val="32"/>
        </w:rPr>
        <w:t>园区归南网总部，规划实施主体为南网总部；能源公司承担规划主笔、项目实施牵头与最终交付；成立由总部相关部门、能源公司与园区运维单位组成的联合工作组，负责项目库执行、指标评估与规划修编。外部单位按已立专项承担认证、设计、设备与服务，主笔与系统集成由南网自持。</w:t>
      </w:r>
    </w:p>
    <w:p>
      <w:pPr>
        <w:pStyle w:val="Heading2"/>
        <w:keepNext/>
        <w:spacing w:before="240" w:after="120" w:line="360" w:lineRule="auto"/>
      </w:pPr>
      <w:r>
        <w:rPr>
          <w:rFonts w:ascii="Times New Roman" w:hAnsi="Times New Roman" w:eastAsia="黑体"/>
          <w:b w:val="0"/>
          <w:color w:val="1F1F1F"/>
          <w:sz w:val="32"/>
        </w:rPr>
        <w:t>二、运维与运营</w:t>
      </w:r>
    </w:p>
    <w:p>
      <w:pPr>
        <w:spacing w:before="0" w:after="120" w:line="360" w:lineRule="auto"/>
        <w:ind w:firstLine="480"/>
      </w:pPr>
      <w:r>
        <w:rPr>
          <w:rFonts w:ascii="Times New Roman" w:hAnsi="Times New Roman" w:eastAsia="仿宋_GB2312"/>
          <w:b w:val="0"/>
          <w:color w:val="1F1F1F"/>
          <w:sz w:val="32"/>
        </w:rPr>
        <w:t>以智能运营中心为运行核心，设能碳运营岗，负责冷站与柔性资源日常调度、碳账本维护、平台运维与预约服务。诊断分档、群控策略、蓄冷策略、节能与健康互锁、碳核算等形成运行规程，按企业技术标准路径固化。</w:t>
      </w:r>
    </w:p>
    <w:p>
      <w:pPr>
        <w:pStyle w:val="Heading2"/>
        <w:keepNext/>
        <w:spacing w:before="240" w:after="120" w:line="360" w:lineRule="auto"/>
      </w:pPr>
      <w:r>
        <w:rPr>
          <w:rFonts w:ascii="Times New Roman" w:hAnsi="Times New Roman" w:eastAsia="黑体"/>
          <w:b w:val="0"/>
          <w:color w:val="1F1F1F"/>
          <w:sz w:val="32"/>
        </w:rPr>
        <w:t>三、监测与评估</w:t>
      </w:r>
    </w:p>
    <w:p>
      <w:pPr>
        <w:spacing w:before="0" w:after="120" w:line="360" w:lineRule="auto"/>
        <w:ind w:firstLine="480"/>
      </w:pPr>
      <w:r>
        <w:rPr>
          <w:rFonts w:ascii="Times New Roman" w:hAnsi="Times New Roman" w:eastAsia="仿宋_GB2312"/>
          <w:b w:val="0"/>
          <w:color w:val="1F1F1F"/>
          <w:sz w:val="32"/>
        </w:rPr>
        <w:t>每年复核并公示园区碳账；每个供冷季结束后评估冷站能效与试点成效；控制性指标年度逐项评估，引导性指标随基线校定后纳入评估；评估结果作为下一年度建设计划与规划修编的依据。基础资料缺口按第二章时限逐项核销。</w:t>
      </w:r>
    </w:p>
    <w:p>
      <w:pPr>
        <w:pStyle w:val="Heading2"/>
        <w:keepNext/>
        <w:spacing w:before="240" w:after="120" w:line="360" w:lineRule="auto"/>
      </w:pPr>
      <w:r>
        <w:rPr>
          <w:rFonts w:ascii="Times New Roman" w:hAnsi="Times New Roman" w:eastAsia="黑体"/>
          <w:b w:val="0"/>
          <w:color w:val="1F1F1F"/>
          <w:sz w:val="32"/>
        </w:rPr>
        <w:t>四、资金安排</w:t>
      </w:r>
    </w:p>
    <w:p>
      <w:pPr>
        <w:spacing w:before="0" w:after="120" w:line="360" w:lineRule="auto"/>
        <w:ind w:firstLine="480"/>
      </w:pPr>
      <w:r>
        <w:rPr>
          <w:rFonts w:ascii="Times New Roman" w:hAnsi="Times New Roman" w:eastAsia="仿宋_GB2312"/>
          <w:b w:val="0"/>
          <w:color w:val="1F1F1F"/>
          <w:sz w:val="32"/>
        </w:rPr>
        <w:t>本规划不列投资额。规划审议通过后，按程序衔接网公司分阶段预算，近期项目随预可行性方案一并申报，中期、远期项目按年度建设计划申报。</w:t>
      </w:r>
    </w:p>
    <w:p>
      <w:pPr>
        <w:pStyle w:val="Heading2"/>
        <w:keepNext/>
        <w:spacing w:before="240" w:after="120" w:line="360" w:lineRule="auto"/>
      </w:pPr>
      <w:r>
        <w:rPr>
          <w:rFonts w:ascii="Times New Roman" w:hAnsi="Times New Roman" w:eastAsia="黑体"/>
          <w:b w:val="0"/>
          <w:color w:val="1F1F1F"/>
          <w:sz w:val="32"/>
        </w:rPr>
        <w:t>五、复制出口</w:t>
      </w:r>
    </w:p>
    <w:p>
      <w:pPr>
        <w:spacing w:before="0" w:after="120" w:line="360" w:lineRule="auto"/>
        <w:ind w:firstLine="480"/>
      </w:pPr>
      <w:r>
        <w:rPr>
          <w:rFonts w:ascii="Times New Roman" w:hAnsi="Times New Roman" w:eastAsia="仿宋_GB2312"/>
          <w:b w:val="0"/>
          <w:color w:val="1F1F1F"/>
          <w:sz w:val="32"/>
        </w:rPr>
        <w:t>规划实施形成的碳核算规则、调控与交易模型、平台架构与数据资产、诊断分档与改造运营方法，作为南网内其他园区的复用依据；中期起选择一个南网内园区开始复用。对外复制的运营主体与模式作为专题另行研究，不在本规划确定。</w:t>
      </w:r>
    </w:p>
    <w:p>
      <w:pPr>
        <w:pStyle w:val="Heading1"/>
        <w:keepNext/>
        <w:pageBreakBefore/>
        <w:spacing w:before="360" w:after="240" w:line="360" w:lineRule="auto"/>
        <w:jc w:val="center"/>
      </w:pPr>
      <w:r>
        <w:rPr>
          <w:rFonts w:ascii="Times New Roman" w:hAnsi="Times New Roman" w:eastAsia="黑体"/>
          <w:b w:val="0"/>
          <w:color w:val="1F1F1F"/>
          <w:sz w:val="36"/>
        </w:rPr>
        <w:t>附录 A 术语与口径</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07"/>
        <w:gridCol w:w="6937"/>
      </w:tblGrid>
      <w:tr>
        <w:trPr>
          <w:cantSplit/>
          <w:tblHeader/>
        </w:trPr>
        <w:tc>
          <w:tcPr>
            <w:tcW w:type="dxa" w:w="1907"/>
            <w:shd w:val="clear" w:color="auto" w:fill="E7EEF3"/>
          </w:tcPr>
          <w:p>
            <w:pPr>
              <w:keepNext/>
              <w:spacing w:before="0" w:after="0" w:line="276" w:lineRule="auto"/>
              <w:jc w:val="center"/>
            </w:pPr>
            <w:r/>
            <w:r>
              <w:rPr>
                <w:rFonts w:ascii="Times New Roman" w:hAnsi="Times New Roman" w:eastAsia="宋体"/>
                <w:b/>
                <w:color w:val="1F1F1F"/>
                <w:sz w:val="18"/>
              </w:rPr>
              <w:t>术语</w:t>
            </w:r>
          </w:p>
        </w:tc>
        <w:tc>
          <w:tcPr>
            <w:tcW w:type="dxa" w:w="6937"/>
            <w:shd w:val="clear" w:color="auto" w:fill="E7EEF3"/>
          </w:tcPr>
          <w:p>
            <w:pPr>
              <w:keepNext/>
              <w:spacing w:before="0" w:after="0" w:line="276" w:lineRule="auto"/>
              <w:jc w:val="center"/>
            </w:pPr>
            <w:r/>
            <w:r>
              <w:rPr>
                <w:rFonts w:ascii="Times New Roman" w:hAnsi="Times New Roman" w:eastAsia="宋体"/>
                <w:b/>
                <w:color w:val="1F1F1F"/>
                <w:sz w:val="18"/>
              </w:rPr>
              <w:t>本规划口径</w:t>
            </w:r>
          </w:p>
        </w:tc>
      </w:tr>
      <w:tr>
        <w:trPr>
          <w:cantSplit/>
        </w:trPr>
        <w:tc>
          <w:tcPr>
            <w:tcW w:type="dxa" w:w="1907"/>
          </w:tcPr>
          <w:p>
            <w:pPr>
              <w:spacing w:before="0" w:after="0" w:line="276" w:lineRule="auto"/>
            </w:pPr>
            <w:r/>
            <w:r>
              <w:rPr>
                <w:rFonts w:ascii="Times New Roman" w:hAnsi="Times New Roman" w:eastAsia="宋体"/>
                <w:b w:val="0"/>
                <w:color w:val="1F1F1F"/>
                <w:sz w:val="18"/>
              </w:rPr>
              <w:t>近零碳</w:t>
            </w:r>
          </w:p>
        </w:tc>
        <w:tc>
          <w:tcPr>
            <w:tcW w:type="dxa" w:w="6937"/>
          </w:tcPr>
          <w:p>
            <w:pPr>
              <w:spacing w:before="0" w:after="0" w:line="276" w:lineRule="auto"/>
            </w:pPr>
            <w:r/>
            <w:r>
              <w:rPr>
                <w:rFonts w:ascii="Times New Roman" w:hAnsi="Times New Roman" w:eastAsia="宋体"/>
                <w:b w:val="0"/>
                <w:color w:val="1F1F1F"/>
                <w:sz w:val="18"/>
              </w:rPr>
              <w:t>园区目标属性，参照住建部体系园区层级近零碳档；台阶值以国家标准正式文本为准【待核】</w:t>
            </w:r>
          </w:p>
        </w:tc>
      </w:tr>
      <w:tr>
        <w:trPr>
          <w:cantSplit/>
        </w:trPr>
        <w:tc>
          <w:tcPr>
            <w:tcW w:type="dxa" w:w="1907"/>
          </w:tcPr>
          <w:p>
            <w:pPr>
              <w:spacing w:before="0" w:after="0" w:line="276" w:lineRule="auto"/>
            </w:pPr>
            <w:r/>
            <w:r>
              <w:rPr>
                <w:rFonts w:ascii="Times New Roman" w:hAnsi="Times New Roman" w:eastAsia="宋体"/>
                <w:b w:val="0"/>
                <w:color w:val="1F1F1F"/>
                <w:sz w:val="18"/>
              </w:rPr>
              <w:t>绿色、智慧、近零碳</w:t>
            </w:r>
          </w:p>
        </w:tc>
        <w:tc>
          <w:tcPr>
            <w:tcW w:type="dxa" w:w="6937"/>
          </w:tcPr>
          <w:p>
            <w:pPr>
              <w:spacing w:before="0" w:after="0" w:line="276" w:lineRule="auto"/>
            </w:pPr>
            <w:r/>
            <w:r>
              <w:rPr>
                <w:rFonts w:ascii="Times New Roman" w:hAnsi="Times New Roman" w:eastAsia="宋体"/>
                <w:b w:val="0"/>
                <w:color w:val="1F1F1F"/>
                <w:sz w:val="18"/>
              </w:rPr>
              <w:t>本规划三条主线；绿色管能与碳、水与生态，智慧管数字底座与运营，近零碳为目标属性</w:t>
            </w:r>
          </w:p>
        </w:tc>
      </w:tr>
      <w:tr>
        <w:trPr>
          <w:cantSplit/>
        </w:trPr>
        <w:tc>
          <w:tcPr>
            <w:tcW w:type="dxa" w:w="1907"/>
          </w:tcPr>
          <w:p>
            <w:pPr>
              <w:spacing w:before="0" w:after="0" w:line="276" w:lineRule="auto"/>
            </w:pPr>
            <w:r/>
            <w:r>
              <w:rPr>
                <w:rFonts w:ascii="Times New Roman" w:hAnsi="Times New Roman" w:eastAsia="宋体"/>
                <w:b w:val="0"/>
                <w:color w:val="1F1F1F"/>
                <w:sz w:val="18"/>
              </w:rPr>
              <w:t>六要素</w:t>
            </w:r>
          </w:p>
        </w:tc>
        <w:tc>
          <w:tcPr>
            <w:tcW w:type="dxa" w:w="6937"/>
          </w:tcPr>
          <w:p>
            <w:pPr>
              <w:spacing w:before="0" w:after="0" w:line="276" w:lineRule="auto"/>
            </w:pPr>
            <w:r/>
            <w:r>
              <w:rPr>
                <w:rFonts w:ascii="Times New Roman" w:hAnsi="Times New Roman" w:eastAsia="宋体"/>
                <w:b w:val="0"/>
                <w:color w:val="1F1F1F"/>
                <w:sz w:val="18"/>
              </w:rPr>
              <w:t>绿色、高效、智慧、普惠、健康、人文，落到专项规划与指标体系</w:t>
            </w:r>
          </w:p>
        </w:tc>
      </w:tr>
      <w:tr>
        <w:trPr>
          <w:cantSplit/>
        </w:trPr>
        <w:tc>
          <w:tcPr>
            <w:tcW w:type="dxa" w:w="1907"/>
          </w:tcPr>
          <w:p>
            <w:pPr>
              <w:spacing w:before="0" w:after="0" w:line="276" w:lineRule="auto"/>
            </w:pPr>
            <w:r/>
            <w:r>
              <w:rPr>
                <w:rFonts w:ascii="Times New Roman" w:hAnsi="Times New Roman" w:eastAsia="宋体"/>
                <w:b w:val="0"/>
                <w:color w:val="1F1F1F"/>
                <w:sz w:val="18"/>
              </w:rPr>
              <w:t>普惠</w:t>
            </w:r>
          </w:p>
        </w:tc>
        <w:tc>
          <w:tcPr>
            <w:tcW w:type="dxa" w:w="6937"/>
          </w:tcPr>
          <w:p>
            <w:pPr>
              <w:spacing w:before="0" w:after="0" w:line="276" w:lineRule="auto"/>
            </w:pPr>
            <w:r/>
            <w:r>
              <w:rPr>
                <w:rFonts w:ascii="Times New Roman" w:hAnsi="Times New Roman" w:eastAsia="宋体"/>
                <w:b w:val="0"/>
                <w:color w:val="1F1F1F"/>
                <w:sz w:val="18"/>
              </w:rPr>
              <w:t>人人参与、人人受益：碳普惠、算力普惠、园区资源普惠；无障碍是标配；不含投资收益与对外服务</w:t>
            </w:r>
          </w:p>
        </w:tc>
      </w:tr>
      <w:tr>
        <w:trPr>
          <w:cantSplit/>
        </w:trPr>
        <w:tc>
          <w:tcPr>
            <w:tcW w:type="dxa" w:w="1907"/>
          </w:tcPr>
          <w:p>
            <w:pPr>
              <w:spacing w:before="0" w:after="0" w:line="276" w:lineRule="auto"/>
            </w:pPr>
            <w:r/>
            <w:r>
              <w:rPr>
                <w:rFonts w:ascii="Times New Roman" w:hAnsi="Times New Roman" w:eastAsia="宋体"/>
                <w:b w:val="0"/>
                <w:color w:val="1F1F1F"/>
                <w:sz w:val="18"/>
              </w:rPr>
              <w:t>一个平台、两类功能</w:t>
            </w:r>
          </w:p>
        </w:tc>
        <w:tc>
          <w:tcPr>
            <w:tcW w:type="dxa" w:w="6937"/>
          </w:tcPr>
          <w:p>
            <w:pPr>
              <w:spacing w:before="0" w:after="0" w:line="276" w:lineRule="auto"/>
            </w:pPr>
            <w:r/>
            <w:r>
              <w:rPr>
                <w:rFonts w:ascii="Times New Roman" w:hAnsi="Times New Roman" w:eastAsia="宋体"/>
                <w:b w:val="0"/>
                <w:color w:val="1F1F1F"/>
                <w:sz w:val="18"/>
              </w:rPr>
              <w:t>园内侧（行为联动、设备工单、预约与算力门户、碳普惠）与园外侧（电价与需求响应、绿电与碳核算、复用接口）</w:t>
            </w:r>
          </w:p>
        </w:tc>
      </w:tr>
      <w:tr>
        <w:trPr>
          <w:cantSplit/>
        </w:trPr>
        <w:tc>
          <w:tcPr>
            <w:tcW w:type="dxa" w:w="1907"/>
          </w:tcPr>
          <w:p>
            <w:pPr>
              <w:spacing w:before="0" w:after="0" w:line="276" w:lineRule="auto"/>
            </w:pPr>
            <w:r/>
            <w:r>
              <w:rPr>
                <w:rFonts w:ascii="Times New Roman" w:hAnsi="Times New Roman" w:eastAsia="宋体"/>
                <w:b w:val="0"/>
                <w:color w:val="1F1F1F"/>
                <w:sz w:val="18"/>
              </w:rPr>
              <w:t>一本总账、两个子账</w:t>
            </w:r>
          </w:p>
        </w:tc>
        <w:tc>
          <w:tcPr>
            <w:tcW w:type="dxa" w:w="6937"/>
          </w:tcPr>
          <w:p>
            <w:pPr>
              <w:spacing w:before="0" w:after="0" w:line="276" w:lineRule="auto"/>
            </w:pPr>
            <w:r/>
            <w:r>
              <w:rPr>
                <w:rFonts w:ascii="Times New Roman" w:hAnsi="Times New Roman" w:eastAsia="宋体"/>
                <w:b w:val="0"/>
                <w:color w:val="1F1F1F"/>
                <w:sz w:val="18"/>
              </w:rPr>
              <w:t>全园碳账加办公区、数据机房子账</w:t>
            </w:r>
          </w:p>
        </w:tc>
      </w:tr>
      <w:tr>
        <w:trPr>
          <w:cantSplit/>
        </w:trPr>
        <w:tc>
          <w:tcPr>
            <w:tcW w:type="dxa" w:w="1907"/>
          </w:tcPr>
          <w:p>
            <w:pPr>
              <w:spacing w:before="0" w:after="0" w:line="276" w:lineRule="auto"/>
            </w:pPr>
            <w:r/>
            <w:r>
              <w:rPr>
                <w:rFonts w:ascii="Times New Roman" w:hAnsi="Times New Roman" w:eastAsia="宋体"/>
                <w:b w:val="0"/>
                <w:color w:val="1F1F1F"/>
                <w:sz w:val="18"/>
              </w:rPr>
              <w:t>三件先行</w:t>
            </w:r>
          </w:p>
        </w:tc>
        <w:tc>
          <w:tcPr>
            <w:tcW w:type="dxa" w:w="6937"/>
          </w:tcPr>
          <w:p>
            <w:pPr>
              <w:spacing w:before="0" w:after="0" w:line="276" w:lineRule="auto"/>
            </w:pPr>
            <w:r/>
            <w:r>
              <w:rPr>
                <w:rFonts w:ascii="Times New Roman" w:hAnsi="Times New Roman" w:eastAsia="宋体"/>
                <w:b w:val="0"/>
                <w:color w:val="1F1F1F"/>
                <w:sz w:val="18"/>
              </w:rPr>
              <w:t>A1 冷站与水系统诊断、A7 园区碳账本、C1 平台总体设计</w:t>
            </w:r>
          </w:p>
        </w:tc>
      </w:tr>
      <w:tr>
        <w:trPr>
          <w:cantSplit/>
        </w:trPr>
        <w:tc>
          <w:tcPr>
            <w:tcW w:type="dxa" w:w="1907"/>
          </w:tcPr>
          <w:p>
            <w:pPr>
              <w:spacing w:before="0" w:after="0" w:line="276" w:lineRule="auto"/>
            </w:pPr>
            <w:r/>
            <w:r>
              <w:rPr>
                <w:rFonts w:ascii="Times New Roman" w:hAnsi="Times New Roman" w:eastAsia="宋体"/>
                <w:b w:val="0"/>
                <w:color w:val="1F1F1F"/>
                <w:sz w:val="18"/>
              </w:rPr>
              <w:t>控制性指标 / 引导性指标</w:t>
            </w:r>
          </w:p>
        </w:tc>
        <w:tc>
          <w:tcPr>
            <w:tcW w:type="dxa" w:w="6937"/>
          </w:tcPr>
          <w:p>
            <w:pPr>
              <w:spacing w:before="0" w:after="0" w:line="276" w:lineRule="auto"/>
            </w:pPr>
            <w:r/>
            <w:r>
              <w:rPr>
                <w:rFonts w:ascii="Times New Roman" w:hAnsi="Times New Roman" w:eastAsia="宋体"/>
                <w:b w:val="0"/>
                <w:color w:val="1F1F1F"/>
                <w:sz w:val="18"/>
              </w:rPr>
              <w:t>规划期内必须达到并纳入验收的指标 / 随基线与专项设计校定的努力方向</w:t>
            </w:r>
          </w:p>
        </w:tc>
      </w:tr>
      <w:tr>
        <w:trPr>
          <w:cantSplit/>
        </w:trPr>
        <w:tc>
          <w:tcPr>
            <w:tcW w:type="dxa" w:w="1907"/>
          </w:tcPr>
          <w:p>
            <w:pPr>
              <w:spacing w:before="0" w:after="0" w:line="276" w:lineRule="auto"/>
            </w:pPr>
            <w:r/>
            <w:r>
              <w:rPr>
                <w:rFonts w:ascii="Times New Roman" w:hAnsi="Times New Roman" w:eastAsia="宋体"/>
                <w:b w:val="0"/>
                <w:color w:val="1F1F1F"/>
                <w:sz w:val="18"/>
              </w:rPr>
              <w:t>【待核】</w:t>
            </w:r>
          </w:p>
        </w:tc>
        <w:tc>
          <w:tcPr>
            <w:tcW w:type="dxa" w:w="6937"/>
          </w:tcPr>
          <w:p>
            <w:pPr>
              <w:spacing w:before="0" w:after="0" w:line="276" w:lineRule="auto"/>
            </w:pPr>
            <w:r/>
            <w:r>
              <w:rPr>
                <w:rFonts w:ascii="Times New Roman" w:hAnsi="Times New Roman" w:eastAsia="宋体"/>
                <w:b w:val="0"/>
                <w:color w:val="1F1F1F"/>
                <w:sz w:val="18"/>
              </w:rPr>
              <w:t>稿中缺失或未经核证的数据与提法；核证后更新指标值，不改变规划结构</w:t>
            </w:r>
          </w:p>
        </w:tc>
      </w:tr>
    </w:tbl>
    <w:p>
      <w:pPr>
        <w:spacing w:after="80"/>
      </w:pPr>
    </w:p>
    <w:p>
      <w:pPr>
        <w:spacing w:before="0" w:after="120" w:line="360" w:lineRule="auto"/>
        <w:ind w:firstLine="480"/>
      </w:pPr>
      <w:r>
        <w:rPr>
          <w:rFonts w:ascii="Times New Roman" w:hAnsi="Times New Roman" w:eastAsia="仿宋_GB2312"/>
          <w:b/>
          <w:color w:val="1F1F1F"/>
          <w:sz w:val="32"/>
        </w:rPr>
        <w:t>编制单位</w:t>
      </w:r>
      <w:r>
        <w:rPr>
          <w:rFonts w:ascii="Times New Roman" w:hAnsi="Times New Roman" w:eastAsia="仿宋_GB2312"/>
          <w:b w:val="0"/>
          <w:color w:val="1F1F1F"/>
          <w:sz w:val="32"/>
        </w:rPr>
        <w:t>：南网能源公司（主笔）</w:t>
      </w:r>
    </w:p>
    <w:p>
      <w:pPr>
        <w:spacing w:before="0" w:after="120" w:line="360" w:lineRule="auto"/>
        <w:ind w:firstLine="480"/>
      </w:pPr>
      <w:r>
        <w:rPr>
          <w:rFonts w:ascii="Times New Roman" w:hAnsi="Times New Roman" w:eastAsia="仿宋_GB2312"/>
          <w:b/>
          <w:color w:val="1F1F1F"/>
          <w:sz w:val="32"/>
        </w:rPr>
        <w:t>编制日期</w:t>
      </w:r>
      <w:r>
        <w:rPr>
          <w:rFonts w:ascii="Times New Roman" w:hAnsi="Times New Roman" w:eastAsia="仿宋_GB2312"/>
          <w:b w:val="0"/>
          <w:color w:val="1F1F1F"/>
          <w:sz w:val="32"/>
        </w:rPr>
        <w:t>：2026 年 9 月 2 日</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1F1F1F"/>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