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7365D"/>
          <w:sz w:val="48"/>
        </w:rPr>
        <w:t>AI“赛马制”测试数据报告</w:t>
      </w:r>
    </w:p>
    <w:p>
      <w:pPr>
        <w:jc w:val="center"/>
      </w:pPr>
      <w:r>
        <w:rPr>
          <w:b/>
          <w:color w:val="1F4E78"/>
          <w:sz w:val="32"/>
        </w:rPr>
        <w:t>全文抽提 · 审查批注版</w:t>
      </w:r>
    </w:p>
    <w:p/>
    <w:p>
      <w:pPr>
        <w:jc w:val="center"/>
      </w:pPr>
      <w:r>
        <w:t>审查人：GPT-5.6　｜　日期：2026年9月8日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FFF2CC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r>
              <w:t>说明：本文件以同目录全文抽提为唯一内容依据。黄色高亮是原生Word评论落点，评论编号与文末索引及详细问题清单一致。抽提中未给出的数值不展开、不推算；【请填写数据】和空白项保持原状态。</w:t>
            </w:r>
          </w:p>
        </w:tc>
      </w:tr>
    </w:tbl>
    <w:p>
      <w:r>
        <w:br w:type="page"/>
      </w:r>
    </w:p>
    <w:p>
      <w:pPr>
        <w:pStyle w:val="Heading1"/>
      </w:pPr>
      <w:r>
        <w:t>执行审查摘要</w:t>
      </w:r>
    </w:p>
    <w:p>
      <w:r>
        <w:rPr>
          <w:b/>
          <w:color w:val="C00000"/>
        </w:rPr>
        <w:t>审查结论：当前版本不具备直接提交条件，建议在补齐阻断项并完成一次交叉复核后再定稿。</w:t>
      </w:r>
    </w:p>
    <w:p>
      <w:r>
        <w:t>报告在项目A、C上已形成较完整的预测叙述：P16覆盖数据体检、掩码清洗、168小时历史窗口、日前24小时预测、五种子集成、bootstrap显著性和无泄漏测试；P21给出TFT结构、训练参数、独立归一化、累计电度还原及冷冻水流量物理派生。T1、T3和T7已有结果，T13中项目A节能率为5.54%。这些内容可作为定稿基础，但完整性、评分指标和评测协议仍有实质风险。</w:t>
      </w:r>
    </w:p>
    <w:p>
      <w:r>
        <w:t>首要阻断项是必填内容缺失。P11明确说明【请填写】和【请填写数据】均为必填，超字数部分不予评审；目前P8及T0的队伍名称未填，项目B的T2逐时结果和T8设备结果全部为【请填写数据】，T5极端工况MAPE为空，T10–T12中B也接近空白，正文对B几乎未写。T13仅项目A有节能结果，B/C仍为占位符，加权结果为空。上述内容不能依据竞赛逻辑推算，必须从最终脚本和仿真记录回填。</w:t>
      </w:r>
    </w:p>
    <w:p>
      <w:r>
        <w:t>评分风险以项目C设备预测最突出。T9明确记录冷机24.33、水泵10.01、冷冻水流量3.56，并标注多项超过“≤6%”线；冷机和水泵均需优先复算MAPE、核对纳入样本与停机低分母处理，再决定重训或如实解释。不得为了满足阈值直接修改结果。T3部分相对误差缺少百分号，T4—T6及T10—T12又有空白或部分填写，指标口径和极端工况证据尚未闭环。</w:t>
      </w:r>
    </w:p>
    <w:p>
      <w:r>
        <w:t>方法一致性同样需要补强。P21将TFT作为联合预测主线，P32却因项目A考核日位于训练数据期内，将表1改用仅含此前173个有效小时的每日重训梯度提升树。报告应明确该例外的触发条件、特征、超参数、滚动截止时点、五种子含义及与TFT结果的边界，并证明清洗、归一化、天气代理和累计量基数均未使用未来信息。P32还把“外部气象+1°C”称为完美预报代理，需说明数据可得时间和与真实日前预报的差异。</w:t>
      </w:r>
    </w:p>
    <w:p>
      <w:r>
        <w:t>建议定稿顺序为：确认队名；补齐项目B全链路；补齐T13项目C与加权节能；复算并处置T9超阈值项；补足TFT—GBM和防泄漏说明；最后检查P13每部分600字限制、全部百分号、单位、表格空值和签字日期。P16称优化控制仿真不在本队范围，而§5又填报节能结果，也应同步澄清数据来源和责任边界。</w:t>
      </w:r>
    </w:p>
    <w:p>
      <w:r>
        <w:br w:type="page"/>
      </w:r>
    </w:p>
    <w:p>
      <w:pPr>
        <w:pStyle w:val="Heading1"/>
      </w:pPr>
      <w:r>
        <w:t>全文抽提与原生批注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DDEBF7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r>
              <w:t>以下内容按 source-extract 文件顺序编排。P/T编号保持不变；表格状态只呈现抽提已给出的数字。</w:t>
            </w:r>
          </w:p>
        </w:tc>
      </w:tr>
    </w:tbl>
    <w:p>
      <w:pPr>
        <w:pStyle w:val="Heading1"/>
      </w:pPr>
      <w:r>
        <w:t>AI赛马制测试数据报告 · 全文抽提</w:t>
      </w:r>
    </w:p>
    <w:p>
      <w:r>
        <w:t>源文件: attachments hash docx · 提交日期见正文</w:t>
      </w:r>
    </w:p>
    <w:p>
      <w:pPr>
        <w:pStyle w:val="Heading2"/>
      </w:pPr>
      <w:r>
        <w:t>P1</w:t>
      </w:r>
    </w:p>
    <w:p>
      <w:r>
        <w:t>AI“赛马制”测试数据报告提交模板</w:t>
      </w:r>
    </w:p>
    <w:p>
      <w:pPr>
        <w:pStyle w:val="Heading2"/>
      </w:pPr>
      <w:r>
        <w:t>P8</w:t>
      </w:r>
    </w:p>
    <w:p>
      <w:r>
        <w:t>参赛队伍名称：</w:t>
      </w:r>
      <w:commentRangeStart w:id="0"/>
      <w:r>
        <w:rPr>
          <w:color w:val="9C5700"/>
          <w:highlight w:val="yellow"/>
        </w:rPr>
        <w:t>____________________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P9</w:t>
      </w:r>
    </w:p>
    <w:p>
      <w:r>
        <w:t>提交日期：</w:t>
      </w:r>
      <w:commentRangeStart w:id="1"/>
      <w:r>
        <w:rPr>
          <w:color w:val="9C5700"/>
          <w:highlight w:val="yellow"/>
        </w:rPr>
        <w:t>__2026__年__9__月__8__日</w:t>
      </w:r>
      <w:commentRangeEnd w:id="1"/>
      <w:r>
        <w:rPr>
          <w:rStyle w:val="CommentReference"/>
        </w:rPr>
        <w:commentReference w:id="1"/>
      </w:r>
    </w:p>
    <w:p>
      <w:pPr>
        <w:pStyle w:val="Heading2"/>
      </w:pPr>
      <w:r>
        <w:t>P11</w:t>
      </w:r>
    </w:p>
    <w:p>
      <w:r>
        <w:t>【填写说明】本报告为初赛结果报告模板，各参赛队伍须严格按照评分细则要求如实填写。</w:t>
      </w:r>
      <w:commentRangeStart w:id="2"/>
      <w:r>
        <w:rPr>
          <w:color w:val="9C5700"/>
          <w:highlight w:val="yellow"/>
        </w:rPr>
        <w:t>标注“【请填写】”的区域为必填内容</w:t>
      </w:r>
      <w:commentRangeEnd w:id="2"/>
      <w:r>
        <w:rPr>
          <w:rStyle w:val="CommentReference"/>
        </w:rPr>
        <w:commentReference w:id="2"/>
      </w:r>
      <w:r>
        <w:t>，</w:t>
      </w:r>
      <w:commentRangeStart w:id="3"/>
      <w:r>
        <w:rPr>
          <w:color w:val="9C5700"/>
          <w:highlight w:val="yellow"/>
        </w:rPr>
        <w:t>标注“【请填写数据】”的表格须填入实测/仿真数据</w:t>
      </w:r>
      <w:commentRangeEnd w:id="3"/>
      <w:r>
        <w:rPr>
          <w:rStyle w:val="CommentReference"/>
        </w:rPr>
        <w:commentReference w:id="3"/>
      </w:r>
      <w:r>
        <w:t>。</w:t>
      </w:r>
      <w:commentRangeStart w:id="4"/>
      <w:r>
        <w:rPr>
          <w:color w:val="9C5700"/>
          <w:highlight w:val="yellow"/>
        </w:rPr>
        <w:t>文字部分须控制在规定字数以内，超出部分不予评审</w:t>
      </w:r>
      <w:commentRangeEnd w:id="4"/>
      <w:r>
        <w:rPr>
          <w:rStyle w:val="CommentReference"/>
        </w:rPr>
        <w:commentReference w:id="4"/>
      </w:r>
      <w:r>
        <w:t>。</w:t>
      </w:r>
    </w:p>
    <w:p>
      <w:pPr>
        <w:pStyle w:val="Heading2"/>
      </w:pPr>
      <w:r>
        <w:t>P12</w:t>
      </w:r>
    </w:p>
    <w:p>
      <w:r>
        <w:t>一、参赛队伍基本信息</w:t>
      </w:r>
    </w:p>
    <w:p>
      <w:pPr>
        <w:pStyle w:val="Heading2"/>
      </w:pPr>
      <w:r>
        <w:t>P13</w:t>
      </w:r>
    </w:p>
    <w:p>
      <w:r>
        <w:t>二、技术方案与创新性（</w:t>
      </w:r>
      <w:commentRangeStart w:id="5"/>
      <w:r>
        <w:rPr>
          <w:color w:val="9C5700"/>
          <w:highlight w:val="yellow"/>
        </w:rPr>
        <w:t>每部分各限600字</w:t>
      </w:r>
      <w:commentRangeEnd w:id="5"/>
      <w:r>
        <w:rPr>
          <w:rStyle w:val="CommentReference"/>
        </w:rPr>
        <w:commentReference w:id="5"/>
      </w:r>
      <w:r>
        <w:t>）</w:t>
      </w:r>
    </w:p>
    <w:p>
      <w:pPr>
        <w:pStyle w:val="Heading2"/>
      </w:pPr>
      <w:r>
        <w:t>P14</w:t>
      </w:r>
    </w:p>
    <w:p>
      <w:r>
        <w:t>2.1 技术路线概述（必填，不作为打分项）</w:t>
      </w:r>
    </w:p>
    <w:p>
      <w:pPr>
        <w:pStyle w:val="Heading2"/>
      </w:pPr>
      <w:r>
        <w:t>P15</w:t>
      </w:r>
    </w:p>
    <w:p>
      <w:r>
        <w:t>请简要描述本项目AI优化控制的整体技术路线，包括数据预处理方法、特征工程策略、模型架构选择及</w:t>
      </w:r>
      <w:commentRangeStart w:id="6"/>
      <w:r>
        <w:rPr>
          <w:color w:val="9C5700"/>
          <w:highlight w:val="yellow"/>
        </w:rPr>
        <w:t>优化控制流程</w:t>
      </w:r>
      <w:commentRangeEnd w:id="6"/>
      <w:r>
        <w:rPr>
          <w:rStyle w:val="CommentReference"/>
        </w:rPr>
        <w:commentReference w:id="6"/>
      </w:r>
      <w:r>
        <w:t>。</w:t>
      </w:r>
    </w:p>
    <w:p>
      <w:pPr>
        <w:pStyle w:val="Heading2"/>
      </w:pPr>
      <w:r>
        <w:t>P16</w:t>
      </w:r>
    </w:p>
    <w:p>
      <w:r>
        <w:t>技术路线四步：①数据体检——按七类通病系统扫描（时间轴/哨兵值/非有限值/卡值冻结/累计量倒退/物理不可能/越界），并以“≥80%测点同步不变”判据识别全站采集冻结段；②掩码化清洗——每条规则生成标志列、原始数据不删，</w:t>
      </w:r>
      <w:commentRangeStart w:id="7"/>
      <w:r>
        <w:rPr>
          <w:color w:val="9C5700"/>
          <w:highlight w:val="yellow"/>
        </w:rPr>
        <w:t>弃用窗（A 4/1–22、C 3月）整段剔除</w:t>
      </w:r>
      <w:commentRangeEnd w:id="7"/>
      <w:r>
        <w:rPr>
          <w:rStyle w:val="CommentReference"/>
        </w:rPr>
        <w:commentReference w:id="7"/>
      </w:r>
      <w:r>
        <w:t>，</w:t>
      </w:r>
      <w:commentRangeStart w:id="8"/>
      <w:r>
        <w:rPr>
          <w:color w:val="9C5700"/>
          <w:highlight w:val="yellow"/>
        </w:rPr>
        <w:t>气象坏段以外部气象+1°C补值并打补值标志</w:t>
      </w:r>
      <w:commentRangeEnd w:id="8"/>
      <w:r>
        <w:rPr>
          <w:rStyle w:val="CommentReference"/>
        </w:rPr>
        <w:commentReference w:id="8"/>
      </w:r>
      <w:r>
        <w:t>；③特征与建模——按主办方表头构造小时表，采用多输出时序深度模型做日前24小时逐时预测，历史168小时+日历编码+目标日干球预报为输入；④评估——固定样本外测试窗、验证窗调参、5随机种子集成、</w:t>
      </w:r>
      <w:commentRangeStart w:id="9"/>
      <w:r>
        <w:rPr>
          <w:color w:val="9C5700"/>
          <w:highlight w:val="yellow"/>
        </w:rPr>
        <w:t>按天配对bootstrap给显著性</w:t>
      </w:r>
      <w:commentRangeEnd w:id="9"/>
      <w:r>
        <w:rPr>
          <w:rStyle w:val="CommentReference"/>
        </w:rPr>
        <w:commentReference w:id="9"/>
      </w:r>
      <w:r>
        <w:t>，并以“未来数据扰动零变化”测试验证无泄漏。本阶段工作范围为负荷与设备参数预测；</w:t>
      </w:r>
      <w:commentRangeStart w:id="10"/>
      <w:r>
        <w:rPr>
          <w:color w:val="9C5700"/>
          <w:highlight w:val="yellow"/>
        </w:rPr>
        <w:t>优化控制仿真未在本队本阶段范围内</w:t>
      </w:r>
      <w:commentRangeEnd w:id="10"/>
      <w:r>
        <w:rPr>
          <w:rStyle w:val="CommentReference"/>
        </w:rPr>
        <w:commentReference w:id="10"/>
      </w:r>
      <w:r>
        <w:t>。</w:t>
      </w:r>
    </w:p>
    <w:p>
      <w:pPr>
        <w:pStyle w:val="Heading2"/>
      </w:pPr>
      <w:r>
        <w:t>P19</w:t>
      </w:r>
    </w:p>
    <w:p>
      <w:r>
        <w:t>2.2 核心建模方法（必填，不作为打分项）</w:t>
      </w:r>
    </w:p>
    <w:p>
      <w:pPr>
        <w:pStyle w:val="Heading2"/>
      </w:pPr>
      <w:r>
        <w:t>P21</w:t>
      </w:r>
    </w:p>
    <w:p>
      <w:r>
        <w:t xml:space="preserve">负荷与设备参数由同一多输出 </w:t>
      </w:r>
      <w:commentRangeStart w:id="11"/>
      <w:r>
        <w:rPr>
          <w:color w:val="9C5700"/>
          <w:highlight w:val="yellow"/>
        </w:rPr>
        <w:t>Temporal Fusion Transformer</w:t>
      </w:r>
      <w:commentRangeEnd w:id="11"/>
      <w:r>
        <w:rPr>
          <w:rStyle w:val="CommentReference"/>
        </w:rPr>
        <w:commentReference w:id="11"/>
      </w:r>
      <w:r>
        <w:t xml:space="preserve"> 联合预测：编码器读取过去168小时的全部输出量历史与室外干湿球实测，解码器输入日历三角编码与目标日逐时干球预报，一次输出未来</w:t>
      </w:r>
      <w:commentRangeStart w:id="12"/>
      <w:r>
        <w:rPr>
          <w:color w:val="9C5700"/>
          <w:highlight w:val="yellow"/>
        </w:rPr>
        <w:t>24小时×17维（项目A）/13维（项目C）</w:t>
      </w:r>
      <w:commentRangeEnd w:id="12"/>
      <w:r>
        <w:rPr>
          <w:rStyle w:val="CommentReference"/>
        </w:rPr>
        <w:commentReference w:id="12"/>
      </w:r>
      <w:r>
        <w:t>。结构：隐宽A=128/C=64（由容量诊断与验证窗选优确定）、LSTM 2层、注意力头4、连续变量嵌入32、dropout 0.1；训练 Adam、batch 32、上限100轮、验证窗早停（耐心12）、每目标独立归一化（统计仅取训练段）；5个随机种子分别训练后预测取均值（集成）。冷机电度按小时差分训练、填报时以预测起点前最近的实测累计读数为基数、逐时累加预测电量还原；</w:t>
      </w:r>
      <w:commentRangeStart w:id="13"/>
      <w:r>
        <w:rPr>
          <w:color w:val="9C5700"/>
          <w:highlight w:val="yellow"/>
        </w:rPr>
        <w:t>冷冻水流量不作为模型输入输出，由冷量恒等式反解派生并作自洽校验</w:t>
      </w:r>
      <w:commentRangeEnd w:id="13"/>
      <w:r>
        <w:rPr>
          <w:rStyle w:val="CommentReference"/>
        </w:rPr>
        <w:commentReference w:id="13"/>
      </w:r>
      <w:r>
        <w:t>。训练数据量：</w:t>
      </w:r>
      <w:commentRangeStart w:id="14"/>
      <w:r>
        <w:rPr>
          <w:color w:val="9C5700"/>
          <w:highlight w:val="yellow"/>
        </w:rPr>
        <w:t>A 1462有效小时、C 1285有效小时</w:t>
      </w:r>
      <w:commentRangeEnd w:id="14"/>
      <w:r>
        <w:rPr>
          <w:rStyle w:val="CommentReference"/>
        </w:rPr>
        <w:commentReference w:id="14"/>
      </w:r>
      <w:r>
        <w:t>；验证：数据期最后7天样本外测试，逐维MAPE与集成MAPE并报。</w:t>
      </w:r>
    </w:p>
    <w:p>
      <w:pPr>
        <w:pStyle w:val="Heading2"/>
      </w:pPr>
      <w:r>
        <w:t>P23–P28 创新点</w:t>
      </w:r>
    </w:p>
    <w:p>
      <w:r>
        <w:t xml:space="preserve">①证据链与无泄漏验证；②物理约束闭环 </w:t>
      </w:r>
      <w:commentRangeStart w:id="15"/>
      <w:r>
        <w:rPr>
          <w:color w:val="9C5700"/>
          <w:highlight w:val="yellow"/>
        </w:rPr>
        <w:t>冷量=流量×温差×4.187/3.6</w:t>
      </w:r>
      <w:commentRangeEnd w:id="15"/>
      <w:r>
        <w:rPr>
          <w:rStyle w:val="CommentReference"/>
        </w:rPr>
        <w:commentReference w:id="15"/>
      </w:r>
      <w:r>
        <w:t>；③容量甜点定位 A=128/C=64；④</w:t>
      </w:r>
      <w:commentRangeStart w:id="16"/>
      <w:r>
        <w:rPr>
          <w:color w:val="9C5700"/>
          <w:highlight w:val="yellow"/>
        </w:rPr>
        <w:t>可复现交付</w:t>
      </w:r>
      <w:commentRangeEnd w:id="16"/>
      <w:r>
        <w:rPr>
          <w:rStyle w:val="CommentReference"/>
        </w:rPr>
        <w:commentReference w:id="16"/>
      </w:r>
      <w:r>
        <w:t>。</w:t>
      </w:r>
    </w:p>
    <w:p>
      <w:pPr>
        <w:pStyle w:val="Heading2"/>
      </w:pPr>
      <w:r>
        <w:t>P32 §3.1</w:t>
      </w:r>
    </w:p>
    <w:p>
      <w:r>
        <w:t>输入特征：过去168小时冷负荷与设备参数、室外干/湿球、日历三角、目标日干球预报（训练期</w:t>
      </w:r>
      <w:commentRangeStart w:id="17"/>
      <w:r>
        <w:rPr>
          <w:color w:val="9C5700"/>
          <w:highlight w:val="yellow"/>
        </w:rPr>
        <w:t>外部气象+1°C作完美预报代理</w:t>
      </w:r>
      <w:commentRangeEnd w:id="17"/>
      <w:r>
        <w:rPr>
          <w:rStyle w:val="CommentReference"/>
        </w:rPr>
        <w:commentReference w:id="17"/>
      </w:r>
      <w:r>
        <w:t>）。TFT 5种子。训练 A1462/C1285。验证最后7天测试+前7天验证；±1/±2°C噪声退化≤0.2pp。表1协议：</w:t>
      </w:r>
      <w:commentRangeStart w:id="18"/>
      <w:r>
        <w:rPr>
          <w:color w:val="9C5700"/>
          <w:highlight w:val="yellow"/>
        </w:rPr>
        <w:t>项目A考核日2025-07-16位于训练数据期内</w:t>
      </w:r>
      <w:commentRangeEnd w:id="18"/>
      <w:r>
        <w:rPr>
          <w:rStyle w:val="CommentReference"/>
        </w:rPr>
        <w:commentReference w:id="18"/>
      </w:r>
      <w:r>
        <w:t>，</w:t>
      </w:r>
      <w:commentRangeStart w:id="19"/>
      <w:r>
        <w:rPr>
          <w:color w:val="9C5700"/>
          <w:highlight w:val="yellow"/>
        </w:rPr>
        <w:t>改用每日重训梯度提升树（该日之前173有效小时</w:t>
      </w:r>
      <w:commentRangeEnd w:id="19"/>
      <w:r>
        <w:rPr>
          <w:rStyle w:val="CommentReference"/>
        </w:rPr>
        <w:commentReference w:id="19"/>
      </w:r>
      <w:r>
        <w:t>，</w:t>
      </w:r>
      <w:commentRangeStart w:id="20"/>
      <w:r>
        <w:rPr>
          <w:color w:val="9C5700"/>
          <w:highlight w:val="yellow"/>
        </w:rPr>
        <w:t>5种子均值</w:t>
      </w:r>
      <w:commentRangeEnd w:id="20"/>
      <w:r>
        <w:rPr>
          <w:rStyle w:val="CommentReference"/>
        </w:rPr>
        <w:commentReference w:id="20"/>
      </w:r>
      <w:r>
        <w:t>）；项目C考核日2023-10-25为样本外测试窗首日，用交付TFT集成。</w:t>
      </w:r>
    </w:p>
    <w:p>
      <w:pPr>
        <w:pStyle w:val="Heading2"/>
      </w:pPr>
      <w:r>
        <w:t>Tables key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blHeader w:val="true"/>
        </w:trPr>
        <w:tc>
          <w:tcPr>
            <w:tcW w:type="dxa" w:w="484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表格锚点</w:t>
            </w:r>
          </w:p>
        </w:tc>
        <w:tc>
          <w:tcPr>
            <w:tcW w:type="dxa" w:w="4844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抽提状态（原文）</w:t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T0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commentRangeStart w:id="21"/>
            <w:r>
              <w:rPr>
                <w:color w:val="9C5700"/>
                <w:highlight w:val="yellow"/>
              </w:rPr>
              <w:t>队伍名称【请填写】</w:t>
            </w:r>
            <w:commentRangeEnd w:id="21"/>
            <w:r>
              <w:rPr>
                <w:rStyle w:val="CommentReference"/>
              </w:rPr>
              <w:commentReference w:id="21"/>
            </w:r>
            <w:r>
              <w:t>; 负责人陈思安; 成员含王天智项目C验证; 华北电力大学; 18910259047; chensi.an@qq.com</w:t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T1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表1项目A 24h: FILLED (0:00 2423.04/2354.09/68.95/2.85%)</w:t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T2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表2项目B 24h: </w:t>
            </w:r>
            <w:commentRangeStart w:id="22"/>
            <w:r>
              <w:rPr>
                <w:color w:val="9C5700"/>
                <w:highlight w:val="yellow"/>
              </w:rPr>
              <w:t>ALL 【请填写数据】</w:t>
            </w:r>
            <w:commentRangeEnd w:id="22"/>
            <w:r>
              <w:rPr>
                <w:rStyle w:val="CommentReference"/>
              </w:rPr>
              <w:commentReference w:id="22"/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T3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表3项目C 24h: FILLED (0:00 497.7/505.2/7.5/1.51 — </w:t>
            </w:r>
            <w:commentRangeStart w:id="23"/>
            <w:r>
              <w:rPr>
                <w:color w:val="9C5700"/>
                <w:highlight w:val="yellow"/>
              </w:rPr>
              <w:t>some relative errors lack %</w:t>
            </w:r>
            <w:commentRangeEnd w:id="23"/>
            <w:r>
              <w:rPr>
                <w:rStyle w:val="CommentReference"/>
              </w:rPr>
              <w:commentReference w:id="23"/>
            </w:r>
            <w:r>
              <w:t>)</w:t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T4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表5A极端: </w:t>
            </w:r>
            <w:commentRangeStart w:id="24"/>
            <w:r>
              <w:rPr>
                <w:color w:val="9C5700"/>
                <w:highlight w:val="yellow"/>
              </w:rPr>
              <w:t>高温7.93 高湿7.85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filled</w:t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T5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表5B极端: </w:t>
            </w:r>
            <w:commentRangeStart w:id="25"/>
            <w:r>
              <w:rPr>
                <w:color w:val="9C5700"/>
                <w:highlight w:val="yellow"/>
              </w:rPr>
              <w:t>MAPE cells empty</w:t>
            </w:r>
            <w:commentRangeEnd w:id="25"/>
            <w:r>
              <w:rPr>
                <w:rStyle w:val="CommentReference"/>
              </w:rPr>
              <w:commentReference w:id="25"/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T6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表5C极端: </w:t>
            </w:r>
            <w:commentRangeStart w:id="26"/>
            <w:r>
              <w:rPr>
                <w:color w:val="9C5700"/>
                <w:highlight w:val="yellow"/>
              </w:rPr>
              <w:t>MAPE cells empty/partial</w:t>
            </w:r>
            <w:commentRangeEnd w:id="26"/>
            <w:r>
              <w:rPr>
                <w:rStyle w:val="CommentReference"/>
              </w:rPr>
              <w:commentReference w:id="26"/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T7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表6A设备: 冷机5.72% </w:t>
            </w:r>
            <w:commentRangeStart w:id="27"/>
            <w:r>
              <w:rPr>
                <w:color w:val="9C5700"/>
                <w:highlight w:val="yellow"/>
              </w:rPr>
              <w:t>水泵5.87%</w:t>
            </w:r>
            <w:commentRangeEnd w:id="27"/>
            <w:r>
              <w:rPr>
                <w:rStyle w:val="CommentReference"/>
              </w:rPr>
              <w:commentReference w:id="27"/>
            </w:r>
            <w:r>
              <w:t xml:space="preserve"> 冷冻水流量4.82% etc FILLED</w:t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T8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表6B设备: </w:t>
            </w:r>
            <w:commentRangeStart w:id="28"/>
            <w:r>
              <w:rPr>
                <w:color w:val="9C5700"/>
                <w:highlight w:val="yellow"/>
              </w:rPr>
              <w:t>ALL 【请填写数据】</w:t>
            </w:r>
            <w:commentRangeEnd w:id="28"/>
            <w:r>
              <w:rPr>
                <w:rStyle w:val="CommentReference"/>
              </w:rPr>
              <w:commentReference w:id="28"/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T9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表6C设备: </w:t>
            </w:r>
            <w:commentRangeStart w:id="29"/>
            <w:r>
              <w:rPr>
                <w:color w:val="9C5700"/>
                <w:highlight w:val="yellow"/>
              </w:rPr>
              <w:t>冷机24.33 水泵10.01 冷冻水流量3.56 FILLED (many over ≤6% line)</w:t>
            </w:r>
            <w:commentRangeEnd w:id="29"/>
            <w:r>
              <w:rPr>
                <w:rStyle w:val="CommentReference"/>
              </w:rPr>
              <w:commentReference w:id="29"/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T10–T12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表7极端设备: </w:t>
            </w:r>
            <w:commentRangeStart w:id="30"/>
            <w:r>
              <w:rPr>
                <w:color w:val="9C5700"/>
                <w:highlight w:val="yellow"/>
              </w:rPr>
              <w:t>B empty-ish; A/C partial</w:t>
            </w:r>
            <w:commentRangeEnd w:id="30"/>
            <w:r>
              <w:rPr>
                <w:rStyle w:val="CommentReference"/>
              </w:rPr>
              <w:commentReference w:id="30"/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T13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 xml:space="preserve">表8节能: </w:t>
            </w:r>
            <w:commentRangeStart w:id="31"/>
            <w:r>
              <w:rPr>
                <w:color w:val="9C5700"/>
                <w:highlight w:val="yellow"/>
              </w:rPr>
              <w:t>A 358.12/338.28/19.84/5.54%</w:t>
            </w:r>
            <w:commentRangeEnd w:id="31"/>
            <w:r>
              <w:rPr>
                <w:rStyle w:val="CommentReference"/>
              </w:rPr>
              <w:commentReference w:id="31"/>
            </w:r>
            <w:r>
              <w:t xml:space="preserve">; </w:t>
            </w:r>
            <w:commentRangeStart w:id="32"/>
            <w:r>
              <w:rPr>
                <w:color w:val="9C5700"/>
                <w:highlight w:val="yellow"/>
              </w:rPr>
              <w:t>B/C 【请填写数据】</w:t>
            </w:r>
            <w:commentRangeEnd w:id="32"/>
            <w:r>
              <w:rPr>
                <w:rStyle w:val="CommentReference"/>
              </w:rPr>
              <w:commentReference w:id="32"/>
            </w:r>
            <w:r>
              <w:t xml:space="preserve">; </w:t>
            </w:r>
            <w:commentRangeStart w:id="33"/>
            <w:r>
              <w:rPr>
                <w:color w:val="9C5700"/>
                <w:highlight w:val="yellow"/>
              </w:rPr>
              <w:t>加权空</w:t>
            </w:r>
            <w:commentRangeEnd w:id="33"/>
            <w:r>
              <w:rPr>
                <w:rStyle w:val="CommentReference"/>
              </w:rPr>
              <w:commentReference w:id="33"/>
            </w:r>
          </w:p>
        </w:tc>
      </w:tr>
      <w:tr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T14</w:t>
            </w:r>
          </w:p>
        </w:tc>
        <w:tc>
          <w:tcPr>
            <w:tcW w:type="dxa" w:w="48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commentRangeStart w:id="34"/>
            <w:r>
              <w:rPr>
                <w:color w:val="9C5700"/>
                <w:highlight w:val="yellow"/>
              </w:rPr>
              <w:t>签字日期 2026年9月8日</w:t>
            </w:r>
            <w:commentRangeEnd w:id="34"/>
            <w:r>
              <w:rPr>
                <w:rStyle w:val="CommentReference"/>
              </w:rPr>
              <w:commentReference w:id="34"/>
            </w:r>
          </w:p>
        </w:tc>
      </w:tr>
    </w:tbl>
    <w:p>
      <w:pPr>
        <w:pStyle w:val="Heading2"/>
      </w:pPr>
      <w:r>
        <w:t>§5–7 text highlights</w:t>
      </w:r>
    </w:p>
    <w:p>
      <w:r>
        <w:t xml:space="preserve">5.2 A节能率5.54%有限(夏热冬暖内热稳定负荷率低); </w:t>
      </w:r>
      <w:commentRangeStart w:id="35"/>
      <w:r>
        <w:rPr>
          <w:color w:val="9C5700"/>
          <w:highlight w:val="yellow"/>
        </w:rPr>
        <w:t>C冷却侧冷却塔风机与冷却水泵变频</w:t>
      </w:r>
      <w:commentRangeEnd w:id="35"/>
      <w:r>
        <w:rPr>
          <w:rStyle w:val="CommentReference"/>
        </w:rPr>
        <w:commentReference w:id="35"/>
      </w:r>
      <w:r>
        <w:t xml:space="preserve">; </w:t>
      </w:r>
      <w:commentRangeStart w:id="36"/>
      <w:r>
        <w:rPr>
          <w:color w:val="9C5700"/>
          <w:highlight w:val="yellow"/>
        </w:rPr>
        <w:t>B几乎未写</w:t>
      </w:r>
      <w:commentRangeEnd w:id="36"/>
      <w:r>
        <w:rPr>
          <w:rStyle w:val="CommentReference"/>
        </w:rPr>
        <w:commentReference w:id="36"/>
      </w:r>
      <w:r>
        <w:t>。</w:t>
      </w:r>
    </w:p>
    <w:p>
      <w:r>
        <w:t xml:space="preserve">5.3 </w:t>
      </w:r>
      <w:commentRangeStart w:id="37"/>
      <w:r>
        <w:rPr>
          <w:color w:val="9C5700"/>
          <w:highlight w:val="yellow"/>
        </w:rPr>
        <w:t>日MAPE 8.9%~19.8%</w:t>
      </w:r>
      <w:commentRangeEnd w:id="37"/>
      <w:r>
        <w:rPr>
          <w:rStyle w:val="CommentReference"/>
        </w:rPr>
        <w:commentReference w:id="37"/>
      </w:r>
      <w:r>
        <w:t>; 预报噪声传导有限; 物理范围校验。</w:t>
      </w:r>
    </w:p>
    <w:p>
      <w:r>
        <w:t xml:space="preserve">6.1 </w:t>
      </w:r>
      <w:commentRangeStart w:id="38"/>
      <w:r>
        <w:rPr>
          <w:color w:val="9C5700"/>
          <w:highlight w:val="yellow"/>
        </w:rPr>
        <w:t>同架构训A/C仅调隐宽</w:t>
      </w:r>
      <w:commentRangeEnd w:id="38"/>
      <w:r>
        <w:rPr>
          <w:rStyle w:val="CommentReference"/>
        </w:rPr>
        <w:commentReference w:id="38"/>
      </w:r>
      <w:r>
        <w:t>。6.2 三层防线拒出数/清洗/输出校验。</w:t>
      </w:r>
    </w:p>
    <w:p>
      <w:commentRangeStart w:id="39"/>
      <w:r>
        <w:rPr>
          <w:color w:val="9C5700"/>
          <w:highlight w:val="yellow"/>
        </w:rPr>
        <w:t>声明五条齐全</w:t>
      </w:r>
      <w:commentRangeEnd w:id="39"/>
      <w:r>
        <w:rPr>
          <w:rStyle w:val="CommentReference"/>
        </w:rPr>
        <w:commentReference w:id="39"/>
      </w:r>
      <w:r>
        <w:t>。</w:t>
      </w:r>
    </w:p>
    <w:p>
      <w:r>
        <w:br w:type="page"/>
      </w:r>
    </w:p>
    <w:p>
      <w:pPr>
        <w:pStyle w:val="Heading1"/>
      </w:pPr>
      <w:r>
        <w:t>批注索引（完整）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fill="DDEBF7"/>
            <w:tcMar>
              <w:top w:w="170" w:type="dxa"/>
              <w:start w:w="170" w:type="dxa"/>
              <w:bottom w:w="170" w:type="dxa"/>
              <w:end w:w="170" w:type="dxa"/>
            </w:tcMar>
          </w:tcPr>
          <w:p>
            <w:r>
              <w:t>阻断项未闭环前不建议提交。完整发现、影响、处理建议和验收标准见 review-issues-GPT56-20260908.md。</w:t>
            </w:r>
          </w:p>
        </w:tc>
      </w:tr>
    </w:tbl>
    <w:p>
      <w:pPr>
        <w:pStyle w:val="Heading2"/>
      </w:pPr>
      <w:r>
        <w:t>阻断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锚点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问题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处理动作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4CCCC"/>
          </w:tcPr>
          <w:p>
            <w:r>
              <w:rPr>
                <w:b/>
              </w:rPr>
              <w:t>[BLOCK-01]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[P8]、[P11]、[T0]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队伍名称这一必填身份字段未填写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依据报名信息确认正式队名，在P8和T0同步填写。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4CCCC"/>
          </w:tcPr>
          <w:p>
            <w:r>
              <w:rPr>
                <w:b/>
              </w:rPr>
              <w:t>[BLOCK-02]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[P11]、[T2]、[T5]、[T8]、[T10–T12]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项目B核心预测结果链路缺失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从最终脚本补齐B的逐时、极端和设备结果并保留日志，不得推测数值。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4CCCC"/>
          </w:tcPr>
          <w:p>
            <w:r>
              <w:rPr>
                <w:b/>
              </w:rPr>
              <w:t>[BLOCK-03]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[P11]、[T13]、[§5–7]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T13项目B/C及加权节能结果未完成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按官方基准和权重补齐B、C及加权值，注明单位、边界和公式。</w:t>
            </w:r>
          </w:p>
        </w:tc>
      </w:tr>
    </w:tbl>
    <w:p>
      <w:pPr>
        <w:pStyle w:val="Heading2"/>
      </w:pPr>
      <w:r>
        <w:t>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锚点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问题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处理动作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CE5CD"/>
          </w:tcPr>
          <w:p>
            <w:r>
              <w:rPr>
                <w:b/>
              </w:rPr>
              <w:t>[HIGH-01]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[T9]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项目C冷机和水泵MAPE超过“≤6%”线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复算24.33和10.01，核对样本及停机低分母处理；不得直接改数。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CE5CD"/>
          </w:tcPr>
          <w:p>
            <w:r>
              <w:rPr>
                <w:b/>
              </w:rPr>
              <w:t>[HIGH-02]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[P21]、[P32]、[T1]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TFT主线与项目A每日重训梯度提升树口径不一致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补例外触发条件、特征、超参数、滚动截止点和适用边界。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CE5CD"/>
          </w:tcPr>
          <w:p>
            <w:r>
              <w:rPr>
                <w:b/>
              </w:rPr>
              <w:t>[HIGH-03]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[P16]、[P21]、[P32]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项目A考核日在训练期内，防泄漏证据需覆盖全链路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补时间轴与数据血缘，覆盖清洗、补值、归一化、特征及累计量基数。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CE5CD"/>
          </w:tcPr>
          <w:p>
            <w:r>
              <w:rPr>
                <w:b/>
              </w:rPr>
              <w:t>[HIGH-04]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[P16]、[P32]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“完美预报代理”与真实日前场景存在口径风险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说明外部气象来源和可得时间，区分缺测补值与目标日预报并量化代理差异。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CE5CD"/>
          </w:tcPr>
          <w:p>
            <w:r>
              <w:rPr>
                <w:b/>
              </w:rPr>
              <w:t>[HIGH-05]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[T4]、[T5]、[T6]、[T10–T12]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极端工况负荷与设备结果不完整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逐工况补定义、样本数、时间范围和指标；无样本时给合规说明。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CE5CD"/>
          </w:tcPr>
          <w:p>
            <w:r>
              <w:rPr>
                <w:b/>
              </w:rPr>
              <w:t>[HIGH-06]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[P21]、[P32]、[§5–7]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项目B缺少与A/C同等级的方法说明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补B的数据、模型、训练窗、评测协议、节能策略和结果解释。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CE5CD"/>
          </w:tcPr>
          <w:p>
            <w:r>
              <w:rPr>
                <w:b/>
              </w:rPr>
              <w:t>[HIGH-07]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[P15]、[P16]、[T13]、[§5–7]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范围声明与第5章节能结果存在责任边界冲突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区分本队预测、联合仿真、合作方策略和最终提交责任，注明T13来源。</w:t>
            </w:r>
          </w:p>
        </w:tc>
      </w:tr>
    </w:tbl>
    <w:p>
      <w:pPr>
        <w:pStyle w:val="Heading2"/>
      </w:pPr>
      <w:r>
        <w:t>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锚点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问题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处理动作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[MED-01]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[P11]、[P13]、[P14]、[P19]、[P23–P28]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600字限制需要按正式口径逐部分核验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在最终Word中分别统计受限部分并保存计数记录。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[T3]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T3相对误差百分号不统一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核对公式后统一表头和单元格百分数格式。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[MED-03]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[T4]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T4极端工况MAPE单位显示不明确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统一使用MAPE（%）表头或逐值百分号。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[MED-04]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[P16]、[P21]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数据弃用窗口和有效小时数缺少清洗漏斗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补原始小时数、规则命中、重叠、整段剔除与最终有效数。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[MED-05]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[P21]、[P23–P28]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冷量恒等式的单位链和边界处理未说明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列明变量单位、密度、采样周期、符号方向和小温差保护。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[MED-06]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[T13]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节能表缺少单位、统计边界和加权公式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补能耗单位、周期、基准、设备边界、节能率公式和权重。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[MED-07]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[§5–7]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日MAPE范围缺少对象与统计定义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明确项目、日期、样本数和最小—最大口径。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[MED-08]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[P16]、[P21]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按天配对bootstrap缺少报告结果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补比较对象、重采样次数、置信区间和显著性判定，或删除过度承诺。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[MED-09]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[P23–P28]、[P32]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可复现交付对GBM和项目B覆盖不足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补环境、依赖、数据版本、代码提交号和运行入口。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[MED-10]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[P21]、[P32]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五种子均值在GBM协议中的随机性来源不明确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说明GBM中受种子控制的过程；确定性实现则改为准确表述。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FFF2CC"/>
          </w:tcPr>
          <w:p>
            <w:r>
              <w:rPr>
                <w:b/>
              </w:rPr>
              <w:t>[MED-11]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[T14]、[§5–7]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签字日期存在，但实际签署状态需确认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在最终Word/PDF确认签署主体、签名或盖章及日期可见。</w:t>
            </w:r>
          </w:p>
        </w:tc>
      </w:tr>
    </w:tbl>
    <w:p>
      <w:pPr>
        <w:pStyle w:val="Heading2"/>
      </w:pPr>
      <w:r>
        <w:t>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锚点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问题</w:t>
            </w:r>
          </w:p>
        </w:tc>
        <w:tc>
          <w:tcPr>
            <w:tcW w:type="dxa" w:w="2422"/>
            <w:shd w:fill="1F4E78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color w:val="FFFFFF"/>
              </w:rPr>
              <w:t>处理动作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2F0D9"/>
          </w:tcPr>
          <w:p>
            <w:r>
              <w:rPr>
                <w:b/>
              </w:rPr>
              <w:t>[LOW-01]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[P16]、[P21]、[P32]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中英文术语、符号与空格不统一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首次定义缩写，统一24 h、百分点等表达。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2F0D9"/>
          </w:tcPr>
          <w:p>
            <w:r>
              <w:rPr>
                <w:b/>
              </w:rPr>
              <w:t>[LOW-02]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[T7]、[T9]、[§5–7]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“水泵”指标对象不够具体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明确是冷冻水泵、冷却水泵、总泵功率或聚合值。</w:t>
            </w:r>
          </w:p>
        </w:tc>
      </w:tr>
      <w:tr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2F0D9"/>
          </w:tcPr>
          <w:p>
            <w:r>
              <w:rPr>
                <w:b/>
              </w:rPr>
              <w:t>[LOW-03]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[P9]、[P16]、[P32]、[T14]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日期和区间格式建议统一</w:t>
            </w:r>
          </w:p>
        </w:tc>
        <w:tc>
          <w:tcPr>
            <w:tcW w:type="dxa" w:w="242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r>
              <w:t>正文使用无歧义日期区间，提交日期保留模板格式。</w:t>
            </w:r>
          </w:p>
        </w:tc>
      </w:tr>
    </w:tbl>
    <w:p>
      <w:r>
        <w:br w:type="page"/>
      </w:r>
    </w:p>
    <w:p>
      <w:pPr>
        <w:pStyle w:val="Heading1"/>
      </w:pPr>
      <w:r>
        <w:t>提交前最小闭环</w:t>
      </w:r>
    </w:p>
    <w:p>
      <w:pPr>
        <w:pStyle w:val="ListNumber"/>
      </w:pPr>
      <w:r>
        <w:t>负责人确认队名并清除所有必填占位符。</w:t>
      </w:r>
    </w:p>
    <w:p>
      <w:pPr>
        <w:pStyle w:val="ListNumber"/>
      </w:pPr>
      <w:r>
        <w:t>项目B负责人补齐T2、T5、T8、T10–T12及相应正文和计算日志。</w:t>
      </w:r>
    </w:p>
    <w:p>
      <w:pPr>
        <w:pStyle w:val="ListNumber"/>
      </w:pPr>
      <w:r>
        <w:t>节能负责人补齐T13的B、C与加权结果，注明单位、边界和权重。</w:t>
      </w:r>
    </w:p>
    <w:p>
      <w:pPr>
        <w:pStyle w:val="ListNumber"/>
      </w:pPr>
      <w:r>
        <w:t>模型负责人复算T9冷机24.33和水泵10.01，形成对“≤6%”线的处置说明。</w:t>
      </w:r>
    </w:p>
    <w:p>
      <w:pPr>
        <w:pStyle w:val="ListNumber"/>
      </w:pPr>
      <w:r>
        <w:t>文稿负责人补足TFT—GBM协议差异、完美预报代理边界和全链路防泄漏证据。</w:t>
      </w:r>
    </w:p>
    <w:p>
      <w:pPr>
        <w:pStyle w:val="ListNumber"/>
      </w:pPr>
      <w:r>
        <w:t>在最终Word中检查600字限制、百分号、表格空值、设备名称和实际签署状态。</w:t>
      </w:r>
    </w:p>
    <w:p>
      <w:pPr>
        <w:pStyle w:val="Heading2"/>
      </w:pPr>
      <w:r>
        <w:t>数据边界</w:t>
      </w:r>
    </w:p>
    <w:p>
      <w:r>
        <w:t>全文抽提只给状态而未列逐行值的单元格，本批注版不展开；所有【请填写数据】和空白均保留，不根据竞赛逻辑补造数字。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077" w:left="1304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[BLOCK-01｜阻断] 队伍名称这一必填身份字段未填写</w:t>
      </w:r>
    </w:p>
    <w:p>
      <w:pPr>
        <w:pStyle w:val="CommentText"/>
      </w:pPr>
      <w:r>
        <w:t>锚点：[P8]、[P11]、[T0]</w:t>
      </w:r>
    </w:p>
    <w:p>
      <w:pPr>
        <w:pStyle w:val="CommentText"/>
      </w:pPr>
      <w:r>
        <w:t>建议：依据报名信息确认正式队名，在P8和T0同步填写。</w:t>
      </w:r>
    </w:p>
  </w:comment>
  <w:comment w:id="1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[LOW-03｜低] 日期和区间格式建议统一</w:t>
      </w:r>
    </w:p>
    <w:p>
      <w:pPr>
        <w:pStyle w:val="CommentText"/>
      </w:pPr>
      <w:r>
        <w:t>锚点：[P9]、[P16]、[P32]、[T14]</w:t>
      </w:r>
    </w:p>
    <w:p>
      <w:pPr>
        <w:pStyle w:val="CommentText"/>
      </w:pPr>
      <w:r>
        <w:t>建议：正文使用无歧义日期区间，提交日期保留模板格式。</w:t>
      </w:r>
    </w:p>
  </w:comment>
  <w:comment w:id="2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[BLOCK-01｜阻断] 队伍名称这一必填身份字段未填写</w:t>
      </w:r>
    </w:p>
    <w:p>
      <w:pPr>
        <w:pStyle w:val="CommentText"/>
      </w:pPr>
      <w:r>
        <w:t>锚点：[P8]、[P11]、[T0]</w:t>
      </w:r>
    </w:p>
    <w:p>
      <w:pPr>
        <w:pStyle w:val="CommentText"/>
      </w:pPr>
      <w:r>
        <w:t>建议：依据报名信息确认正式队名，在P8和T0同步填写。</w:t>
      </w:r>
    </w:p>
  </w:comment>
  <w:comment w:id="3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[BLOCK-02｜阻断] 项目B核心预测结果链路缺失</w:t>
      </w:r>
    </w:p>
    <w:p>
      <w:pPr>
        <w:pStyle w:val="CommentText"/>
      </w:pPr>
      <w:r>
        <w:t>锚点：[P11]、[T2]、[T5]、[T8]、[T10–T12]</w:t>
      </w:r>
    </w:p>
    <w:p>
      <w:pPr>
        <w:pStyle w:val="CommentText"/>
      </w:pPr>
      <w:r>
        <w:t>建议：从最终脚本补齐B的逐时、极端和设备结果并保留日志，不得推测数值。</w:t>
      </w:r>
    </w:p>
  </w:comment>
  <w:comment w:id="4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[MED-01｜中] 600字限制需要按正式口径逐部分核验</w:t>
      </w:r>
    </w:p>
    <w:p>
      <w:pPr>
        <w:pStyle w:val="CommentText"/>
      </w:pPr>
      <w:r>
        <w:t>锚点：[P11]、[P13]、[P14]、[P19]、[P23–P28]</w:t>
      </w:r>
    </w:p>
    <w:p>
      <w:pPr>
        <w:pStyle w:val="CommentText"/>
      </w:pPr>
      <w:r>
        <w:t>建议：在最终Word中分别统计受限部分并保存计数记录。</w:t>
      </w:r>
    </w:p>
  </w:comment>
  <w:comment w:id="5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[MED-01｜中] 600字限制需要按正式口径逐部分核验</w:t>
      </w:r>
    </w:p>
    <w:p>
      <w:pPr>
        <w:pStyle w:val="CommentText"/>
      </w:pPr>
      <w:r>
        <w:t>锚点：[P11]、[P13]、[P14]、[P19]、[P23–P28]</w:t>
      </w:r>
    </w:p>
    <w:p>
      <w:pPr>
        <w:pStyle w:val="CommentText"/>
      </w:pPr>
      <w:r>
        <w:t>建议：在最终Word中分别统计受限部分并保存计数记录。</w:t>
      </w:r>
    </w:p>
  </w:comment>
  <w:comment w:id="6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[HIGH-07｜高] 范围声明与第5章节能结果存在责任边界冲突</w:t>
      </w:r>
    </w:p>
    <w:p>
      <w:pPr>
        <w:pStyle w:val="CommentText"/>
      </w:pPr>
      <w:r>
        <w:t>锚点：[P15]、[P16]、[T13]、[§5–7]</w:t>
      </w:r>
    </w:p>
    <w:p>
      <w:pPr>
        <w:pStyle w:val="CommentText"/>
      </w:pPr>
      <w:r>
        <w:t>建议：区分本队预测、联合仿真、合作方策略和最终提交责任，注明T13来源。</w:t>
      </w:r>
    </w:p>
  </w:comment>
  <w:comment w:id="7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[MED-04｜中] 数据弃用窗口和有效小时数缺少清洗漏斗</w:t>
      </w:r>
    </w:p>
    <w:p>
      <w:pPr>
        <w:pStyle w:val="CommentText"/>
      </w:pPr>
      <w:r>
        <w:t>锚点：[P16]、[P21]</w:t>
      </w:r>
    </w:p>
    <w:p>
      <w:pPr>
        <w:pStyle w:val="CommentText"/>
      </w:pPr>
      <w:r>
        <w:t>建议：补原始小时数、规则命中、重叠、整段剔除与最终有效数。</w:t>
      </w:r>
    </w:p>
  </w:comment>
  <w:comment w:id="8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[HIGH-04｜高] “完美预报代理”与真实日前场景存在口径风险</w:t>
      </w:r>
    </w:p>
    <w:p>
      <w:pPr>
        <w:pStyle w:val="CommentText"/>
      </w:pPr>
      <w:r>
        <w:t>锚点：[P16]、[P32]</w:t>
      </w:r>
    </w:p>
    <w:p>
      <w:pPr>
        <w:pStyle w:val="CommentText"/>
      </w:pPr>
      <w:r>
        <w:t>建议：说明外部气象来源和可得时间，区分缺测补值与目标日预报并量化代理差异。</w:t>
      </w:r>
    </w:p>
  </w:comment>
  <w:comment w:id="9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[MED-08｜中] 按天配对bootstrap缺少报告结果</w:t>
      </w:r>
    </w:p>
    <w:p>
      <w:pPr>
        <w:pStyle w:val="CommentText"/>
      </w:pPr>
      <w:r>
        <w:t>锚点：[P16]、[P21]</w:t>
      </w:r>
    </w:p>
    <w:p>
      <w:pPr>
        <w:pStyle w:val="CommentText"/>
      </w:pPr>
      <w:r>
        <w:t>建议：补比较对象、重采样次数、置信区间和显著性判定，或删除过度承诺。</w:t>
      </w:r>
    </w:p>
  </w:comment>
  <w:comment w:id="10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[HIGH-07｜高] 范围声明与第5章节能结果存在责任边界冲突</w:t>
      </w:r>
    </w:p>
    <w:p>
      <w:pPr>
        <w:pStyle w:val="CommentText"/>
      </w:pPr>
      <w:r>
        <w:t>锚点：[P15]、[P16]、[T13]、[§5–7]</w:t>
      </w:r>
    </w:p>
    <w:p>
      <w:pPr>
        <w:pStyle w:val="CommentText"/>
      </w:pPr>
      <w:r>
        <w:t>建议：区分本队预测、联合仿真、合作方策略和最终提交责任，注明T13来源。</w:t>
      </w:r>
    </w:p>
  </w:comment>
  <w:comment w:id="11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[LOW-01｜低] 中英文术语、符号与空格不统一</w:t>
      </w:r>
    </w:p>
    <w:p>
      <w:pPr>
        <w:pStyle w:val="CommentText"/>
      </w:pPr>
      <w:r>
        <w:t>锚点：[P16]、[P21]、[P32]</w:t>
      </w:r>
    </w:p>
    <w:p>
      <w:pPr>
        <w:pStyle w:val="CommentText"/>
      </w:pPr>
      <w:r>
        <w:t>建议：首次定义缩写，统一24 h、百分点等表达。</w:t>
      </w:r>
    </w:p>
  </w:comment>
  <w:comment w:id="12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[HIGH-06｜高] 项目B缺少与A/C同等级的方法说明</w:t>
      </w:r>
    </w:p>
    <w:p>
      <w:pPr>
        <w:pStyle w:val="CommentText"/>
      </w:pPr>
      <w:r>
        <w:t>锚点：[P21]、[P32]、[§5–7]</w:t>
      </w:r>
    </w:p>
    <w:p>
      <w:pPr>
        <w:pStyle w:val="CommentText"/>
      </w:pPr>
      <w:r>
        <w:t>建议：补B的数据、模型、训练窗、评测协议、节能策略和结果解释。</w:t>
      </w:r>
    </w:p>
  </w:comment>
  <w:comment w:id="13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[MED-05｜中] 冷量恒等式的单位链和边界处理未说明</w:t>
      </w:r>
    </w:p>
    <w:p>
      <w:pPr>
        <w:pStyle w:val="CommentText"/>
      </w:pPr>
      <w:r>
        <w:t>锚点：[P21]、[P23–P28]</w:t>
      </w:r>
    </w:p>
    <w:p>
      <w:pPr>
        <w:pStyle w:val="CommentText"/>
      </w:pPr>
      <w:r>
        <w:t>建议：列明变量单位、密度、采样周期、符号方向和小温差保护。</w:t>
      </w:r>
    </w:p>
  </w:comment>
  <w:comment w:id="14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[MED-04｜中] 数据弃用窗口和有效小时数缺少清洗漏斗</w:t>
      </w:r>
    </w:p>
    <w:p>
      <w:pPr>
        <w:pStyle w:val="CommentText"/>
      </w:pPr>
      <w:r>
        <w:t>锚点：[P16]、[P21]</w:t>
      </w:r>
    </w:p>
    <w:p>
      <w:pPr>
        <w:pStyle w:val="CommentText"/>
      </w:pPr>
      <w:r>
        <w:t>建议：补原始小时数、规则命中、重叠、整段剔除与最终有效数。</w:t>
      </w:r>
    </w:p>
  </w:comment>
  <w:comment w:id="15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[MED-05｜中] 冷量恒等式的单位链和边界处理未说明</w:t>
      </w:r>
    </w:p>
    <w:p>
      <w:pPr>
        <w:pStyle w:val="CommentText"/>
      </w:pPr>
      <w:r>
        <w:t>锚点：[P21]、[P23–P28]</w:t>
      </w:r>
    </w:p>
    <w:p>
      <w:pPr>
        <w:pStyle w:val="CommentText"/>
      </w:pPr>
      <w:r>
        <w:t>建议：列明变量单位、密度、采样周期、符号方向和小温差保护。</w:t>
      </w:r>
    </w:p>
  </w:comment>
  <w:comment w:id="16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[MED-09｜中] 可复现交付对GBM和项目B覆盖不足</w:t>
      </w:r>
    </w:p>
    <w:p>
      <w:pPr>
        <w:pStyle w:val="CommentText"/>
      </w:pPr>
      <w:r>
        <w:t>锚点：[P23–P28]、[P32]</w:t>
      </w:r>
    </w:p>
    <w:p>
      <w:pPr>
        <w:pStyle w:val="CommentText"/>
      </w:pPr>
      <w:r>
        <w:t>建议：补环境、依赖、数据版本、代码提交号和运行入口。</w:t>
      </w:r>
    </w:p>
  </w:comment>
  <w:comment w:id="17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[HIGH-04｜高] “完美预报代理”与真实日前场景存在口径风险</w:t>
      </w:r>
    </w:p>
    <w:p>
      <w:pPr>
        <w:pStyle w:val="CommentText"/>
      </w:pPr>
      <w:r>
        <w:t>锚点：[P16]、[P32]</w:t>
      </w:r>
    </w:p>
    <w:p>
      <w:pPr>
        <w:pStyle w:val="CommentText"/>
      </w:pPr>
      <w:r>
        <w:t>建议：说明外部气象来源和可得时间，区分缺测补值与目标日预报并量化代理差异。</w:t>
      </w:r>
    </w:p>
  </w:comment>
  <w:comment w:id="18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[HIGH-03｜高] 项目A考核日在训练期内，防泄漏证据需覆盖全链路</w:t>
      </w:r>
    </w:p>
    <w:p>
      <w:pPr>
        <w:pStyle w:val="CommentText"/>
      </w:pPr>
      <w:r>
        <w:t>锚点：[P16]、[P21]、[P32]</w:t>
      </w:r>
    </w:p>
    <w:p>
      <w:pPr>
        <w:pStyle w:val="CommentText"/>
      </w:pPr>
      <w:r>
        <w:t>建议：补时间轴与数据血缘，覆盖清洗、补值、归一化、特征及累计量基数。</w:t>
      </w:r>
    </w:p>
  </w:comment>
  <w:comment w:id="19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[HIGH-02｜高] TFT主线与项目A每日重训梯度提升树口径不一致</w:t>
      </w:r>
    </w:p>
    <w:p>
      <w:pPr>
        <w:pStyle w:val="CommentText"/>
      </w:pPr>
      <w:r>
        <w:t>锚点：[P21]、[P32]、[T1]</w:t>
      </w:r>
    </w:p>
    <w:p>
      <w:pPr>
        <w:pStyle w:val="CommentText"/>
      </w:pPr>
      <w:r>
        <w:t>建议：补例外触发条件、特征、超参数、滚动截止点和适用边界。</w:t>
      </w:r>
    </w:p>
  </w:comment>
  <w:comment w:id="20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[MED-10｜中] 五种子均值在GBM协议中的随机性来源不明确</w:t>
      </w:r>
    </w:p>
    <w:p>
      <w:pPr>
        <w:pStyle w:val="CommentText"/>
      </w:pPr>
      <w:r>
        <w:t>锚点：[P21]、[P32]</w:t>
      </w:r>
    </w:p>
    <w:p>
      <w:pPr>
        <w:pStyle w:val="CommentText"/>
      </w:pPr>
      <w:r>
        <w:t>建议：说明GBM中受种子控制的过程；确定性实现则改为准确表述。</w:t>
      </w:r>
    </w:p>
  </w:comment>
  <w:comment w:id="21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[BLOCK-01｜阻断] 队伍名称这一必填身份字段未填写</w:t>
      </w:r>
    </w:p>
    <w:p>
      <w:pPr>
        <w:pStyle w:val="CommentText"/>
      </w:pPr>
      <w:r>
        <w:t>锚点：[P8]、[P11]、[T0]</w:t>
      </w:r>
    </w:p>
    <w:p>
      <w:pPr>
        <w:pStyle w:val="CommentText"/>
      </w:pPr>
      <w:r>
        <w:t>建议：依据报名信息确认正式队名，在P8和T0同步填写。</w:t>
      </w:r>
    </w:p>
  </w:comment>
  <w:comment w:id="22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[BLOCK-02｜阻断] 项目B核心预测结果链路缺失</w:t>
      </w:r>
    </w:p>
    <w:p>
      <w:pPr>
        <w:pStyle w:val="CommentText"/>
      </w:pPr>
      <w:r>
        <w:t>锚点：[P11]、[T2]、[T5]、[T8]、[T10–T12]</w:t>
      </w:r>
    </w:p>
    <w:p>
      <w:pPr>
        <w:pStyle w:val="CommentText"/>
      </w:pPr>
      <w:r>
        <w:t>建议：从最终脚本补齐B的逐时、极端和设备结果并保留日志，不得推测数值。</w:t>
      </w:r>
    </w:p>
  </w:comment>
  <w:comment w:id="23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[MED-02｜中] T3相对误差百分号不统一</w:t>
      </w:r>
    </w:p>
    <w:p>
      <w:pPr>
        <w:pStyle w:val="CommentText"/>
      </w:pPr>
      <w:r>
        <w:t>锚点：[T3]</w:t>
      </w:r>
    </w:p>
    <w:p>
      <w:pPr>
        <w:pStyle w:val="CommentText"/>
      </w:pPr>
      <w:r>
        <w:t>建议：核对公式后统一表头和单元格百分数格式。</w:t>
      </w:r>
    </w:p>
  </w:comment>
  <w:comment w:id="24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[MED-03｜中] T4极端工况MAPE单位显示不明确</w:t>
      </w:r>
    </w:p>
    <w:p>
      <w:pPr>
        <w:pStyle w:val="CommentText"/>
      </w:pPr>
      <w:r>
        <w:t>锚点：[T4]</w:t>
      </w:r>
    </w:p>
    <w:p>
      <w:pPr>
        <w:pStyle w:val="CommentText"/>
      </w:pPr>
      <w:r>
        <w:t>建议：统一使用MAPE（%）表头或逐值百分号。</w:t>
      </w:r>
    </w:p>
  </w:comment>
  <w:comment w:id="25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[HIGH-05｜高] 极端工况负荷与设备结果不完整</w:t>
      </w:r>
    </w:p>
    <w:p>
      <w:pPr>
        <w:pStyle w:val="CommentText"/>
      </w:pPr>
      <w:r>
        <w:t>锚点：[T4]、[T5]、[T6]、[T10–T12]</w:t>
      </w:r>
    </w:p>
    <w:p>
      <w:pPr>
        <w:pStyle w:val="CommentText"/>
      </w:pPr>
      <w:r>
        <w:t>建议：逐工况补定义、样本数、时间范围和指标；无样本时给合规说明。</w:t>
      </w:r>
    </w:p>
  </w:comment>
  <w:comment w:id="26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[HIGH-05｜高] 极端工况负荷与设备结果不完整</w:t>
      </w:r>
    </w:p>
    <w:p>
      <w:pPr>
        <w:pStyle w:val="CommentText"/>
      </w:pPr>
      <w:r>
        <w:t>锚点：[T4]、[T5]、[T6]、[T10–T12]</w:t>
      </w:r>
    </w:p>
    <w:p>
      <w:pPr>
        <w:pStyle w:val="CommentText"/>
      </w:pPr>
      <w:r>
        <w:t>建议：逐工况补定义、样本数、时间范围和指标；无样本时给合规说明。</w:t>
      </w:r>
    </w:p>
  </w:comment>
  <w:comment w:id="27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[LOW-02｜低] “水泵”指标对象不够具体</w:t>
      </w:r>
    </w:p>
    <w:p>
      <w:pPr>
        <w:pStyle w:val="CommentText"/>
      </w:pPr>
      <w:r>
        <w:t>锚点：[T7]、[T9]、[§5–7]</w:t>
      </w:r>
    </w:p>
    <w:p>
      <w:pPr>
        <w:pStyle w:val="CommentText"/>
      </w:pPr>
      <w:r>
        <w:t>建议：明确是冷冻水泵、冷却水泵、总泵功率或聚合值。</w:t>
      </w:r>
    </w:p>
  </w:comment>
  <w:comment w:id="28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[BLOCK-02｜阻断] 项目B核心预测结果链路缺失</w:t>
      </w:r>
    </w:p>
    <w:p>
      <w:pPr>
        <w:pStyle w:val="CommentText"/>
      </w:pPr>
      <w:r>
        <w:t>锚点：[P11]、[T2]、[T5]、[T8]、[T10–T12]</w:t>
      </w:r>
    </w:p>
    <w:p>
      <w:pPr>
        <w:pStyle w:val="CommentText"/>
      </w:pPr>
      <w:r>
        <w:t>建议：从最终脚本补齐B的逐时、极端和设备结果并保留日志，不得推测数值。</w:t>
      </w:r>
    </w:p>
  </w:comment>
  <w:comment w:id="29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[HIGH-01｜高] 项目C冷机和水泵MAPE超过“≤6%”线</w:t>
      </w:r>
    </w:p>
    <w:p>
      <w:pPr>
        <w:pStyle w:val="CommentText"/>
      </w:pPr>
      <w:r>
        <w:t>锚点：[T9]</w:t>
      </w:r>
    </w:p>
    <w:p>
      <w:pPr>
        <w:pStyle w:val="CommentText"/>
      </w:pPr>
      <w:r>
        <w:t>建议：复算24.33和10.01，核对样本及停机低分母处理；不得直接改数。</w:t>
      </w:r>
    </w:p>
  </w:comment>
  <w:comment w:id="30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[HIGH-05｜高] 极端工况负荷与设备结果不完整</w:t>
      </w:r>
    </w:p>
    <w:p>
      <w:pPr>
        <w:pStyle w:val="CommentText"/>
      </w:pPr>
      <w:r>
        <w:t>锚点：[T4]、[T5]、[T6]、[T10–T12]</w:t>
      </w:r>
    </w:p>
    <w:p>
      <w:pPr>
        <w:pStyle w:val="CommentText"/>
      </w:pPr>
      <w:r>
        <w:t>建议：逐工况补定义、样本数、时间范围和指标；无样本时给合规说明。</w:t>
      </w:r>
    </w:p>
  </w:comment>
  <w:comment w:id="31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[MED-06｜中] 节能表缺少单位、统计边界和加权公式</w:t>
      </w:r>
    </w:p>
    <w:p>
      <w:pPr>
        <w:pStyle w:val="CommentText"/>
      </w:pPr>
      <w:r>
        <w:t>锚点：[T13]</w:t>
      </w:r>
    </w:p>
    <w:p>
      <w:pPr>
        <w:pStyle w:val="CommentText"/>
      </w:pPr>
      <w:r>
        <w:t>建议：补能耗单位、周期、基准、设备边界、节能率公式和权重。</w:t>
      </w:r>
    </w:p>
  </w:comment>
  <w:comment w:id="32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[BLOCK-03｜阻断] T13项目B/C及加权节能结果未完成</w:t>
      </w:r>
    </w:p>
    <w:p>
      <w:pPr>
        <w:pStyle w:val="CommentText"/>
      </w:pPr>
      <w:r>
        <w:t>锚点：[P11]、[T13]、[§5–7]</w:t>
      </w:r>
    </w:p>
    <w:p>
      <w:pPr>
        <w:pStyle w:val="CommentText"/>
      </w:pPr>
      <w:r>
        <w:t>建议：按官方基准和权重补齐B、C及加权值，注明单位、边界和公式。</w:t>
      </w:r>
    </w:p>
  </w:comment>
  <w:comment w:id="33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[BLOCK-03｜阻断] T13项目B/C及加权节能结果未完成</w:t>
      </w:r>
    </w:p>
    <w:p>
      <w:pPr>
        <w:pStyle w:val="CommentText"/>
      </w:pPr>
      <w:r>
        <w:t>锚点：[P11]、[T13]、[§5–7]</w:t>
      </w:r>
    </w:p>
    <w:p>
      <w:pPr>
        <w:pStyle w:val="CommentText"/>
      </w:pPr>
      <w:r>
        <w:t>建议：按官方基准和权重补齐B、C及加权值，注明单位、边界和公式。</w:t>
      </w:r>
    </w:p>
  </w:comment>
  <w:comment w:id="34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[MED-11｜中] 签字日期存在，但实际签署状态需确认</w:t>
      </w:r>
    </w:p>
    <w:p>
      <w:pPr>
        <w:pStyle w:val="CommentText"/>
      </w:pPr>
      <w:r>
        <w:t>锚点：[T14]、[§5–7]</w:t>
      </w:r>
    </w:p>
    <w:p>
      <w:pPr>
        <w:pStyle w:val="CommentText"/>
      </w:pPr>
      <w:r>
        <w:t>建议：在最终Word/PDF确认签署主体、签名或盖章及日期可见。</w:t>
      </w:r>
    </w:p>
  </w:comment>
  <w:comment w:id="35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[HIGH-07｜高] 范围声明与第5章节能结果存在责任边界冲突</w:t>
      </w:r>
    </w:p>
    <w:p>
      <w:pPr>
        <w:pStyle w:val="CommentText"/>
      </w:pPr>
      <w:r>
        <w:t>锚点：[P15]、[P16]、[T13]、[§5–7]</w:t>
      </w:r>
    </w:p>
    <w:p>
      <w:pPr>
        <w:pStyle w:val="CommentText"/>
      </w:pPr>
      <w:r>
        <w:t>建议：区分本队预测、联合仿真、合作方策略和最终提交责任，注明T13来源。</w:t>
      </w:r>
    </w:p>
  </w:comment>
  <w:comment w:id="36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[HIGH-06｜高] 项目B缺少与A/C同等级的方法说明</w:t>
      </w:r>
    </w:p>
    <w:p>
      <w:pPr>
        <w:pStyle w:val="CommentText"/>
      </w:pPr>
      <w:r>
        <w:t>锚点：[P21]、[P32]、[§5–7]</w:t>
      </w:r>
    </w:p>
    <w:p>
      <w:pPr>
        <w:pStyle w:val="CommentText"/>
      </w:pPr>
      <w:r>
        <w:t>建议：补B的数据、模型、训练窗、评测协议、节能策略和结果解释。</w:t>
      </w:r>
    </w:p>
  </w:comment>
  <w:comment w:id="37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[MED-07｜中] 日MAPE范围缺少对象与统计定义</w:t>
      </w:r>
    </w:p>
    <w:p>
      <w:pPr>
        <w:pStyle w:val="CommentText"/>
      </w:pPr>
      <w:r>
        <w:t>锚点：[§5–7]</w:t>
      </w:r>
    </w:p>
    <w:p>
      <w:pPr>
        <w:pStyle w:val="CommentText"/>
      </w:pPr>
      <w:r>
        <w:t>建议：明确项目、日期、样本数和最小—最大口径。</w:t>
      </w:r>
    </w:p>
  </w:comment>
  <w:comment w:id="38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[HIGH-06｜高] 项目B缺少与A/C同等级的方法说明</w:t>
      </w:r>
    </w:p>
    <w:p>
      <w:pPr>
        <w:pStyle w:val="CommentText"/>
      </w:pPr>
      <w:r>
        <w:t>锚点：[P21]、[P32]、[§5–7]</w:t>
      </w:r>
    </w:p>
    <w:p>
      <w:pPr>
        <w:pStyle w:val="CommentText"/>
      </w:pPr>
      <w:r>
        <w:t>建议：补B的数据、模型、训练窗、评测协议、节能策略和结果解释。</w:t>
      </w:r>
    </w:p>
  </w:comment>
  <w:comment w:id="39" w:author="GPT-5.6" w:initials="G56" w:date="2026-09-08T09:32:04Z">
    <w:p>
      <w:pPr>
        <w:pStyle w:val="CommentText"/>
      </w:pPr>
      <w:r>
        <w:rPr>
          <w:rStyle w:val="CommentReference"/>
        </w:rPr>
        <w:annotationRef/>
      </w:r>
      <w:r>
        <w:t>[MED-11｜中] 签字日期存在，但实际签署状态需确认</w:t>
      </w:r>
    </w:p>
    <w:p>
      <w:pPr>
        <w:pStyle w:val="CommentText"/>
      </w:pPr>
      <w:r>
        <w:t>锚点：[T14]、[§5–7]</w:t>
      </w:r>
    </w:p>
    <w:p>
      <w:pPr>
        <w:pStyle w:val="CommentText"/>
      </w:pPr>
      <w:r>
        <w:t>建议：在最终Word/PDF确认签署主体、签名或盖章及日期可见。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6464"/>
        <w:sz w:val="16"/>
      </w:rPr>
      <w:t>AI“赛马制”测试数据报告 · GPT-5.6 批注版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ptos" w:hAnsi="Aptos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微软雅黑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微软雅黑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AI赛马制测试数据报告_批注版_byGPT56</dc:title>
  <dc:subject>基于完整全文抽提的初赛提交稿审查批注</dc:subject>
  <dc:creator>GPT-5.6</dc:creator>
  <cp:keywords>AI赛马制, 审查, 批注, MAPE, 节能</cp:keywords>
  <dc:description>所有数字来自全文抽提；未补造【请填写数据】或空白单元格。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