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360"/>
        <w:jc w:val="center"/>
      </w:pPr>
      <w:r>
        <w:rPr>
          <w:rFonts w:ascii="黑体" w:hAnsi="黑体" w:eastAsia="黑体" w:cs="黑体"/>
          <w:b w:val="0"/>
          <w:sz w:val="36"/>
        </w:rPr>
        <w:t>调研报告：南网总部基地北京调研</w:t>
      </w:r>
    </w:p>
    <w:p>
      <w:pPr>
        <w:spacing w:before="0" w:after="0"/>
        <w:jc w:val="center"/>
      </w:pPr>
      <w:r>
        <w:rPr>
          <w:rFonts w:ascii="楷体_GB2312" w:hAnsi="楷体_GB2312" w:eastAsia="楷体_GB2312" w:cs="楷体_GB2312"/>
          <w:b w:val="0"/>
          <w:sz w:val="32"/>
        </w:rPr>
        <w:t>——三家单位交流成果与对总部基地项目的启发</w:t>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both"/>
      </w:pPr>
      <w:r>
        <w:rPr>
          <w:rFonts w:ascii="仿宋_GB2312" w:hAnsi="仿宋_GB2312" w:eastAsia="仿宋_GB2312" w:cs="仿宋_GB2312"/>
          <w:b w:val="0"/>
          <w:sz w:val="32"/>
        </w:rPr>
      </w:r>
    </w:p>
    <w:p>
      <w:pPr>
        <w:spacing w:before="0" w:after="0"/>
        <w:jc w:val="center"/>
      </w:pPr>
      <w:r>
        <w:rPr>
          <w:rFonts w:ascii="仿宋_GB2312" w:hAnsi="仿宋_GB2312" w:eastAsia="仿宋_GB2312" w:cs="仿宋_GB2312"/>
          <w:b w:val="0"/>
          <w:sz w:val="32"/>
        </w:rPr>
        <w:t>作者：王天智</w:t>
      </w:r>
    </w:p>
    <w:p>
      <w:pPr>
        <w:spacing w:before="0" w:after="0"/>
        <w:jc w:val="center"/>
      </w:pPr>
      <w:r>
        <w:rPr>
          <w:rFonts w:ascii="仿宋_GB2312" w:hAnsi="仿宋_GB2312" w:eastAsia="仿宋_GB2312" w:cs="仿宋_GB2312"/>
          <w:b w:val="0"/>
          <w:sz w:val="32"/>
        </w:rPr>
        <w:t>单位：南方电网综合能源（广东）有限公司</w:t>
      </w:r>
    </w:p>
    <w:p>
      <w:pPr>
        <w:spacing w:before="0" w:after="0"/>
        <w:jc w:val="center"/>
      </w:pPr>
      <w:r>
        <w:rPr>
          <w:rFonts w:ascii="仿宋_GB2312" w:hAnsi="仿宋_GB2312" w:eastAsia="仿宋_GB2312" w:cs="仿宋_GB2312"/>
          <w:b w:val="0"/>
          <w:sz w:val="32"/>
        </w:rPr>
        <w:t>时间：2026年8月</w:t>
      </w:r>
    </w:p>
    <w:p>
      <w:pPr>
        <w:sectPr>
          <w:pgSz w:w="11906" w:h="16838"/>
          <w:pgMar w:top="2098" w:right="1474" w:bottom="1984" w:left="1587" w:header="720" w:footer="720" w:gutter="0"/>
          <w:cols w:space="720"/>
          <w:docGrid w:linePitch="360"/>
        </w:sectPr>
      </w:pPr>
    </w:p>
    <w:p>
      <w:pPr>
        <w:spacing w:before="280" w:after="80" w:lineRule="exact" w:line="580"/>
        <w:ind w:firstLine="640"/>
        <w:jc w:val="left"/>
      </w:pPr>
      <w:r>
        <w:rPr>
          <w:rFonts w:ascii="黑体" w:hAnsi="黑体" w:eastAsia="黑体" w:cs="黑体"/>
          <w:b w:val="0"/>
          <w:sz w:val="32"/>
        </w:rPr>
        <w:t>一、目的与背景</w:t>
      </w:r>
    </w:p>
    <w:p>
      <w:pPr>
        <w:spacing w:before="160" w:after="0" w:lineRule="exact" w:line="580"/>
        <w:ind w:firstLine="640"/>
        <w:jc w:val="left"/>
      </w:pPr>
      <w:r>
        <w:rPr>
          <w:rFonts w:ascii="楷体_GB2312" w:hAnsi="楷体_GB2312" w:eastAsia="楷体_GB2312" w:cs="楷体_GB2312"/>
          <w:b w:val="0"/>
          <w:sz w:val="32"/>
        </w:rPr>
        <w:t>（一）项目背景与调研取向</w:t>
      </w:r>
    </w:p>
    <w:p>
      <w:pPr>
        <w:spacing w:before="0" w:after="0" w:lineRule="exact" w:line="580"/>
        <w:ind w:firstLine="640"/>
        <w:jc w:val="both"/>
      </w:pPr>
      <w:r>
        <w:rPr>
          <w:rFonts w:ascii="仿宋_GB2312" w:hAnsi="仿宋_GB2312" w:eastAsia="仿宋_GB2312" w:cs="仿宋_GB2312"/>
          <w:b w:val="0"/>
          <w:sz w:val="32"/>
        </w:rPr>
        <w:t>为高质量推进南网总部基地绿色近零碳智慧园区，完善总体定位、技术体系、建设路径和运营机制，按《南网总部基地零碳智慧园区项目调研计划》，拟在北京、深圳、广州三地开展调研。本次调研的取向是博采众长，吸收新方向、新思路、新技术，最终形成适用于南网总部基地的技术清单、平台建设建议、指标体系和实施方案。</w:t>
      </w:r>
    </w:p>
    <w:p>
      <w:pPr>
        <w:spacing w:before="0" w:after="0" w:lineRule="exact" w:line="580"/>
        <w:ind w:firstLine="640"/>
        <w:jc w:val="both"/>
      </w:pPr>
      <w:r>
        <w:rPr>
          <w:rFonts w:ascii="仿宋_GB2312" w:hAnsi="仿宋_GB2312" w:eastAsia="仿宋_GB2312" w:cs="仿宋_GB2312"/>
          <w:b w:val="0"/>
          <w:sz w:val="32"/>
        </w:rPr>
        <w:t>本报告归集北京一站相关的三家单位交流成果，截止时间为2026年8月21日。报告的落点不在于复述会议过程，而在于把外部单位的技术方法、评价口径和运营经验，转成可以对照本项目使用的判断与清单。</w:t>
      </w:r>
    </w:p>
    <w:p>
      <w:pPr>
        <w:spacing w:before="160" w:after="0" w:lineRule="exact" w:line="580"/>
        <w:ind w:firstLine="640"/>
        <w:jc w:val="left"/>
      </w:pPr>
      <w:r>
        <w:rPr>
          <w:rFonts w:ascii="楷体_GB2312" w:hAnsi="楷体_GB2312" w:eastAsia="楷体_GB2312" w:cs="楷体_GB2312"/>
          <w:b w:val="0"/>
          <w:sz w:val="32"/>
        </w:rPr>
        <w:t>（二）调研对象与分工</w:t>
      </w:r>
    </w:p>
    <w:p>
      <w:pPr>
        <w:spacing w:before="0" w:after="0" w:lineRule="exact" w:line="580"/>
        <w:ind w:firstLine="640"/>
        <w:jc w:val="both"/>
      </w:pPr>
      <w:r>
        <w:rPr>
          <w:rFonts w:ascii="仿宋_GB2312" w:hAnsi="仿宋_GB2312" w:eastAsia="仿宋_GB2312" w:cs="仿宋_GB2312"/>
          <w:b w:val="0"/>
          <w:sz w:val="32"/>
        </w:rPr>
        <w:t>本报告涉及三家单位，各自的侧重与进展如下。</w:t>
      </w:r>
    </w:p>
    <w:p>
      <w:pPr>
        <w:spacing w:before="0" w:after="0" w:lineRule="exact" w:line="580"/>
        <w:ind w:firstLine="640"/>
        <w:jc w:val="both"/>
      </w:pPr>
      <w:r>
        <w:rPr>
          <w:rFonts w:ascii="仿宋_GB2312" w:hAnsi="仿宋_GB2312" w:eastAsia="仿宋_GB2312" w:cs="仿宋_GB2312"/>
          <w:b w:val="0"/>
          <w:sz w:val="32"/>
        </w:rPr>
        <w:t>中国建筑科学研究院有限公司（以下简称建科院），侧重建筑节能与零碳认证，已完成一次专题宣讲和一次交流。建科院不在调研计划的实地调研对象之列，其总工徐伟（大师）列入调研计划的专家表，并已在8月19日的交流中出现。</w:t>
      </w:r>
    </w:p>
    <w:p>
      <w:pPr>
        <w:spacing w:before="0" w:after="0" w:lineRule="exact" w:line="580"/>
        <w:ind w:firstLine="640"/>
        <w:jc w:val="both"/>
      </w:pPr>
      <w:r>
        <w:rPr>
          <w:rFonts w:ascii="仿宋_GB2312" w:hAnsi="仿宋_GB2312" w:eastAsia="仿宋_GB2312" w:cs="仿宋_GB2312"/>
          <w:b w:val="0"/>
          <w:sz w:val="32"/>
        </w:rPr>
        <w:t>中国移动，侧重智慧园区，已完成一次交流，并提供绿智楼宇与智慧园区两份产品资料。其国际信息港是调研计划中北京一站的实地对象，本报告另引用该园区的公开报道。需说明，该园区在不同材料中有国际信息港、全球信息港、信息港等称法，本报告统一称国际信息港，引用公开报道与产品资料时照录原称。</w:t>
      </w:r>
    </w:p>
    <w:p>
      <w:pPr>
        <w:spacing w:before="0" w:after="0" w:lineRule="exact" w:line="580"/>
        <w:ind w:firstLine="640"/>
        <w:jc w:val="both"/>
      </w:pPr>
      <w:r>
        <w:rPr>
          <w:rFonts w:ascii="仿宋_GB2312" w:hAnsi="仿宋_GB2312" w:eastAsia="仿宋_GB2312" w:cs="仿宋_GB2312"/>
          <w:b w:val="0"/>
          <w:sz w:val="32"/>
        </w:rPr>
        <w:t>清华大学，侧重建筑零碳技术研发与政策研究，是调研计划中北京一站的另一实地对象。2026年8月21日已开展联合研讨，主题为南方电网总部园区碳中和与综合能源系统升级路径。</w:t>
      </w:r>
    </w:p>
    <w:p>
      <w:pPr>
        <w:spacing w:before="0" w:after="0" w:lineRule="exact" w:line="580"/>
        <w:ind w:firstLine="640"/>
        <w:jc w:val="both"/>
      </w:pPr>
      <w:r>
        <w:rPr>
          <w:rFonts w:ascii="仿宋_GB2312" w:hAnsi="仿宋_GB2312" w:eastAsia="仿宋_GB2312" w:cs="仿宋_GB2312"/>
          <w:b w:val="0"/>
          <w:sz w:val="32"/>
        </w:rPr>
        <w:t>按调研计划，实地调研共五个对象，分布在北京、深圳、广州三地，分别代表建筑零碳技术研发与政策研究、新建超大型总部园区、既有大型园区智慧节能改造、近零碳社区核心示范、总部办公与数据中心复合园区五类样本。除上述北京两站外，深圳的腾讯企鹅岛、大梅沙万科中心碳中和实验园区，以及广州的中国移动南方基地，行程尚未发生。</w:t>
      </w:r>
    </w:p>
    <w:p>
      <w:pPr>
        <w:spacing w:before="0" w:after="0" w:lineRule="exact" w:line="580"/>
        <w:ind w:firstLine="640"/>
        <w:jc w:val="both"/>
      </w:pPr>
      <w:r>
        <w:rPr>
          <w:rFonts w:ascii="仿宋_GB2312" w:hAnsi="仿宋_GB2312" w:eastAsia="仿宋_GB2312" w:cs="仿宋_GB2312"/>
          <w:b w:val="0"/>
          <w:sz w:val="32"/>
        </w:rPr>
        <w:t>调研计划另列专家表，包括江亿、徐伟、何镜堂、杨旭东、贺克斌。</w:t>
      </w:r>
    </w:p>
    <w:p>
      <w:pPr>
        <w:spacing w:before="160" w:after="0" w:lineRule="exact" w:line="580"/>
        <w:ind w:firstLine="640"/>
        <w:jc w:val="left"/>
      </w:pPr>
      <w:r>
        <w:rPr>
          <w:rFonts w:ascii="楷体_GB2312" w:hAnsi="楷体_GB2312" w:eastAsia="楷体_GB2312" w:cs="楷体_GB2312"/>
          <w:b w:val="0"/>
          <w:sz w:val="32"/>
        </w:rPr>
        <w:t>（三）资料来源与说明</w:t>
      </w:r>
    </w:p>
    <w:p>
      <w:pPr>
        <w:spacing w:before="0" w:after="0" w:lineRule="exact" w:line="580"/>
        <w:ind w:firstLine="640"/>
        <w:jc w:val="both"/>
      </w:pPr>
      <w:r>
        <w:rPr>
          <w:rFonts w:ascii="仿宋_GB2312" w:hAnsi="仿宋_GB2312" w:eastAsia="仿宋_GB2312" w:cs="仿宋_GB2312"/>
          <w:b w:val="0"/>
          <w:sz w:val="32"/>
        </w:rPr>
        <w:t>本报告的事实性内容来自五类资料。</w:t>
      </w:r>
    </w:p>
    <w:p>
      <w:pPr>
        <w:spacing w:before="0" w:after="0" w:lineRule="exact" w:line="580"/>
        <w:ind w:firstLine="640"/>
        <w:jc w:val="both"/>
      </w:pPr>
      <w:r>
        <w:rPr>
          <w:rFonts w:ascii="仿宋_GB2312" w:hAnsi="仿宋_GB2312" w:eastAsia="仿宋_GB2312" w:cs="仿宋_GB2312"/>
          <w:b w:val="0"/>
          <w:sz w:val="32"/>
        </w:rPr>
        <w:t>一是建科院2026年8月宣讲材料《零碳园区发展体系与实施路径分析》（中国建筑科学研究院有限公司），以下简称宣讲材料。</w:t>
      </w:r>
    </w:p>
    <w:p>
      <w:pPr>
        <w:spacing w:before="0" w:after="0" w:lineRule="exact" w:line="580"/>
        <w:ind w:firstLine="640"/>
        <w:jc w:val="both"/>
      </w:pPr>
      <w:r>
        <w:rPr>
          <w:rFonts w:ascii="仿宋_GB2312" w:hAnsi="仿宋_GB2312" w:eastAsia="仿宋_GB2312" w:cs="仿宋_GB2312"/>
          <w:b w:val="0"/>
          <w:sz w:val="32"/>
        </w:rPr>
        <w:t>二是三份交流纪要，即2026年8月19日建科院交流纪要、2026年8月20日中国移动交流纪要、2026年8月21日清华大学会谈纪要。其中清华大学会谈纪要系录音经工具整理，说话人未具名，现场提到杨教授、杨院长；该纪要存在口误与年份笔误，摘要与后文的数字亦有出入。</w:t>
      </w:r>
    </w:p>
    <w:p>
      <w:pPr>
        <w:spacing w:before="0" w:after="0" w:lineRule="exact" w:line="580"/>
        <w:ind w:firstLine="640"/>
        <w:jc w:val="both"/>
      </w:pPr>
      <w:r>
        <w:rPr>
          <w:rFonts w:ascii="仿宋_GB2312" w:hAnsi="仿宋_GB2312" w:eastAsia="仿宋_GB2312" w:cs="仿宋_GB2312"/>
          <w:b w:val="0"/>
          <w:sz w:val="32"/>
        </w:rPr>
        <w:t>三是中移园建两份产品资料，即2026年7月《绿智楼宇标准化解决方案（SaaS）》与《M-Park智慧园区产品能力介绍》，以下分别简称绿智楼宇资料、M-Park资料。</w:t>
      </w:r>
    </w:p>
    <w:p>
      <w:pPr>
        <w:spacing w:before="0" w:after="0" w:lineRule="exact" w:line="580"/>
        <w:ind w:firstLine="640"/>
        <w:jc w:val="both"/>
      </w:pPr>
      <w:r>
        <w:rPr>
          <w:rFonts w:ascii="仿宋_GB2312" w:hAnsi="仿宋_GB2312" w:eastAsia="仿宋_GB2312" w:cs="仿宋_GB2312"/>
          <w:b w:val="0"/>
          <w:sz w:val="32"/>
        </w:rPr>
        <w:t>四是中国移动信息港的公开报道，包括新华网、中国网以及新能源网转载的内容。</w:t>
      </w:r>
    </w:p>
    <w:p>
      <w:pPr>
        <w:spacing w:before="0" w:after="0" w:lineRule="exact" w:line="580"/>
        <w:ind w:firstLine="640"/>
        <w:jc w:val="both"/>
      </w:pPr>
      <w:r>
        <w:rPr>
          <w:rFonts w:ascii="仿宋_GB2312" w:hAnsi="仿宋_GB2312" w:eastAsia="仿宋_GB2312" w:cs="仿宋_GB2312"/>
          <w:b w:val="0"/>
          <w:sz w:val="32"/>
        </w:rPr>
        <w:t>五是《南网总部基地零碳智慧园区项目调研计划》。</w:t>
      </w:r>
    </w:p>
    <w:p>
      <w:pPr>
        <w:spacing w:before="0" w:after="0" w:lineRule="exact" w:line="580"/>
        <w:ind w:firstLine="640"/>
        <w:jc w:val="both"/>
      </w:pPr>
      <w:r>
        <w:rPr>
          <w:rFonts w:ascii="仿宋_GB2312" w:hAnsi="仿宋_GB2312" w:eastAsia="仿宋_GB2312" w:cs="仿宋_GB2312"/>
          <w:b w:val="0"/>
          <w:sz w:val="32"/>
        </w:rPr>
        <w:t>四点说明。第一，宣讲材料、产品资料与公开报道中的数据，一律标注出处，均未经本次调研核证，不作为本项目的设计输入。第二，清华会谈中的用电量、节能潜力、单位成本等数字均为会中口述或会中估算，正文逐处标注，不得视为已核证或已验收的结论。第三，凡资料未涉及的事项，正文标注为稿中未见或径予省略。第四，本报告未引用录音纪要中未具名的一般性讨论、不确定称谓与口语表述。逐条依据与缺口另见《审查说明》。</w:t>
      </w:r>
    </w:p>
    <w:p>
      <w:pPr>
        <w:spacing w:before="280" w:after="80" w:lineRule="exact" w:line="580"/>
        <w:ind w:firstLine="640"/>
        <w:jc w:val="left"/>
      </w:pPr>
      <w:r>
        <w:rPr>
          <w:rFonts w:ascii="黑体" w:hAnsi="黑体" w:eastAsia="黑体" w:cs="黑体"/>
          <w:b w:val="0"/>
          <w:sz w:val="32"/>
        </w:rPr>
        <w:t>二、三家单位的交流成果</w:t>
      </w:r>
    </w:p>
    <w:p>
      <w:pPr>
        <w:spacing w:before="160" w:after="0" w:lineRule="exact" w:line="580"/>
        <w:ind w:firstLine="640"/>
        <w:jc w:val="left"/>
      </w:pPr>
      <w:r>
        <w:rPr>
          <w:rFonts w:ascii="楷体_GB2312" w:hAnsi="楷体_GB2312" w:eastAsia="楷体_GB2312" w:cs="楷体_GB2312"/>
          <w:b w:val="0"/>
          <w:sz w:val="32"/>
        </w:rPr>
        <w:t>（一）建科院：零碳认证方法与技术路径</w:t>
      </w:r>
    </w:p>
    <w:p>
      <w:pPr>
        <w:spacing w:before="0" w:after="0" w:lineRule="exact" w:line="580"/>
        <w:ind w:firstLine="640"/>
        <w:jc w:val="both"/>
      </w:pPr>
      <w:r>
        <w:rPr>
          <w:rFonts w:ascii="仿宋_GB2312" w:hAnsi="仿宋_GB2312" w:eastAsia="仿宋_GB2312" w:cs="仿宋_GB2312"/>
          <w:b w:val="0"/>
          <w:sz w:val="32"/>
        </w:rPr>
        <w:t>建科院一方的价值集中在“怎样才被认定为零碳”这件事上，即评价体系的选择、指标台阶的设定，以及案例中已经跑通的技术组合。</w:t>
      </w:r>
    </w:p>
    <w:p>
      <w:pPr>
        <w:spacing w:before="120" w:after="0" w:lineRule="exact" w:line="580"/>
        <w:ind w:firstLine="640"/>
        <w:jc w:val="left"/>
      </w:pPr>
      <w:r>
        <w:rPr>
          <w:rFonts w:ascii="仿宋_GB2312" w:hAnsi="仿宋_GB2312" w:eastAsia="仿宋_GB2312" w:cs="仿宋_GB2312"/>
          <w:b/>
          <w:sz w:val="32"/>
        </w:rPr>
        <w:t>1. 三类零碳评价体系的分野</w:t>
      </w:r>
    </w:p>
    <w:p>
      <w:pPr>
        <w:spacing w:before="0" w:after="0" w:lineRule="exact" w:line="580"/>
        <w:ind w:firstLine="640"/>
        <w:jc w:val="both"/>
      </w:pPr>
      <w:r>
        <w:rPr>
          <w:rFonts w:ascii="仿宋_GB2312" w:hAnsi="仿宋_GB2312" w:eastAsia="仿宋_GB2312" w:cs="仿宋_GB2312"/>
          <w:b w:val="0"/>
          <w:sz w:val="32"/>
        </w:rPr>
        <w:t>据宣讲材料，当前国内零碳相关的评价要求分属三个部门口径，对象、范围和严格程度并不相同，口径选错会直接影响后续的指标设定与申报路径。</w:t>
      </w:r>
    </w:p>
    <w:p>
      <w:pPr>
        <w:spacing w:before="0" w:after="0" w:lineRule="exact" w:line="580"/>
        <w:ind w:firstLine="640"/>
        <w:jc w:val="both"/>
      </w:pPr>
      <w:r>
        <w:rPr>
          <w:rFonts w:ascii="仿宋_GB2312" w:hAnsi="仿宋_GB2312" w:eastAsia="仿宋_GB2312" w:cs="仿宋_GB2312"/>
          <w:b w:val="0"/>
          <w:sz w:val="32"/>
        </w:rPr>
        <w:t>一是发改委国家级零碳园区通知。面向全国工业园区，覆盖全场景与产业链，创建主体为省级及以上开发区或园中园，指标要求最严。宣讲材料列出八大任务，即用能结构转型、基础设施、节能降碳、产业结构、资源节约、先进技术、能碳管理、改革创新。</w:t>
      </w:r>
    </w:p>
    <w:p>
      <w:pPr>
        <w:spacing w:before="0" w:after="0" w:lineRule="exact" w:line="580"/>
        <w:ind w:firstLine="640"/>
        <w:jc w:val="both"/>
      </w:pPr>
      <w:r>
        <w:rPr>
          <w:rFonts w:ascii="仿宋_GB2312" w:hAnsi="仿宋_GB2312" w:eastAsia="仿宋_GB2312" w:cs="仿宋_GB2312"/>
          <w:b w:val="0"/>
          <w:sz w:val="32"/>
        </w:rPr>
        <w:t>二是工信部零碳工厂建设工作指导意见。聚焦生产全流程，宣讲材料明确其暂无全国统一的专项判定标准。</w:t>
      </w:r>
    </w:p>
    <w:p>
      <w:pPr>
        <w:spacing w:before="0" w:after="0" w:lineRule="exact" w:line="580"/>
        <w:ind w:firstLine="640"/>
        <w:jc w:val="both"/>
      </w:pPr>
      <w:r>
        <w:rPr>
          <w:rFonts w:ascii="仿宋_GB2312" w:hAnsi="仿宋_GB2312" w:eastAsia="仿宋_GB2312" w:cs="仿宋_GB2312"/>
          <w:b w:val="0"/>
          <w:sz w:val="32"/>
        </w:rPr>
        <w:t>三是住建部的零碳建筑与零碳区域体系。聚焦建筑与能源，适用于新建与既有改造两类情形。此处“零碳区域”系宣讲材料转述住建部体系时的原词，仅用于说明该体系的对象划分。</w:t>
      </w:r>
    </w:p>
    <w:p>
      <w:pPr>
        <w:spacing w:before="120" w:after="0" w:lineRule="exact" w:line="580"/>
        <w:ind w:firstLine="640"/>
        <w:jc w:val="left"/>
      </w:pPr>
      <w:r>
        <w:rPr>
          <w:rFonts w:ascii="仿宋_GB2312" w:hAnsi="仿宋_GB2312" w:eastAsia="仿宋_GB2312" w:cs="仿宋_GB2312"/>
          <w:b/>
          <w:sz w:val="32"/>
        </w:rPr>
        <w:t>2. 《零碳建筑技术标准》的降碳率台阶</w:t>
      </w:r>
    </w:p>
    <w:p>
      <w:pPr>
        <w:spacing w:before="0" w:after="0" w:lineRule="exact" w:line="580"/>
        <w:ind w:firstLine="640"/>
        <w:jc w:val="both"/>
      </w:pPr>
      <w:r>
        <w:rPr>
          <w:rFonts w:ascii="仿宋_GB2312" w:hAnsi="仿宋_GB2312" w:eastAsia="仿宋_GB2312" w:cs="仿宋_GB2312"/>
          <w:b w:val="0"/>
          <w:sz w:val="32"/>
        </w:rPr>
        <w:t>据宣讲材料，建科院等主编的国家标准《零碳建筑技术标准》，认证基准为GB 55015-2021，对园区和建筑两个层级分别设定三级台阶。</w:t>
      </w:r>
    </w:p>
    <w:p>
      <w:pPr>
        <w:spacing w:before="0" w:after="0" w:lineRule="exact" w:line="580"/>
        <w:ind w:firstLine="640"/>
        <w:jc w:val="both"/>
      </w:pPr>
      <w:r>
        <w:rPr>
          <w:rFonts w:ascii="仿宋_GB2312" w:hAnsi="仿宋_GB2312" w:eastAsia="仿宋_GB2312" w:cs="仿宋_GB2312"/>
          <w:b w:val="0"/>
          <w:sz w:val="32"/>
        </w:rPr>
        <w:t>园区层级，低碳要求降碳率不低于30%；近零碳要求不低于60%；零碳要求年碳排放总量小于等于零，且碳抵消量不超过基准区域碳排放量的30%。</w:t>
      </w:r>
    </w:p>
    <w:p>
      <w:pPr>
        <w:spacing w:before="0" w:after="0" w:lineRule="exact" w:line="580"/>
        <w:ind w:firstLine="640"/>
        <w:jc w:val="both"/>
      </w:pPr>
      <w:r>
        <w:rPr>
          <w:rFonts w:ascii="仿宋_GB2312" w:hAnsi="仿宋_GB2312" w:eastAsia="仿宋_GB2312" w:cs="仿宋_GB2312"/>
          <w:b w:val="0"/>
          <w:sz w:val="32"/>
        </w:rPr>
        <w:t>建筑层级，低碳要求降碳30%以上；近零碳要求45%以上；零碳要求净碳排放小于等于零。</w:t>
      </w:r>
    </w:p>
    <w:p>
      <w:pPr>
        <w:spacing w:before="0" w:after="0" w:lineRule="exact" w:line="580"/>
        <w:ind w:firstLine="640"/>
        <w:jc w:val="both"/>
      </w:pPr>
      <w:r>
        <w:rPr>
          <w:rFonts w:ascii="仿宋_GB2312" w:hAnsi="仿宋_GB2312" w:eastAsia="仿宋_GB2312" w:cs="仿宋_GB2312"/>
          <w:b w:val="0"/>
          <w:sz w:val="32"/>
        </w:rPr>
        <w:t>需注明，该标准的稿件状态在宣讲材料中有两种表述，标准介绍处写报批稿，雄安案例的测评依据处写征求意见稿。本报告照录两种表述并标明不一致，不代为判断其现行效力；正式发布与实施时间稿中未见。</w:t>
      </w:r>
    </w:p>
    <w:p>
      <w:pPr>
        <w:spacing w:before="120" w:after="0" w:lineRule="exact" w:line="580"/>
        <w:ind w:firstLine="640"/>
        <w:jc w:val="left"/>
      </w:pPr>
      <w:r>
        <w:rPr>
          <w:rFonts w:ascii="仿宋_GB2312" w:hAnsi="仿宋_GB2312" w:eastAsia="仿宋_GB2312" w:cs="仿宋_GB2312"/>
          <w:b/>
          <w:sz w:val="32"/>
        </w:rPr>
        <w:t>3. 案例中可借鉴的认证与技术路径</w:t>
      </w:r>
    </w:p>
    <w:p>
      <w:pPr>
        <w:spacing w:before="0" w:after="0" w:lineRule="exact" w:line="580"/>
        <w:ind w:firstLine="640"/>
        <w:jc w:val="both"/>
      </w:pPr>
      <w:r>
        <w:rPr>
          <w:rFonts w:ascii="仿宋_GB2312" w:hAnsi="仿宋_GB2312" w:eastAsia="仿宋_GB2312" w:cs="仿宋_GB2312"/>
          <w:b w:val="0"/>
          <w:sz w:val="32"/>
        </w:rPr>
        <w:t>宣讲材料给出四个案例，以下数据均据宣讲材料，未经本次核证。</w:t>
      </w:r>
    </w:p>
    <w:p>
      <w:pPr>
        <w:spacing w:before="0" w:after="0" w:lineRule="exact" w:line="580"/>
        <w:ind w:firstLine="640"/>
        <w:jc w:val="both"/>
      </w:pPr>
      <w:r>
        <w:rPr>
          <w:rFonts w:ascii="仿宋_GB2312" w:hAnsi="仿宋_GB2312" w:eastAsia="仿宋_GB2312" w:cs="仿宋_GB2312"/>
          <w:b w:val="0"/>
          <w:sz w:val="32"/>
        </w:rPr>
        <w:t>国网能源互联网产业雄安创新中心智慧零碳园区，位于雄安启动区互联网产业园，总建筑面积19.77万平方米，由4栋产业科研楼和1栋会议展示中心组成。宣讲材料称该项目依据《零碳建筑技术标准（征求意见稿）》测评，成为全国首个以国标评定的零碳园区，由徐伟大师授牌。其技术组合分三层：本体层面，窗墙比控制在40%以内，采用STP真空绝热板，换气次数不大于0.6次每小时，本体节能率51.27%；能源层面，地源热泵SEER为5.5至5.6，光伏布置于屋面近10000平方米并加露台1000平方米光伏地砖，装机约2兆瓦，年发电220万千瓦时，约占年用电量的20%；配电层面，采用直流供电、V2G以及多端低压柔性直流环网。</w:t>
      </w:r>
    </w:p>
    <w:p>
      <w:pPr>
        <w:spacing w:before="0" w:after="0" w:lineRule="exact" w:line="580"/>
        <w:ind w:firstLine="640"/>
        <w:jc w:val="both"/>
      </w:pPr>
      <w:r>
        <w:rPr>
          <w:rFonts w:ascii="仿宋_GB2312" w:hAnsi="仿宋_GB2312" w:eastAsia="仿宋_GB2312" w:cs="仿宋_GB2312"/>
          <w:b w:val="0"/>
          <w:sz w:val="32"/>
        </w:rPr>
        <w:t>雄安项目的碳账尤其值得对照。据宣讲材料，基准碳排放10768吨，其中围护与暖通减排3370吨，照明等减排1386吨，运营减排541吨，屋顶光伏减排1367吨，剩余4104吨通过电碳交易解决。也就是说，在本体节能率超过五成、屋面光伏基本铺满的条件下，仍有约38%的碳需要靠交易抵消（该比例系本报告依宣讲材料所载数据计算）。这一结构提示，园区级零碳的最后一段路径不在技术侧，而在抵消机制的安排上，而据宣讲材料，住建部体系对园区零碳的抵消比例设有不超过30%的限制。</w:t>
      </w:r>
    </w:p>
    <w:p>
      <w:pPr>
        <w:spacing w:before="0" w:after="0" w:lineRule="exact" w:line="580"/>
        <w:ind w:firstLine="640"/>
        <w:jc w:val="both"/>
      </w:pPr>
      <w:r>
        <w:rPr>
          <w:rFonts w:ascii="仿宋_GB2312" w:hAnsi="仿宋_GB2312" w:eastAsia="仿宋_GB2312" w:cs="仿宋_GB2312"/>
          <w:b w:val="0"/>
          <w:sz w:val="32"/>
        </w:rPr>
        <w:t>中建科技产业园位于武汉光谷，占地650亩，总建筑面积108万平方米。宣讲材料称其中的中建三局总部办公楼为国内首个大型既有建筑零碳建筑改造示范。园区总碳排放25663461.99千克二氧化碳每年，降碳30.41%，建筑碳排放占比58%，建筑碳减排贡献49.8%。这组数据说明，在以建筑为主体的园区里，建筑本体与机电系统既是碳排放的主体，也是减排贡献的主体。</w:t>
      </w:r>
    </w:p>
    <w:p>
      <w:pPr>
        <w:spacing w:before="0" w:after="0" w:lineRule="exact" w:line="580"/>
        <w:ind w:firstLine="640"/>
        <w:jc w:val="both"/>
      </w:pPr>
      <w:r>
        <w:rPr>
          <w:rFonts w:ascii="仿宋_GB2312" w:hAnsi="仿宋_GB2312" w:eastAsia="仿宋_GB2312" w:cs="仿宋_GB2312"/>
          <w:b w:val="0"/>
          <w:sz w:val="32"/>
        </w:rPr>
        <w:t>博鳌近零碳示范区的理念表述为“环境自然、区域零碳、资源循环、智慧运营”。据宣讲材料，其年绿电生产约3200万度，区内需求约1700万度，绿电产出接近区内需求的两倍。</w:t>
      </w:r>
    </w:p>
    <w:p>
      <w:pPr>
        <w:spacing w:before="0" w:after="0" w:lineRule="exact" w:line="580"/>
        <w:ind w:firstLine="640"/>
        <w:jc w:val="both"/>
      </w:pPr>
      <w:r>
        <w:rPr>
          <w:rFonts w:ascii="仿宋_GB2312" w:hAnsi="仿宋_GB2312" w:eastAsia="仿宋_GB2312" w:cs="仿宋_GB2312"/>
          <w:b w:val="0"/>
          <w:sz w:val="32"/>
        </w:rPr>
        <w:t>北京建院C座科研楼，宣讲材料称其为国内首个既有建筑低碳改造，综合节能率61%。</w:t>
      </w:r>
    </w:p>
    <w:p>
      <w:pPr>
        <w:spacing w:before="120" w:after="0" w:lineRule="exact" w:line="580"/>
        <w:ind w:firstLine="640"/>
        <w:jc w:val="left"/>
      </w:pPr>
      <w:r>
        <w:rPr>
          <w:rFonts w:ascii="仿宋_GB2312" w:hAnsi="仿宋_GB2312" w:eastAsia="仿宋_GB2312" w:cs="仿宋_GB2312"/>
          <w:b/>
          <w:sz w:val="32"/>
        </w:rPr>
        <w:t>4. 技术收束与宣讲中提出的合作方向</w:t>
      </w:r>
    </w:p>
    <w:p>
      <w:pPr>
        <w:spacing w:before="0" w:after="0" w:lineRule="exact" w:line="580"/>
        <w:ind w:firstLine="640"/>
        <w:jc w:val="both"/>
      </w:pPr>
      <w:r>
        <w:rPr>
          <w:rFonts w:ascii="仿宋_GB2312" w:hAnsi="仿宋_GB2312" w:eastAsia="仿宋_GB2312" w:cs="仿宋_GB2312"/>
          <w:b w:val="0"/>
          <w:sz w:val="32"/>
        </w:rPr>
        <w:t>宣讲材料把上述实践收束为四个技术抓手，即建筑本体节能，园区源网荷储，负荷柔性聚合与电网互动，能碳数字底座。</w:t>
      </w:r>
    </w:p>
    <w:p>
      <w:pPr>
        <w:spacing w:before="0" w:after="0" w:lineRule="exact" w:line="580"/>
        <w:ind w:firstLine="640"/>
        <w:jc w:val="both"/>
      </w:pPr>
      <w:r>
        <w:rPr>
          <w:rFonts w:ascii="仿宋_GB2312" w:hAnsi="仿宋_GB2312" w:eastAsia="仿宋_GB2312" w:cs="仿宋_GB2312"/>
          <w:b w:val="0"/>
          <w:sz w:val="32"/>
        </w:rPr>
        <w:t>在此基础上，宣讲材料提出“立足南方电网数字电网技术优势，发挥中国建研院在零碳建筑的主导地位，打造全国首个融合数字智慧电网与零碳建筑运营的园区”。这是宣讲中提出的合作方向，属对方意向表述，稿中未见任何合作协议、立项或签约安排。</w:t>
      </w:r>
    </w:p>
    <w:p>
      <w:pPr>
        <w:spacing w:before="120" w:after="0" w:lineRule="exact" w:line="580"/>
        <w:ind w:firstLine="640"/>
        <w:jc w:val="left"/>
      </w:pPr>
      <w:r>
        <w:rPr>
          <w:rFonts w:ascii="仿宋_GB2312" w:hAnsi="仿宋_GB2312" w:eastAsia="仿宋_GB2312" w:cs="仿宋_GB2312"/>
          <w:b/>
          <w:sz w:val="32"/>
        </w:rPr>
        <w:t>5. 项目层面的路径意见与讨论项</w:t>
      </w:r>
    </w:p>
    <w:p>
      <w:pPr>
        <w:spacing w:before="0" w:after="0" w:lineRule="exact" w:line="580"/>
        <w:ind w:firstLine="640"/>
        <w:jc w:val="both"/>
      </w:pPr>
      <w:r>
        <w:rPr>
          <w:rFonts w:ascii="仿宋_GB2312" w:hAnsi="仿宋_GB2312" w:eastAsia="仿宋_GB2312" w:cs="仿宋_GB2312"/>
          <w:b w:val="0"/>
          <w:sz w:val="32"/>
        </w:rPr>
        <w:t>2026年8月19日的交流把话题落到本项目。据交流纪要，园区定位为国内一流的央企总部，要求在零碳基础上拓展至健康、智慧、人文等综合维度，打造具有示范性的标杆项目。</w:t>
      </w:r>
    </w:p>
    <w:p>
      <w:pPr>
        <w:spacing w:before="0" w:after="0" w:lineRule="exact" w:line="580"/>
        <w:ind w:firstLine="640"/>
        <w:jc w:val="both"/>
      </w:pPr>
      <w:r>
        <w:rPr>
          <w:rFonts w:ascii="仿宋_GB2312" w:hAnsi="仿宋_GB2312" w:eastAsia="仿宋_GB2312" w:cs="仿宋_GB2312"/>
          <w:b w:val="0"/>
          <w:sz w:val="32"/>
        </w:rPr>
        <w:t>实施路径方面，会上建议采用概念性整体方案先行，由高层领导和权威专家（纪要原文括注为“大师”）进行论证和认可，形成共识后再进行详细的全过程咨询和专项设计。会上还讨论了采用全过程咨询模式的可能性，即咨询方负责从规划、方案到设计、建设的全流程服务。纪要用语为“讨论了可能性”，稿中未见模式选定结论。</w:t>
      </w:r>
    </w:p>
    <w:p>
      <w:pPr>
        <w:spacing w:before="0" w:after="0" w:lineRule="exact" w:line="580"/>
        <w:ind w:firstLine="640"/>
        <w:jc w:val="both"/>
      </w:pPr>
      <w:r>
        <w:rPr>
          <w:rFonts w:ascii="仿宋_GB2312" w:hAnsi="仿宋_GB2312" w:eastAsia="仿宋_GB2312" w:cs="仿宋_GB2312"/>
          <w:b w:val="0"/>
          <w:sz w:val="32"/>
        </w:rPr>
        <w:t>数据机房方面，会上建议将总部的数据机房作为零碳项目的突破口，理由是其能耗巨大，并提出可参考工信部零碳工厂的标准体系，争取将其打造成全国首个零碳机房。需明确，“全国首个零碳机房”是会内提出的争取方向，稿中未见申报动作、受理主体、评价机构或确认结论；“能耗巨大”为会上的定性判断，稿中未见任何能耗数据。</w:t>
      </w:r>
    </w:p>
    <w:p>
      <w:pPr>
        <w:spacing w:before="0" w:after="0" w:lineRule="exact" w:line="580"/>
        <w:ind w:firstLine="640"/>
        <w:jc w:val="both"/>
      </w:pPr>
      <w:r>
        <w:rPr>
          <w:rFonts w:ascii="仿宋_GB2312" w:hAnsi="仿宋_GB2312" w:eastAsia="仿宋_GB2312" w:cs="仿宋_GB2312"/>
          <w:b w:val="0"/>
          <w:sz w:val="32"/>
        </w:rPr>
        <w:t>分布式能源方面，会上提出园区内有较多未利用的屋顶和空间，可考虑布局分布式光伏、微风发电等设施，形成“星星点点”的绿色能源展示。可用面积与装机规模稿中未见。</w:t>
      </w:r>
    </w:p>
    <w:p>
      <w:pPr>
        <w:spacing w:before="0" w:after="0" w:lineRule="exact" w:line="580"/>
        <w:ind w:firstLine="640"/>
        <w:jc w:val="both"/>
      </w:pPr>
      <w:r>
        <w:rPr>
          <w:rFonts w:ascii="仿宋_GB2312" w:hAnsi="仿宋_GB2312" w:eastAsia="仿宋_GB2312" w:cs="仿宋_GB2312"/>
          <w:b w:val="0"/>
          <w:sz w:val="32"/>
        </w:rPr>
        <w:t>外部合作与软课题方面，会上讨论了与外部咨询机构合作的可能性，如与清华大学等高校合作，引入先进的理念和技术。围绕“好房子”这一软课题，会上说明存在外部咨询机构（如能源院）内部审批受阻的情况，倾向由内部团队自主开展调研和报告撰写；纪要中关于该课题的内容仅此一句，研究范围与交付形式稿中未见。</w:t>
      </w:r>
    </w:p>
    <w:p>
      <w:pPr>
        <w:spacing w:before="160" w:after="0" w:lineRule="exact" w:line="580"/>
        <w:ind w:firstLine="640"/>
        <w:jc w:val="left"/>
      </w:pPr>
      <w:r>
        <w:rPr>
          <w:rFonts w:ascii="楷体_GB2312" w:hAnsi="楷体_GB2312" w:eastAsia="楷体_GB2312" w:cs="楷体_GB2312"/>
          <w:b w:val="0"/>
          <w:sz w:val="32"/>
        </w:rPr>
        <w:t>（二）中国移动：智慧化智能化办公与绿智楼宇产品化路径</w:t>
      </w:r>
    </w:p>
    <w:p>
      <w:pPr>
        <w:spacing w:before="0" w:after="0" w:lineRule="exact" w:line="580"/>
        <w:ind w:firstLine="640"/>
        <w:jc w:val="both"/>
      </w:pPr>
      <w:r>
        <w:rPr>
          <w:rFonts w:ascii="仿宋_GB2312" w:hAnsi="仿宋_GB2312" w:eastAsia="仿宋_GB2312" w:cs="仿宋_GB2312"/>
          <w:b w:val="0"/>
          <w:sz w:val="32"/>
        </w:rPr>
        <w:t>中国移动一方的价值集中在“园区怎样被用起来”这件事上，即办公场景与用能设备的联动、既有园区节能改造的产品化组织方式，以及支撑这些功能的平台与运营能力。</w:t>
      </w:r>
    </w:p>
    <w:p>
      <w:pPr>
        <w:spacing w:before="120" w:after="0" w:lineRule="exact" w:line="580"/>
        <w:ind w:firstLine="640"/>
        <w:jc w:val="left"/>
      </w:pPr>
      <w:r>
        <w:rPr>
          <w:rFonts w:ascii="仿宋_GB2312" w:hAnsi="仿宋_GB2312" w:eastAsia="仿宋_GB2312" w:cs="仿宋_GB2312"/>
          <w:b/>
          <w:sz w:val="32"/>
        </w:rPr>
        <w:t>1. 办公场景与用能设备的联动</w:t>
      </w:r>
    </w:p>
    <w:p>
      <w:pPr>
        <w:spacing w:before="0" w:after="0" w:lineRule="exact" w:line="580"/>
        <w:ind w:firstLine="640"/>
        <w:jc w:val="both"/>
      </w:pPr>
      <w:r>
        <w:rPr>
          <w:rFonts w:ascii="仿宋_GB2312" w:hAnsi="仿宋_GB2312" w:eastAsia="仿宋_GB2312" w:cs="仿宋_GB2312"/>
          <w:b w:val="0"/>
          <w:sz w:val="32"/>
        </w:rPr>
        <w:t>据新华网2025年11月26日《中移园建：中国移动信息港园区绿色智能技术应用案例》，信息港把智能照明接入智慧园区平台，并把照明、空调风机盘管与会议室预约系统联动，即由会议预约这一办公行为直接驱动照明与空调的启停。同一报道提到，园区在G61楼部署智能空开插座，并把插座、空调、照明接入智慧用电监测。</w:t>
      </w:r>
    </w:p>
    <w:p>
      <w:pPr>
        <w:spacing w:before="0" w:after="0" w:lineRule="exact" w:line="580"/>
        <w:ind w:firstLine="640"/>
        <w:jc w:val="both"/>
      </w:pPr>
      <w:r>
        <w:rPr>
          <w:rFonts w:ascii="仿宋_GB2312" w:hAnsi="仿宋_GB2312" w:eastAsia="仿宋_GB2312" w:cs="仿宋_GB2312"/>
          <w:b w:val="0"/>
          <w:sz w:val="32"/>
        </w:rPr>
        <w:t>据绿智楼宇资料，平台侧的对应能力包括地块、楼宇、区域、楼层四级用能监测，照明按“人来灯亮、人走灯灭”控制，空调末端结合负荷预测调节，资料宣称综合降耗15%；承载这些功能的平台，资料载为 M-Link 与 M-PARK。</w:t>
      </w:r>
    </w:p>
    <w:p>
      <w:pPr>
        <w:spacing w:before="0" w:after="0" w:lineRule="exact" w:line="580"/>
        <w:ind w:firstLine="640"/>
        <w:jc w:val="both"/>
      </w:pPr>
      <w:r>
        <w:rPr>
          <w:rFonts w:ascii="仿宋_GB2312" w:hAnsi="仿宋_GB2312" w:eastAsia="仿宋_GB2312" w:cs="仿宋_GB2312"/>
          <w:b w:val="0"/>
          <w:sz w:val="32"/>
        </w:rPr>
        <w:t>这一层实践的意义在于路径本身。它不是把节能做成一次性的设备改造，而是把办公行为数据接进用能控制回路，靠“该用才用”压减无效能耗。对以办公为主体的总部园区，这类措施的可复制性明显高于工业场景的节能技改。</w:t>
      </w:r>
    </w:p>
    <w:p>
      <w:pPr>
        <w:spacing w:before="120" w:after="0" w:lineRule="exact" w:line="580"/>
        <w:ind w:firstLine="640"/>
        <w:jc w:val="left"/>
      </w:pPr>
      <w:r>
        <w:rPr>
          <w:rFonts w:ascii="仿宋_GB2312" w:hAnsi="仿宋_GB2312" w:eastAsia="仿宋_GB2312" w:cs="仿宋_GB2312"/>
          <w:b/>
          <w:sz w:val="32"/>
        </w:rPr>
        <w:t>2. 数据中心余热利用与屋面光伏</w:t>
      </w:r>
    </w:p>
    <w:p>
      <w:pPr>
        <w:spacing w:before="0" w:after="0" w:lineRule="exact" w:line="580"/>
        <w:ind w:firstLine="640"/>
        <w:jc w:val="both"/>
      </w:pPr>
      <w:r>
        <w:rPr>
          <w:rFonts w:ascii="仿宋_GB2312" w:hAnsi="仿宋_GB2312" w:eastAsia="仿宋_GB2312" w:cs="仿宋_GB2312"/>
          <w:b w:val="0"/>
          <w:sz w:val="32"/>
        </w:rPr>
        <w:t>据前述新华网报道，信息港把四号地数据中心的余热回收，经热泵供五号地、六号地办公区使用。这一做法把数据中心从纯用能负荷转为办公区的热源，对同时含办公与数据机房的复合型园区尤为对位。</w:t>
      </w:r>
    </w:p>
    <w:p>
      <w:pPr>
        <w:spacing w:before="0" w:after="0" w:lineRule="exact" w:line="580"/>
        <w:ind w:firstLine="640"/>
        <w:jc w:val="both"/>
      </w:pPr>
      <w:r>
        <w:rPr>
          <w:rFonts w:ascii="仿宋_GB2312" w:hAnsi="仿宋_GB2312" w:eastAsia="仿宋_GB2312" w:cs="仿宋_GB2312"/>
          <w:b w:val="0"/>
          <w:sz w:val="32"/>
        </w:rPr>
        <w:t>据中国网2025年7月4日关于中移园建信息港绿色智能升级的报道，相关措施预计年减少碳排放超623吨（同一报道另有约623.1吨的表述），年节约燃气约30万立方米，年节电约34.86万度。以上为公开报道口径，非本次调研核证结果。</w:t>
      </w:r>
    </w:p>
    <w:p>
      <w:pPr>
        <w:spacing w:before="0" w:after="0" w:lineRule="exact" w:line="580"/>
        <w:ind w:firstLine="640"/>
        <w:jc w:val="both"/>
      </w:pPr>
      <w:r>
        <w:rPr>
          <w:rFonts w:ascii="仿宋_GB2312" w:hAnsi="仿宋_GB2312" w:eastAsia="仿宋_GB2312" w:cs="仿宋_GB2312"/>
          <w:b w:val="0"/>
          <w:sz w:val="32"/>
        </w:rPr>
        <w:t>据新能源网2026年6月5日转载中移园区的信息，2026年5月27日，国际信息港数据中心G13号楼屋面分布式光伏并网，利用屋顶3970平方米，安装450Wp组件1098块，交流侧装机480千瓦，年发电约50万度，报道称每年可减少二氧化碳约280吨，采用“自发自用、余电上网”方式。</w:t>
      </w:r>
    </w:p>
    <w:p>
      <w:pPr>
        <w:spacing w:before="0" w:after="0" w:lineRule="exact" w:line="580"/>
        <w:ind w:firstLine="640"/>
        <w:jc w:val="both"/>
      </w:pPr>
      <w:r>
        <w:rPr>
          <w:rFonts w:ascii="仿宋_GB2312" w:hAnsi="仿宋_GB2312" w:eastAsia="仿宋_GB2312" w:cs="仿宋_GB2312"/>
          <w:b w:val="0"/>
          <w:sz w:val="32"/>
        </w:rPr>
        <w:t>园区地点的公开表述为北京市昌平区，位于中关村国家工程技术创新基地（未来科学城），北六环与京藏（八达岭）高速附近。另有第三方机房类网站给出1322亩、130万平方米等规模数据，因来源较弱且稿中未见官方确认，本报告不作为正式数据采用，仅在此说明其存在。</w:t>
      </w:r>
    </w:p>
    <w:p>
      <w:pPr>
        <w:spacing w:before="0" w:after="0" w:lineRule="exact" w:line="580"/>
        <w:ind w:firstLine="640"/>
        <w:jc w:val="both"/>
      </w:pPr>
      <w:r>
        <w:rPr>
          <w:rFonts w:ascii="仿宋_GB2312" w:hAnsi="仿宋_GB2312" w:eastAsia="仿宋_GB2312" w:cs="仿宋_GB2312"/>
          <w:b w:val="0"/>
          <w:sz w:val="32"/>
        </w:rPr>
        <w:t>需说明，上述内容均来自公开报道，不是本次踏勘实测。调研计划对北京移动信息港一站列出的重点为既有园区节能改造、照明与空调联动、余热利用、智慧电力监控、数据中心节能及运行绩效核证。除运行绩效核证外，其余方向均与公开报道及产品资料所载内容对应，可在实地环节据此核实；运行绩效核证在公开材料中未见，宜在实地环节重点了解。</w:t>
      </w:r>
    </w:p>
    <w:p>
      <w:pPr>
        <w:spacing w:before="120" w:after="0" w:lineRule="exact" w:line="580"/>
        <w:ind w:firstLine="640"/>
        <w:jc w:val="left"/>
      </w:pPr>
      <w:r>
        <w:rPr>
          <w:rFonts w:ascii="仿宋_GB2312" w:hAnsi="仿宋_GB2312" w:eastAsia="仿宋_GB2312" w:cs="仿宋_GB2312"/>
          <w:b/>
          <w:sz w:val="32"/>
        </w:rPr>
        <w:t>3. 绿智楼宇：把既有建筑节能改造做成可复制的产品</w:t>
      </w:r>
    </w:p>
    <w:p>
      <w:pPr>
        <w:spacing w:before="0" w:after="0" w:lineRule="exact" w:line="580"/>
        <w:ind w:firstLine="640"/>
        <w:jc w:val="both"/>
      </w:pPr>
      <w:r>
        <w:rPr>
          <w:rFonts w:ascii="仿宋_GB2312" w:hAnsi="仿宋_GB2312" w:eastAsia="仿宋_GB2312" w:cs="仿宋_GB2312"/>
          <w:b w:val="0"/>
          <w:sz w:val="32"/>
        </w:rPr>
        <w:t>据绿智楼宇资料，该方案源自计划通〔2024〕283号所设的绿智算力、绿智楼宇专项，其做法是把既有楼宇的节能改造拆成评价、诊断、方案三段，形成可复制的产品，而不是逐个项目定制。这套组织方式对本项目的参考价值高于其中的单项技术。</w:t>
      </w:r>
    </w:p>
    <w:p>
      <w:pPr>
        <w:spacing w:before="0" w:after="0" w:lineRule="exact" w:line="580"/>
        <w:ind w:firstLine="640"/>
        <w:jc w:val="both"/>
      </w:pPr>
      <w:r>
        <w:rPr>
          <w:rFonts w:ascii="仿宋_GB2312" w:hAnsi="仿宋_GB2312" w:eastAsia="仿宋_GB2312" w:cs="仿宋_GB2312"/>
          <w:b w:val="0"/>
          <w:sz w:val="32"/>
        </w:rPr>
        <w:t>评价环节，资料载有《中国移动绿智楼宇评价标准（试行）》，分低能耗、零碳排、智能化三个方面。低能耗一档按《民用建筑能耗标准》的“引导值”取值；零碳排以绿电交易为主、可再生能源发电为辅，核算方面资料提到发改能源〔2024〕1123号中的绿电交易专章；能效方面资料称优于发改环资规〔2024〕127号的要求。</w:t>
      </w:r>
    </w:p>
    <w:p>
      <w:pPr>
        <w:spacing w:before="0" w:after="0" w:lineRule="exact" w:line="580"/>
        <w:ind w:firstLine="640"/>
        <w:jc w:val="both"/>
      </w:pPr>
      <w:r>
        <w:rPr>
          <w:rFonts w:ascii="仿宋_GB2312" w:hAnsi="仿宋_GB2312" w:eastAsia="仿宋_GB2312" w:cs="仿宋_GB2312"/>
          <w:b w:val="0"/>
          <w:sz w:val="32"/>
        </w:rPr>
        <w:t>诊断环节，资料按三大方向、五大维度、64项指标对楼宇打分，并给出分档处置规则，即得分不高于60应改造、60至80宜改造、不低于80可不改造。这一规则的意义在于把“是否值得改”变成可计算的判断，而不是凭经验决定。</w:t>
      </w:r>
    </w:p>
    <w:p>
      <w:pPr>
        <w:spacing w:before="0" w:after="0" w:lineRule="exact" w:line="580"/>
        <w:ind w:firstLine="640"/>
        <w:jc w:val="both"/>
      </w:pPr>
      <w:r>
        <w:rPr>
          <w:rFonts w:ascii="仿宋_GB2312" w:hAnsi="仿宋_GB2312" w:eastAsia="仿宋_GB2312" w:cs="仿宋_GB2312"/>
          <w:b w:val="0"/>
          <w:sz w:val="32"/>
        </w:rPr>
        <w:t>方案环节，资料按1+3+18+N组织方案库，并按三档配置：低档为照明加智能控制，对应能耗标准的约束值；中档为高效冷热源加群控，对应引导值；高档为全面智能化加可再生能源，对应优于引导值。资料宣称的节电幅度为照明15%至25%、冷热源10%至20%、综合15%至25%。以上均为资料宣称，未经本次核证。</w:t>
      </w:r>
    </w:p>
    <w:p>
      <w:pPr>
        <w:spacing w:before="120" w:after="0" w:lineRule="exact" w:line="580"/>
        <w:ind w:firstLine="640"/>
        <w:jc w:val="left"/>
      </w:pPr>
      <w:r>
        <w:rPr>
          <w:rFonts w:ascii="仿宋_GB2312" w:hAnsi="仿宋_GB2312" w:eastAsia="仿宋_GB2312" w:cs="仿宋_GB2312"/>
          <w:b/>
          <w:sz w:val="32"/>
        </w:rPr>
        <w:t>4. 信息港案例的资料自称成效</w:t>
      </w:r>
    </w:p>
    <w:p>
      <w:pPr>
        <w:spacing w:before="0" w:after="0" w:lineRule="exact" w:line="580"/>
        <w:ind w:firstLine="640"/>
        <w:jc w:val="both"/>
      </w:pPr>
      <w:r>
        <w:rPr>
          <w:rFonts w:ascii="仿宋_GB2312" w:hAnsi="仿宋_GB2312" w:eastAsia="仿宋_GB2312" w:cs="仿宋_GB2312"/>
          <w:b w:val="0"/>
          <w:sz w:val="32"/>
        </w:rPr>
        <w:t>以下数字均为绿智楼宇资料自称，不是本项目实测，也不是本次调研核证结果。</w:t>
      </w:r>
    </w:p>
    <w:p>
      <w:pPr>
        <w:spacing w:before="0" w:after="0" w:lineRule="exact" w:line="580"/>
        <w:ind w:firstLine="640"/>
        <w:jc w:val="both"/>
      </w:pPr>
      <w:r>
        <w:rPr>
          <w:rFonts w:ascii="仿宋_GB2312" w:hAnsi="仿宋_GB2312" w:eastAsia="仿宋_GB2312" w:cs="仿宋_GB2312"/>
          <w:b w:val="0"/>
          <w:sz w:val="32"/>
        </w:rPr>
        <w:t>单点改造方面，资料称G61楼公共区域2600平方米单点改造，每天节电115度，每年节省2.57万元；另载会议室场景20平方米投资2442元、回收期约1年10个月，其投资回收测算表按电费0.9元每度计算。</w:t>
      </w:r>
    </w:p>
    <w:p>
      <w:pPr>
        <w:spacing w:before="0" w:after="0" w:lineRule="exact" w:line="580"/>
        <w:ind w:firstLine="640"/>
        <w:jc w:val="both"/>
      </w:pPr>
      <w:r>
        <w:rPr>
          <w:rFonts w:ascii="仿宋_GB2312" w:hAnsi="仿宋_GB2312" w:eastAsia="仿宋_GB2312" w:cs="仿宋_GB2312"/>
          <w:b w:val="0"/>
          <w:sz w:val="32"/>
        </w:rPr>
        <w:t>楼宇整体方面，资料称G61楼作为绿智楼宇，建筑面积50616平方米，2024年投运，改造投资133.2万元，节电率15.9%；该楼2024年能耗为50.54千瓦时每平方米每年，对照引导值55，即已优于引导值。</w:t>
      </w:r>
    </w:p>
    <w:p>
      <w:pPr>
        <w:spacing w:before="0" w:after="0" w:lineRule="exact" w:line="580"/>
        <w:ind w:firstLine="640"/>
        <w:jc w:val="both"/>
      </w:pPr>
      <w:r>
        <w:rPr>
          <w:rFonts w:ascii="仿宋_GB2312" w:hAnsi="仿宋_GB2312" w:eastAsia="仿宋_GB2312" w:cs="仿宋_GB2312"/>
          <w:b w:val="0"/>
          <w:sz w:val="32"/>
        </w:rPr>
        <w:t>园区级方面，资料称2号地、3号地、5号地、6号地的楼宇自控改造年降耗15%、节省97.2万元，资料注明该组数据为预测值而非实测值。</w:t>
      </w:r>
    </w:p>
    <w:p>
      <w:pPr>
        <w:spacing w:before="120" w:after="0" w:lineRule="exact" w:line="580"/>
        <w:ind w:firstLine="640"/>
        <w:jc w:val="left"/>
      </w:pPr>
      <w:r>
        <w:rPr>
          <w:rFonts w:ascii="仿宋_GB2312" w:hAnsi="仿宋_GB2312" w:eastAsia="仿宋_GB2312" w:cs="仿宋_GB2312"/>
          <w:b/>
          <w:sz w:val="32"/>
        </w:rPr>
        <w:t>5. M-Park：园区运营与产品能力</w:t>
      </w:r>
    </w:p>
    <w:p>
      <w:pPr>
        <w:spacing w:before="0" w:after="0" w:lineRule="exact" w:line="580"/>
        <w:ind w:firstLine="640"/>
        <w:jc w:val="both"/>
      </w:pPr>
      <w:r>
        <w:rPr>
          <w:rFonts w:ascii="仿宋_GB2312" w:hAnsi="仿宋_GB2312" w:eastAsia="仿宋_GB2312" w:cs="仿宋_GB2312"/>
          <w:b w:val="0"/>
          <w:sz w:val="32"/>
        </w:rPr>
        <w:t>据M-Park资料，中移园建2010年设立信息港中心，2021年成为独立法人，一套人马、两个主体，业务覆盖代建、园区运营、数据中心运维和数智产品。其产品定位从园区3.0向园区4.0演进，即从数据服务转向AI赋能。</w:t>
      </w:r>
    </w:p>
    <w:p>
      <w:pPr>
        <w:spacing w:before="0" w:after="0" w:lineRule="exact" w:line="580"/>
        <w:ind w:firstLine="640"/>
        <w:jc w:val="both"/>
      </w:pPr>
      <w:r>
        <w:rPr>
          <w:rFonts w:ascii="仿宋_GB2312" w:hAnsi="仿宋_GB2312" w:eastAsia="仿宋_GB2312" w:cs="仿宋_GB2312"/>
          <w:b w:val="0"/>
          <w:sz w:val="32"/>
        </w:rPr>
        <w:t>资料列出的能力项中，与本项目相关的有三类：一是线上服务类，含餐厅、场馆与洗车预约、活动、商城等办公生活场景；二是设备管理类，含设备全生命周期管理、智能巡检、工单联动，资料载有38项标准化功能与2项信息港定制功能；三是能耗管理类，资料载有16项标准化功能，并采用前述四级采集架构。</w:t>
      </w:r>
    </w:p>
    <w:p>
      <w:pPr>
        <w:spacing w:before="0" w:after="0" w:lineRule="exact" w:line="580"/>
        <w:ind w:firstLine="640"/>
        <w:jc w:val="both"/>
      </w:pPr>
      <w:r>
        <w:rPr>
          <w:rFonts w:ascii="仿宋_GB2312" w:hAnsi="仿宋_GB2312" w:eastAsia="仿宋_GB2312" w:cs="仿宋_GB2312"/>
          <w:b w:val="0"/>
          <w:sz w:val="32"/>
        </w:rPr>
        <w:t>需说明，上述能力项是对方的产品清单，不代表本项目已建或将建同类系统，本报告仅作为可对标的能力范围记录。</w:t>
      </w:r>
    </w:p>
    <w:p>
      <w:pPr>
        <w:spacing w:before="120" w:after="0" w:lineRule="exact" w:line="580"/>
        <w:ind w:firstLine="640"/>
        <w:jc w:val="left"/>
      </w:pPr>
      <w:r>
        <w:rPr>
          <w:rFonts w:ascii="仿宋_GB2312" w:hAnsi="仿宋_GB2312" w:eastAsia="仿宋_GB2312" w:cs="仿宋_GB2312"/>
          <w:b/>
          <w:sz w:val="32"/>
        </w:rPr>
        <w:t>6. 认证口径的回扣与系统部署</w:t>
      </w:r>
    </w:p>
    <w:p>
      <w:pPr>
        <w:spacing w:before="0" w:after="0" w:lineRule="exact" w:line="580"/>
        <w:ind w:firstLine="640"/>
        <w:jc w:val="both"/>
      </w:pPr>
      <w:r>
        <w:rPr>
          <w:rFonts w:ascii="仿宋_GB2312" w:hAnsi="仿宋_GB2312" w:eastAsia="仿宋_GB2312" w:cs="仿宋_GB2312"/>
          <w:b w:val="0"/>
          <w:sz w:val="32"/>
        </w:rPr>
        <w:t>8月20日交流纪要中曾出现“引导值”与“引领值”并存的问题，两处“基准值”一致而配对术语不一。绿智楼宇资料对此提供了线索：该资料的低能耗一档明确按《民用建筑能耗标准》的“引导值”取值，且在方案分档中反复使用约束值、引导值、优于引导值三级表述。据此判断，8月20日纪要小结中的“引领值”应为记录笔误，对方口径实为“引导值”。此项判断依据中移产品资料得出，仍宜在后续沟通中书面确认后再行定稿。</w:t>
      </w:r>
    </w:p>
    <w:p>
      <w:pPr>
        <w:spacing w:before="0" w:after="0" w:lineRule="exact" w:line="580"/>
        <w:ind w:firstLine="640"/>
        <w:jc w:val="both"/>
      </w:pPr>
      <w:r>
        <w:rPr>
          <w:rFonts w:ascii="仿宋_GB2312" w:hAnsi="仿宋_GB2312" w:eastAsia="仿宋_GB2312" w:cs="仿宋_GB2312"/>
          <w:b w:val="0"/>
          <w:sz w:val="32"/>
        </w:rPr>
        <w:t>据8月20日交流纪要，碳中和认证并非企业自定，而是严格依据国家给出的数值口径进行考核与颁发。实现碳中和的手段，纪要列举三项：一是绿电消耗，通过采购绿电抵消部分碳排放；二是楼宇改造，对现有建筑进行节能改造以降低能耗；三是光伏应用，部署光伏发电设施以提供清洁能源。这三项与绿智楼宇资料中零碳排以绿电交易为主、可再生发电为辅的表述方向一致。</w:t>
      </w:r>
    </w:p>
    <w:p>
      <w:pPr>
        <w:spacing w:before="0" w:after="0" w:lineRule="exact" w:line="580"/>
        <w:ind w:firstLine="640"/>
        <w:jc w:val="both"/>
      </w:pPr>
      <w:r>
        <w:rPr>
          <w:rFonts w:ascii="仿宋_GB2312" w:hAnsi="仿宋_GB2312" w:eastAsia="仿宋_GB2312" w:cs="仿宋_GB2312"/>
          <w:b w:val="0"/>
          <w:sz w:val="32"/>
        </w:rPr>
        <w:t>系统方面，纪要表述整套系统依赖物联网系统与算法系统，并由服务器提供核心算力支撑。部署上，目前主流模式是采用中国移动云集中部署，用户通过开通账号直接使用系统功能；针对有个性化需求的客户，支持多户独立部署于自有云或独立服务器上。面向南网等大客户，支持将AI大模型在本地环境进行私有化部署，但本地部署后必须根据客户自身的设备实际情况对模型进行重新训练与适配。</w:t>
      </w:r>
    </w:p>
    <w:p>
      <w:pPr>
        <w:spacing w:before="0" w:after="0" w:lineRule="exact" w:line="580"/>
        <w:ind w:firstLine="640"/>
        <w:jc w:val="both"/>
      </w:pPr>
      <w:r>
        <w:rPr>
          <w:rFonts w:ascii="仿宋_GB2312" w:hAnsi="仿宋_GB2312" w:eastAsia="仿宋_GB2312" w:cs="仿宋_GB2312"/>
          <w:b w:val="0"/>
          <w:sz w:val="32"/>
        </w:rPr>
        <w:t>该场交流所载内容集中于技术与方案层面，稿中未见商务条件、报价、合作意向或任何一方的承诺。</w:t>
      </w:r>
    </w:p>
    <w:p>
      <w:pPr>
        <w:spacing w:before="160" w:after="0" w:lineRule="exact" w:line="580"/>
        <w:ind w:firstLine="640"/>
        <w:jc w:val="left"/>
      </w:pPr>
      <w:r>
        <w:rPr>
          <w:rFonts w:ascii="楷体_GB2312" w:hAnsi="楷体_GB2312" w:eastAsia="楷体_GB2312" w:cs="楷体_GB2312"/>
          <w:b w:val="0"/>
          <w:sz w:val="32"/>
        </w:rPr>
        <w:t>（三）清华大学：碳中和路径、现场约束与预可研节奏</w:t>
      </w:r>
    </w:p>
    <w:p>
      <w:pPr>
        <w:spacing w:before="0" w:after="0" w:lineRule="exact" w:line="580"/>
        <w:ind w:firstLine="640"/>
        <w:jc w:val="both"/>
      </w:pPr>
      <w:r>
        <w:rPr>
          <w:rFonts w:ascii="仿宋_GB2312" w:hAnsi="仿宋_GB2312" w:eastAsia="仿宋_GB2312" w:cs="仿宋_GB2312"/>
          <w:b w:val="0"/>
          <w:sz w:val="32"/>
        </w:rPr>
        <w:t>2026年8月21日9时02分开展联合研讨，主题为南方电网总部园区碳中和与综合能源系统升级路径。会谈纪要系录音经工具整理，说话人未具名，现场提到杨教授、杨院长。本节只取会中可复核的技术判断与工作安排，未引用未具名的一般性讨论、不确定称谓与口语表述；会中口述的数字一律标注，不作为已核证结论。</w:t>
      </w:r>
    </w:p>
    <w:p>
      <w:pPr>
        <w:spacing w:before="120" w:after="0" w:lineRule="exact" w:line="580"/>
        <w:ind w:firstLine="640"/>
        <w:jc w:val="left"/>
      </w:pPr>
      <w:r>
        <w:rPr>
          <w:rFonts w:ascii="仿宋_GB2312" w:hAnsi="仿宋_GB2312" w:eastAsia="仿宋_GB2312" w:cs="仿宋_GB2312"/>
          <w:b/>
          <w:sz w:val="32"/>
        </w:rPr>
        <w:t>1. 目标口径：按碳中和定位，不机械套零碳</w:t>
      </w:r>
    </w:p>
    <w:p>
      <w:pPr>
        <w:spacing w:before="0" w:after="0" w:lineRule="exact" w:line="580"/>
        <w:ind w:firstLine="640"/>
        <w:jc w:val="both"/>
      </w:pPr>
      <w:r>
        <w:rPr>
          <w:rFonts w:ascii="仿宋_GB2312" w:hAnsi="仿宋_GB2312" w:eastAsia="仿宋_GB2312" w:cs="仿宋_GB2312"/>
          <w:b w:val="0"/>
          <w:sz w:val="32"/>
        </w:rPr>
        <w:t>会中主张本项目按碳中和园区定位，不机械套用零碳，并强调须先区分低碳、近零碳、碳中和三个层级，再谈指标。这一意见与建科院侧提供的量化台阶并不冲突，前者讲的是目标定位的选择，后者讲的是认证口径的门槛，二者的对读见本报告第三章第一节。</w:t>
      </w:r>
    </w:p>
    <w:p>
      <w:pPr>
        <w:spacing w:before="0" w:after="0" w:lineRule="exact" w:line="580"/>
        <w:ind w:firstLine="640"/>
        <w:jc w:val="both"/>
      </w:pPr>
      <w:r>
        <w:rPr>
          <w:rFonts w:ascii="仿宋_GB2312" w:hAnsi="仿宋_GB2312" w:eastAsia="仿宋_GB2312" w:cs="仿宋_GB2312"/>
          <w:b w:val="0"/>
          <w:sz w:val="32"/>
        </w:rPr>
        <w:t>关于当前阶段的任务，会中明确是在10月前向总部领导提交一份框架性、结果导向的预可行性方案，用于争取立项，而不是立刻进入深度实施。这一节奏是本阶段全部工作的约束条件。</w:t>
      </w:r>
    </w:p>
    <w:p>
      <w:pPr>
        <w:spacing w:before="120" w:after="0" w:lineRule="exact" w:line="580"/>
        <w:ind w:firstLine="640"/>
        <w:jc w:val="left"/>
      </w:pPr>
      <w:r>
        <w:rPr>
          <w:rFonts w:ascii="仿宋_GB2312" w:hAnsi="仿宋_GB2312" w:eastAsia="仿宋_GB2312" w:cs="仿宋_GB2312"/>
          <w:b/>
          <w:sz w:val="32"/>
        </w:rPr>
        <w:t>2. 现场约束</w:t>
      </w:r>
    </w:p>
    <w:p>
      <w:pPr>
        <w:spacing w:before="0" w:after="0" w:lineRule="exact" w:line="580"/>
        <w:ind w:firstLine="640"/>
        <w:jc w:val="both"/>
      </w:pPr>
      <w:r>
        <w:rPr>
          <w:rFonts w:ascii="仿宋_GB2312" w:hAnsi="仿宋_GB2312" w:eastAsia="仿宋_GB2312" w:cs="仿宋_GB2312"/>
          <w:b w:val="0"/>
          <w:sz w:val="32"/>
        </w:rPr>
        <w:t>会中提出的约束条件是本次调研获得的最具项目针对性的信息，共五项。</w:t>
      </w:r>
    </w:p>
    <w:p>
      <w:pPr>
        <w:spacing w:before="0" w:after="0" w:lineRule="exact" w:line="580"/>
        <w:ind w:firstLine="640"/>
        <w:jc w:val="both"/>
      </w:pPr>
      <w:r>
        <w:rPr>
          <w:rFonts w:ascii="仿宋_GB2312" w:hAnsi="仿宋_GB2312" w:eastAsia="仿宋_GB2312" w:cs="仿宋_GB2312"/>
          <w:b w:val="0"/>
          <w:sz w:val="32"/>
        </w:rPr>
        <w:t>一是既有建筑的历史风貌与外立面不可大改，这直接限制了围护结构改造与立面光伏的可行范围。</w:t>
      </w:r>
    </w:p>
    <w:p>
      <w:pPr>
        <w:spacing w:before="0" w:after="0" w:lineRule="exact" w:line="580"/>
        <w:ind w:firstLine="640"/>
        <w:jc w:val="both"/>
      </w:pPr>
      <w:r>
        <w:rPr>
          <w:rFonts w:ascii="仿宋_GB2312" w:hAnsi="仿宋_GB2312" w:eastAsia="仿宋_GB2312" w:cs="仿宋_GB2312"/>
          <w:b w:val="0"/>
          <w:sz w:val="32"/>
        </w:rPr>
        <w:t>二是屋顶光伏空间有限，且立面目前尚未布置光伏。</w:t>
      </w:r>
    </w:p>
    <w:p>
      <w:pPr>
        <w:spacing w:before="0" w:after="0" w:lineRule="exact" w:line="580"/>
        <w:ind w:firstLine="640"/>
        <w:jc w:val="both"/>
      </w:pPr>
      <w:r>
        <w:rPr>
          <w:rFonts w:ascii="仿宋_GB2312" w:hAnsi="仿宋_GB2312" w:eastAsia="仿宋_GB2312" w:cs="仿宋_GB2312"/>
          <w:b w:val="0"/>
          <w:sz w:val="32"/>
        </w:rPr>
        <w:t>三是广州气候条件下供冷负荷大，冷站与空调系统是用能重心。</w:t>
      </w:r>
    </w:p>
    <w:p>
      <w:pPr>
        <w:spacing w:before="0" w:after="0" w:lineRule="exact" w:line="580"/>
        <w:ind w:firstLine="640"/>
        <w:jc w:val="both"/>
      </w:pPr>
      <w:r>
        <w:rPr>
          <w:rFonts w:ascii="仿宋_GB2312" w:hAnsi="仿宋_GB2312" w:eastAsia="仿宋_GB2312" w:cs="仿宋_GB2312"/>
          <w:b w:val="0"/>
          <w:sz w:val="32"/>
        </w:rPr>
        <w:t>四是园区约5000人持续办公，不具备成片停机的条件，不能照搬清华校园利用暑假断电改造的做法。</w:t>
      </w:r>
    </w:p>
    <w:p>
      <w:pPr>
        <w:spacing w:before="0" w:after="0" w:lineRule="exact" w:line="580"/>
        <w:ind w:firstLine="640"/>
        <w:jc w:val="both"/>
      </w:pPr>
      <w:r>
        <w:rPr>
          <w:rFonts w:ascii="仿宋_GB2312" w:hAnsi="仿宋_GB2312" w:eastAsia="仿宋_GB2312" w:cs="仿宋_GB2312"/>
          <w:b w:val="0"/>
          <w:sz w:val="32"/>
        </w:rPr>
        <w:t>五是主要设备2016年投运，采购约在2014年至2015年，运行已满十年但尚未到报废年限，即改造窗口存在但设备更新的理由尚不充分。</w:t>
      </w:r>
    </w:p>
    <w:p>
      <w:pPr>
        <w:spacing w:before="120" w:after="0" w:lineRule="exact" w:line="580"/>
        <w:ind w:firstLine="640"/>
        <w:jc w:val="left"/>
      </w:pPr>
      <w:r>
        <w:rPr>
          <w:rFonts w:ascii="仿宋_GB2312" w:hAnsi="仿宋_GB2312" w:eastAsia="仿宋_GB2312" w:cs="仿宋_GB2312"/>
          <w:b/>
          <w:sz w:val="32"/>
        </w:rPr>
        <w:t>3. 用能口径（会中口述）</w:t>
      </w:r>
    </w:p>
    <w:p>
      <w:pPr>
        <w:spacing w:before="0" w:after="0" w:lineRule="exact" w:line="580"/>
        <w:ind w:firstLine="640"/>
        <w:jc w:val="both"/>
      </w:pPr>
      <w:r>
        <w:rPr>
          <w:rFonts w:ascii="仿宋_GB2312" w:hAnsi="仿宋_GB2312" w:eastAsia="仿宋_GB2312" w:cs="仿宋_GB2312"/>
          <w:b w:val="0"/>
          <w:sz w:val="32"/>
        </w:rPr>
        <w:t>会中口述的用电量存在两种并存口径，本报告并列记录，不择一采用。</w:t>
      </w:r>
    </w:p>
    <w:p>
      <w:pPr>
        <w:spacing w:before="0" w:after="0" w:lineRule="exact" w:line="580"/>
        <w:ind w:firstLine="640"/>
        <w:jc w:val="both"/>
      </w:pPr>
      <w:r>
        <w:rPr>
          <w:rFonts w:ascii="仿宋_GB2312" w:hAnsi="仿宋_GB2312" w:eastAsia="仿宋_GB2312" w:cs="仿宋_GB2312"/>
          <w:b w:val="0"/>
          <w:sz w:val="32"/>
        </w:rPr>
        <w:t>一种口述表述为，园区年用电约7000万度，其中空调与办公建筑部分约3500万度，并附有“不含数据中心”的限定。另一种口述表述为，供冷约7000万度、其中一半用于空调。两种口径的分母是否相同、数据中心是否计入，会中未予澄清。</w:t>
      </w:r>
    </w:p>
    <w:p>
      <w:pPr>
        <w:spacing w:before="0" w:after="0" w:lineRule="exact" w:line="580"/>
        <w:ind w:firstLine="640"/>
        <w:jc w:val="both"/>
      </w:pPr>
      <w:r>
        <w:rPr>
          <w:rFonts w:ascii="仿宋_GB2312" w:hAnsi="仿宋_GB2312" w:eastAsia="仿宋_GB2312" w:cs="仿宋_GB2312"/>
          <w:b w:val="0"/>
          <w:sz w:val="32"/>
        </w:rPr>
        <w:t>光伏方面，会中口述现状装机约2点几兆瓦，不足3兆瓦。</w:t>
      </w:r>
    </w:p>
    <w:p>
      <w:pPr>
        <w:spacing w:before="0" w:after="0" w:lineRule="exact" w:line="580"/>
        <w:ind w:firstLine="640"/>
        <w:jc w:val="both"/>
      </w:pPr>
      <w:r>
        <w:rPr>
          <w:rFonts w:ascii="仿宋_GB2312" w:hAnsi="仿宋_GB2312" w:eastAsia="仿宋_GB2312" w:cs="仿宋_GB2312"/>
          <w:b w:val="0"/>
          <w:sz w:val="32"/>
        </w:rPr>
        <w:t>以上均为会中口述的大数，须待园区平台数据核验后方可作为测算基础。</w:t>
      </w:r>
    </w:p>
    <w:p>
      <w:pPr>
        <w:spacing w:before="120" w:after="0" w:lineRule="exact" w:line="580"/>
        <w:ind w:firstLine="640"/>
        <w:jc w:val="left"/>
      </w:pPr>
      <w:r>
        <w:rPr>
          <w:rFonts w:ascii="仿宋_GB2312" w:hAnsi="仿宋_GB2312" w:eastAsia="仿宋_GB2312" w:cs="仿宋_GB2312"/>
          <w:b/>
          <w:sz w:val="32"/>
        </w:rPr>
        <w:t>4. 冰蓄冷与电价机制的变化</w:t>
      </w:r>
    </w:p>
    <w:p>
      <w:pPr>
        <w:spacing w:before="0" w:after="0" w:lineRule="exact" w:line="580"/>
        <w:ind w:firstLine="640"/>
        <w:jc w:val="both"/>
      </w:pPr>
      <w:r>
        <w:rPr>
          <w:rFonts w:ascii="仿宋_GB2312" w:hAnsi="仿宋_GB2312" w:eastAsia="仿宋_GB2312" w:cs="仿宋_GB2312"/>
          <w:b w:val="0"/>
          <w:sz w:val="32"/>
        </w:rPr>
        <w:t>这是本次会谈中时效性最强的一项提示。</w:t>
      </w:r>
    </w:p>
    <w:p>
      <w:pPr>
        <w:spacing w:before="0" w:after="0" w:lineRule="exact" w:line="580"/>
        <w:ind w:firstLine="640"/>
        <w:jc w:val="both"/>
      </w:pPr>
      <w:r>
        <w:rPr>
          <w:rFonts w:ascii="仿宋_GB2312" w:hAnsi="仿宋_GB2312" w:eastAsia="仿宋_GB2312" w:cs="仿宋_GB2312"/>
          <w:b w:val="0"/>
          <w:sz w:val="32"/>
        </w:rPr>
        <w:t>会中说明，园区现有冰蓄冷系统主机在0℃以下运行，会中称测算成本约0.08元每度，其经济性建立在固定低谷时段电价之上，即当年的逻辑是靠峰谷价差省钱。</w:t>
      </w:r>
    </w:p>
    <w:p>
      <w:pPr>
        <w:spacing w:before="0" w:after="0" w:lineRule="exact" w:line="580"/>
        <w:ind w:firstLine="640"/>
        <w:jc w:val="both"/>
      </w:pPr>
      <w:r>
        <w:rPr>
          <w:rFonts w:ascii="仿宋_GB2312" w:hAnsi="仿宋_GB2312" w:eastAsia="仿宋_GB2312" w:cs="仿宋_GB2312"/>
          <w:b w:val="0"/>
          <w:sz w:val="32"/>
        </w:rPr>
        <w:t>但机制已发生变化。会中提到，国家已取消固定低谷时段，广东的实施细则预计在1至2年内落地，届时将转向约15分钟级的实时电价。这意味着现有蓄冷控制策略若不与电力交易系统对接，原有的省钱逻辑将不再成立。</w:t>
      </w:r>
    </w:p>
    <w:p>
      <w:pPr>
        <w:spacing w:before="120" w:after="0" w:lineRule="exact" w:line="580"/>
        <w:ind w:firstLine="640"/>
        <w:jc w:val="left"/>
      </w:pPr>
      <w:r>
        <w:rPr>
          <w:rFonts w:ascii="仿宋_GB2312" w:hAnsi="仿宋_GB2312" w:eastAsia="仿宋_GB2312" w:cs="仿宋_GB2312"/>
          <w:b/>
          <w:sz w:val="32"/>
        </w:rPr>
        <w:t>5. 技术路径与推进方式</w:t>
      </w:r>
    </w:p>
    <w:p>
      <w:pPr>
        <w:spacing w:before="0" w:after="0" w:lineRule="exact" w:line="580"/>
        <w:ind w:firstLine="640"/>
        <w:jc w:val="both"/>
      </w:pPr>
      <w:r>
        <w:rPr>
          <w:rFonts w:ascii="仿宋_GB2312" w:hAnsi="仿宋_GB2312" w:eastAsia="仿宋_GB2312" w:cs="仿宋_GB2312"/>
          <w:b w:val="0"/>
          <w:sz w:val="32"/>
        </w:rPr>
        <w:t>会中提出的技术路径分三条。一是能源系统优化，以空调系统与水系统的深度诊断为先。二是数字化管控。三是建筑美学与微环境改善，含公共空间、半开放空间以及植被与通风的组织。</w:t>
      </w:r>
    </w:p>
    <w:p>
      <w:pPr>
        <w:spacing w:before="0" w:after="0" w:lineRule="exact" w:line="580"/>
        <w:ind w:firstLine="640"/>
        <w:jc w:val="both"/>
      </w:pPr>
      <w:r>
        <w:rPr>
          <w:rFonts w:ascii="仿宋_GB2312" w:hAnsi="仿宋_GB2312" w:eastAsia="仿宋_GB2312" w:cs="仿宋_GB2312"/>
          <w:b w:val="0"/>
          <w:sz w:val="32"/>
        </w:rPr>
        <w:t>推进方式上，会中提出采用园中园、分区试点的办法，并提到1号楼后空地可作为试点场地。会中还提到清华方面可利用卫星图像对园区屋顶与立面的光伏资源作快速评估。</w:t>
      </w:r>
    </w:p>
    <w:p>
      <w:pPr>
        <w:spacing w:before="120" w:after="0" w:lineRule="exact" w:line="580"/>
        <w:ind w:firstLine="640"/>
        <w:jc w:val="left"/>
      </w:pPr>
      <w:r>
        <w:rPr>
          <w:rFonts w:ascii="仿宋_GB2312" w:hAnsi="仿宋_GB2312" w:eastAsia="仿宋_GB2312" w:cs="仿宋_GB2312"/>
          <w:b/>
          <w:sz w:val="32"/>
        </w:rPr>
        <w:t>6. 节能潜力（会中估算）</w:t>
      </w:r>
    </w:p>
    <w:p>
      <w:pPr>
        <w:spacing w:before="0" w:after="0" w:lineRule="exact" w:line="580"/>
        <w:ind w:firstLine="640"/>
        <w:jc w:val="both"/>
      </w:pPr>
      <w:r>
        <w:rPr>
          <w:rFonts w:ascii="仿宋_GB2312" w:hAnsi="仿宋_GB2312" w:eastAsia="仿宋_GB2312" w:cs="仿宋_GB2312"/>
          <w:b w:val="0"/>
          <w:sz w:val="32"/>
        </w:rPr>
        <w:t>会中估计，办公科研用房在不更换主机的前提下可节电10%至20%，对应年节电约500万至600万度、电费约500万至700万元。</w:t>
      </w:r>
    </w:p>
    <w:p>
      <w:pPr>
        <w:spacing w:before="0" w:after="0" w:lineRule="exact" w:line="580"/>
        <w:ind w:firstLine="640"/>
        <w:jc w:val="both"/>
      </w:pPr>
      <w:r>
        <w:rPr>
          <w:rFonts w:ascii="仿宋_GB2312" w:hAnsi="仿宋_GB2312" w:eastAsia="仿宋_GB2312" w:cs="仿宋_GB2312"/>
          <w:b w:val="0"/>
          <w:sz w:val="32"/>
        </w:rPr>
        <w:t>需说明三点：该估算为会中口头给出，未经计算书或实测支撑；纪要摘要与后文的数字略有出入，本报告按区间保留；该估算的分母取自前述存在两种口径的用电量，故其绝对值同样待核。本报告不将其视为已验收或已确认的节能量。</w:t>
      </w:r>
    </w:p>
    <w:p>
      <w:pPr>
        <w:spacing w:before="120" w:after="0" w:lineRule="exact" w:line="580"/>
        <w:ind w:firstLine="640"/>
        <w:jc w:val="left"/>
      </w:pPr>
      <w:r>
        <w:rPr>
          <w:rFonts w:ascii="仿宋_GB2312" w:hAnsi="仿宋_GB2312" w:eastAsia="仿宋_GB2312" w:cs="仿宋_GB2312"/>
          <w:b/>
          <w:sz w:val="32"/>
        </w:rPr>
        <w:t>7. 清华方面的能力与角色</w:t>
      </w:r>
    </w:p>
    <w:p>
      <w:pPr>
        <w:spacing w:before="0" w:after="0" w:lineRule="exact" w:line="580"/>
        <w:ind w:firstLine="640"/>
        <w:jc w:val="both"/>
      </w:pPr>
      <w:r>
        <w:rPr>
          <w:rFonts w:ascii="仿宋_GB2312" w:hAnsi="仿宋_GB2312" w:eastAsia="仿宋_GB2312" w:cs="仿宋_GB2312"/>
          <w:b w:val="0"/>
          <w:sz w:val="32"/>
        </w:rPr>
        <w:t>会中介绍的力量包括建筑节能中心20余位教师、清华建筑设计院，以及可组织学生在暑期开展实测。</w:t>
      </w:r>
    </w:p>
    <w:p>
      <w:pPr>
        <w:spacing w:before="0" w:after="0" w:lineRule="exact" w:line="580"/>
        <w:ind w:firstLine="640"/>
        <w:jc w:val="both"/>
      </w:pPr>
      <w:r>
        <w:rPr>
          <w:rFonts w:ascii="仿宋_GB2312" w:hAnsi="仿宋_GB2312" w:eastAsia="仿宋_GB2312" w:cs="仿宋_GB2312"/>
          <w:b w:val="0"/>
          <w:sz w:val="32"/>
        </w:rPr>
        <w:t>关于角色，会中表示清华方面可承担总指挥、集大成的角色，把建科院的认证能力、中国移动的智慧化能力等拼图整合起来。杨院长在会中称清华是南网最高档的引进专家顾问。以上均为会中自述，本报告照录，未作评估。</w:t>
      </w:r>
    </w:p>
    <w:p>
      <w:pPr>
        <w:spacing w:before="120" w:after="0" w:lineRule="exact" w:line="580"/>
        <w:ind w:firstLine="640"/>
        <w:jc w:val="left"/>
      </w:pPr>
      <w:r>
        <w:rPr>
          <w:rFonts w:ascii="仿宋_GB2312" w:hAnsi="仿宋_GB2312" w:eastAsia="仿宋_GB2312" w:cs="仿宋_GB2312"/>
          <w:b/>
          <w:sz w:val="32"/>
        </w:rPr>
        <w:t>8. 合作方式、合规门槛与会中形成的工作安排</w:t>
      </w:r>
    </w:p>
    <w:p>
      <w:pPr>
        <w:spacing w:before="0" w:after="0" w:lineRule="exact" w:line="580"/>
        <w:ind w:firstLine="640"/>
        <w:jc w:val="both"/>
      </w:pPr>
      <w:r>
        <w:rPr>
          <w:rFonts w:ascii="仿宋_GB2312" w:hAnsi="仿宋_GB2312" w:eastAsia="仿宋_GB2312" w:cs="仿宋_GB2312"/>
          <w:b w:val="0"/>
          <w:sz w:val="32"/>
        </w:rPr>
        <w:t>会中明确，清华方面提供任何方案均须以合同为前提。首阶段建议按技术服务或预可行性研究立项，产出两项成果：一是框架性方案，二是可公开的宣传材料包，内容限于团队情况、案例与技术路径，不含尚未发布的核心内容。</w:t>
      </w:r>
    </w:p>
    <w:p>
      <w:pPr>
        <w:spacing w:before="0" w:after="0" w:lineRule="exact" w:line="580"/>
        <w:ind w:firstLine="640"/>
        <w:jc w:val="both"/>
      </w:pPr>
      <w:r>
        <w:rPr>
          <w:rFonts w:ascii="仿宋_GB2312" w:hAnsi="仿宋_GB2312" w:eastAsia="仿宋_GB2312" w:cs="仿宋_GB2312"/>
          <w:b w:val="0"/>
          <w:sz w:val="32"/>
        </w:rPr>
        <w:t>关于采购路径，会中提到南网方面的口径为，5万元以下按零星采购办理，5万元至400万元走公开询价，400万元以上进入供应链集团流程。会中还说明，清华校园的完整方案因知识产权与国际对标等原因尚未公开发布，本次只能取其公开宣传版本。</w:t>
      </w:r>
    </w:p>
    <w:p>
      <w:pPr>
        <w:spacing w:before="0" w:after="0" w:lineRule="exact" w:line="580"/>
        <w:ind w:firstLine="640"/>
        <w:jc w:val="both"/>
      </w:pPr>
      <w:r>
        <w:rPr>
          <w:rFonts w:ascii="仿宋_GB2312" w:hAnsi="仿宋_GB2312" w:eastAsia="仿宋_GB2312" w:cs="仿宋_GB2312"/>
          <w:b w:val="0"/>
          <w:sz w:val="32"/>
        </w:rPr>
        <w:t>会中形成的工作安排有三项：南网方面尽快推进技术服务采购；清华方面配合提供框架方案与宣传材料，对接人为王天智；双方组建联合工作组。稿中未见签约、合同金额、立项批复或采购立项的任何记录。另需说明，纪要中出现的“2024年8—9月”一类表述与本次会谈时间不符，属年份笔误，本报告未将其作为任何事项的时间要求。</w:t>
      </w:r>
    </w:p>
    <w:p>
      <w:pPr>
        <w:spacing w:before="280" w:after="80" w:lineRule="exact" w:line="580"/>
        <w:ind w:firstLine="640"/>
        <w:jc w:val="left"/>
      </w:pPr>
      <w:r>
        <w:rPr>
          <w:rFonts w:ascii="黑体" w:hAnsi="黑体" w:eastAsia="黑体" w:cs="黑体"/>
          <w:b w:val="0"/>
          <w:sz w:val="32"/>
        </w:rPr>
        <w:t>三、对南网总部基地绿色近零碳智慧园区的启发</w:t>
      </w:r>
    </w:p>
    <w:p>
      <w:pPr>
        <w:spacing w:before="160" w:after="0" w:lineRule="exact" w:line="580"/>
        <w:ind w:firstLine="640"/>
        <w:jc w:val="left"/>
      </w:pPr>
      <w:r>
        <w:rPr>
          <w:rFonts w:ascii="楷体_GB2312" w:hAnsi="楷体_GB2312" w:eastAsia="楷体_GB2312" w:cs="楷体_GB2312"/>
          <w:b w:val="0"/>
          <w:sz w:val="32"/>
        </w:rPr>
        <w:t>（一）先把目标层级讲清楚，再谈指标</w:t>
      </w:r>
    </w:p>
    <w:p>
      <w:pPr>
        <w:spacing w:before="0" w:after="0" w:lineRule="exact" w:line="580"/>
        <w:ind w:firstLine="640"/>
        <w:jc w:val="both"/>
      </w:pPr>
      <w:r>
        <w:rPr>
          <w:rFonts w:ascii="仿宋_GB2312" w:hAnsi="仿宋_GB2312" w:eastAsia="仿宋_GB2312" w:cs="仿宋_GB2312"/>
          <w:b w:val="0"/>
          <w:sz w:val="32"/>
        </w:rPr>
        <w:t>两方意见需要对读。据宣讲材料，住建部体系给园区设了三级量化台阶，即低碳降碳率不低于30%、近零碳不低于60%、零碳要求年碳排放总量小于等于零且碳抵消量不超过基准区域碳排放量的30%。清华会中则主张按碳中和园区定位、不机械套用零碳，并强调先区分低碳、近零碳、碳中和三个层级。</w:t>
      </w:r>
    </w:p>
    <w:p>
      <w:pPr>
        <w:spacing w:before="0" w:after="0" w:lineRule="exact" w:line="580"/>
        <w:ind w:firstLine="640"/>
        <w:jc w:val="both"/>
      </w:pPr>
      <w:r>
        <w:rPr>
          <w:rFonts w:ascii="仿宋_GB2312" w:hAnsi="仿宋_GB2312" w:eastAsia="仿宋_GB2312" w:cs="仿宋_GB2312"/>
          <w:b w:val="0"/>
          <w:sz w:val="32"/>
        </w:rPr>
        <w:t>两者并不矛盾。台阶是认证口径上的门槛，定位是目标选择上的判断。项目名称中的“绿色近零碳”恰好落在住建部体系的近零碳一档，即降碳率不低于60%。但采用哪一层级、是否申报认证、走哪个部门口径，属决策事项。</w:t>
      </w:r>
    </w:p>
    <w:p>
      <w:pPr>
        <w:spacing w:before="0" w:after="0" w:lineRule="exact" w:line="580"/>
        <w:ind w:firstLine="640"/>
        <w:jc w:val="both"/>
      </w:pPr>
      <w:r>
        <w:rPr>
          <w:rFonts w:ascii="仿宋_GB2312" w:hAnsi="仿宋_GB2312" w:eastAsia="仿宋_GB2312" w:cs="仿宋_GB2312"/>
          <w:b w:val="0"/>
          <w:sz w:val="32"/>
        </w:rPr>
        <w:t>因此本报告不代为设定目标，建议在10月预可行性方案中把低碳、近零碳、碳中和三个层级并列，逐层给出达成条件、大致代价、可用的认证路径与主要风险，供领导决策。这样既回应了会中“不机械套零碳”的意见，也保留了建科院侧台阶的可用性。</w:t>
      </w:r>
    </w:p>
    <w:p>
      <w:pPr>
        <w:spacing w:before="0" w:after="0" w:lineRule="exact" w:line="580"/>
        <w:ind w:firstLine="640"/>
        <w:jc w:val="both"/>
      </w:pPr>
      <w:r>
        <w:rPr>
          <w:rFonts w:ascii="仿宋_GB2312" w:hAnsi="仿宋_GB2312" w:eastAsia="仿宋_GB2312" w:cs="仿宋_GB2312"/>
          <w:b w:val="0"/>
          <w:sz w:val="32"/>
        </w:rPr>
        <w:t>另需注意一处口径矛盾。8月19日交流提出数据机房可参考工信部零碳工厂的标准体系，而据宣讲材料，工信部口径聚焦生产全流程且暂无全国统一的专项判定标准。也就是说，若走工信部路径，缺少判定依据；若走住建部路径，机房可作为园区内高密度用能单元纳入园区核算，但那样它就不是独立的认证对象。这一矛盾关系到“全国首个零碳机房”这一会内争取方向能否落地，宜在预可研中一并回答，而不是先设指标。</w:t>
      </w:r>
    </w:p>
    <w:p>
      <w:pPr>
        <w:spacing w:before="160" w:after="0" w:lineRule="exact" w:line="580"/>
        <w:ind w:firstLine="640"/>
        <w:jc w:val="left"/>
      </w:pPr>
      <w:r>
        <w:rPr>
          <w:rFonts w:ascii="楷体_GB2312" w:hAnsi="楷体_GB2312" w:eastAsia="楷体_GB2312" w:cs="楷体_GB2312"/>
          <w:b w:val="0"/>
          <w:sz w:val="32"/>
        </w:rPr>
        <w:t>（二）10月预可研是本阶段的交付约束，深度要服从节奏</w:t>
      </w:r>
    </w:p>
    <w:p>
      <w:pPr>
        <w:spacing w:before="0" w:after="0" w:lineRule="exact" w:line="580"/>
        <w:ind w:firstLine="640"/>
        <w:jc w:val="both"/>
      </w:pPr>
      <w:r>
        <w:rPr>
          <w:rFonts w:ascii="仿宋_GB2312" w:hAnsi="仿宋_GB2312" w:eastAsia="仿宋_GB2312" w:cs="仿宋_GB2312"/>
          <w:b w:val="0"/>
          <w:sz w:val="32"/>
        </w:rPr>
        <w:t>会中明确10月前提交框架性、结果导向的预可行性方案以争取立项，不是立刻深度实施。这一节奏与8月19日建科院交流建议的次序一致，即概念性整体方案先行、经论证认可后再进入详细的全过程咨询和专项设计。</w:t>
      </w:r>
    </w:p>
    <w:p>
      <w:pPr>
        <w:spacing w:before="0" w:after="0" w:lineRule="exact" w:line="580"/>
        <w:ind w:firstLine="640"/>
        <w:jc w:val="both"/>
      </w:pPr>
      <w:r>
        <w:rPr>
          <w:rFonts w:ascii="仿宋_GB2312" w:hAnsi="仿宋_GB2312" w:eastAsia="仿宋_GB2312" w:cs="仿宋_GB2312"/>
          <w:b w:val="0"/>
          <w:sz w:val="32"/>
        </w:rPr>
        <w:t>据此，本阶段交付物应为框架与结论方向，不是专项设计。基础数据缺失处显性留白，不以估算值替代；宣讲材料、产品资料与会中口述的数字只作为量级参照写入附注，不进入方案指标。</w:t>
      </w:r>
    </w:p>
    <w:p>
      <w:pPr>
        <w:spacing w:before="160" w:after="0" w:lineRule="exact" w:line="580"/>
        <w:ind w:firstLine="640"/>
        <w:jc w:val="left"/>
      </w:pPr>
      <w:r>
        <w:rPr>
          <w:rFonts w:ascii="楷体_GB2312" w:hAnsi="楷体_GB2312" w:eastAsia="楷体_GB2312" w:cs="楷体_GB2312"/>
          <w:b w:val="0"/>
          <w:sz w:val="32"/>
        </w:rPr>
        <w:t>（三）先诊断空调与水系统，这是目前唯一有量级支撑的入手点</w:t>
      </w:r>
    </w:p>
    <w:p>
      <w:pPr>
        <w:spacing w:before="0" w:after="0" w:lineRule="exact" w:line="580"/>
        <w:ind w:firstLine="640"/>
        <w:jc w:val="both"/>
      </w:pPr>
      <w:r>
        <w:rPr>
          <w:rFonts w:ascii="仿宋_GB2312" w:hAnsi="仿宋_GB2312" w:eastAsia="仿宋_GB2312" w:cs="仿宋_GB2312"/>
          <w:b w:val="0"/>
          <w:sz w:val="32"/>
        </w:rPr>
        <w:t>三方材料在同一个方向上收口。清华会中口述，园区年用电约7000万度、其中空调与办公建筑部分约3500万度，并估计办公科研用房在不换主机前提下可节电10%至20%，对应年节电约500万至600万度。绿智楼宇资料宣称高效冷热源加群控可降耗10%至20%，照明15%至25%，综合15%至25%。建科院侧则据宣讲材料指出，在以建筑为主体的园区里建筑本体与机电系统既是排放主体也是减排主体。</w:t>
      </w:r>
    </w:p>
    <w:p>
      <w:pPr>
        <w:spacing w:before="0" w:after="0" w:lineRule="exact" w:line="580"/>
        <w:ind w:firstLine="640"/>
        <w:jc w:val="both"/>
      </w:pPr>
      <w:r>
        <w:rPr>
          <w:rFonts w:ascii="仿宋_GB2312" w:hAnsi="仿宋_GB2312" w:eastAsia="仿宋_GB2312" w:cs="仿宋_GB2312"/>
          <w:b w:val="0"/>
          <w:sz w:val="32"/>
        </w:rPr>
        <w:t>两方独立给出的冷热源改造幅度区间量级接近，都落在10%至20%，加之广州供冷负荷大、设备已运行满十年，可以判断空调与水系统是本项目首选的入手点。建议把空调与水系统的深度诊断列为预可研的第一项技术工作，先取得实测基线，再据以设定指标，避免在口述大数上直接推算投资。</w:t>
      </w:r>
    </w:p>
    <w:p>
      <w:pPr>
        <w:spacing w:before="0" w:after="0" w:lineRule="exact" w:line="580"/>
        <w:ind w:firstLine="640"/>
        <w:jc w:val="both"/>
      </w:pPr>
      <w:r>
        <w:rPr>
          <w:rFonts w:ascii="仿宋_GB2312" w:hAnsi="仿宋_GB2312" w:eastAsia="仿宋_GB2312" w:cs="仿宋_GB2312"/>
          <w:b w:val="0"/>
          <w:sz w:val="32"/>
        </w:rPr>
        <w:t>同时须厘清一处口径问题。8月19日交流把数据机房作为突破口，而清华会中的用电口径附有“不含数据中心”的限定。数据机房是否计入园区用能核算边界，直接决定突破口选在机房还是空调系统，也决定认证时的核算范围。这一点应在预可研启动前明确。</w:t>
      </w:r>
    </w:p>
    <w:p>
      <w:pPr>
        <w:spacing w:before="160" w:after="0" w:lineRule="exact" w:line="580"/>
        <w:ind w:firstLine="640"/>
        <w:jc w:val="left"/>
      </w:pPr>
      <w:r>
        <w:rPr>
          <w:rFonts w:ascii="楷体_GB2312" w:hAnsi="楷体_GB2312" w:eastAsia="楷体_GB2312" w:cs="楷体_GB2312"/>
          <w:b w:val="0"/>
          <w:sz w:val="32"/>
        </w:rPr>
        <w:t>（四）冰蓄冷的经济性随电价机制改变，这是南网的主场议题</w:t>
      </w:r>
    </w:p>
    <w:p>
      <w:pPr>
        <w:spacing w:before="0" w:after="0" w:lineRule="exact" w:line="580"/>
        <w:ind w:firstLine="640"/>
        <w:jc w:val="both"/>
      </w:pPr>
      <w:r>
        <w:rPr>
          <w:rFonts w:ascii="仿宋_GB2312" w:hAnsi="仿宋_GB2312" w:eastAsia="仿宋_GB2312" w:cs="仿宋_GB2312"/>
          <w:b w:val="0"/>
          <w:sz w:val="32"/>
        </w:rPr>
        <w:t>会中提示，现有冰蓄冷的经济性建立在固定低谷时段之上，而国家已取消固定低谷时段，广东细则预计1至2年落地并转向约15分钟级实时电价，现有蓄冷控制策略若不与电力交易系统对接，原有省钱逻辑将失效。</w:t>
      </w:r>
    </w:p>
    <w:p>
      <w:pPr>
        <w:spacing w:before="0" w:after="0" w:lineRule="exact" w:line="580"/>
        <w:ind w:firstLine="640"/>
        <w:jc w:val="both"/>
      </w:pPr>
      <w:r>
        <w:rPr>
          <w:rFonts w:ascii="仿宋_GB2312" w:hAnsi="仿宋_GB2312" w:eastAsia="仿宋_GB2312" w:cs="仿宋_GB2312"/>
          <w:b w:val="0"/>
          <w:sz w:val="32"/>
        </w:rPr>
        <w:t>这件事对本项目有两重意义。就风险而言，它可能使既有资产的运行策略在细则落地后失效，属需要提前安排的事项，而非改造的可选项。就机会而言，把蓄冷等柔性资源与实时电价、交易系统打通，正是南方电网数字电网与电力交易能力的用武之地，也与建科院宣讲提出的负荷柔性聚合与电网互动、中国移动侧的负荷预测能力落在同一条线上。</w:t>
      </w:r>
    </w:p>
    <w:p>
      <w:pPr>
        <w:spacing w:before="0" w:after="0" w:lineRule="exact" w:line="580"/>
        <w:ind w:firstLine="640"/>
        <w:jc w:val="both"/>
      </w:pPr>
      <w:r>
        <w:rPr>
          <w:rFonts w:ascii="仿宋_GB2312" w:hAnsi="仿宋_GB2312" w:eastAsia="仿宋_GB2312" w:cs="仿宋_GB2312"/>
          <w:b w:val="0"/>
          <w:sz w:val="32"/>
        </w:rPr>
        <w:t>建议把“蓄冷控制策略与实时电价机制对接”列为预可研的专项议题，明确细则落地前的过渡策略与落地后的控制目标。</w:t>
      </w:r>
    </w:p>
    <w:p>
      <w:pPr>
        <w:spacing w:before="160" w:after="0" w:lineRule="exact" w:line="580"/>
        <w:ind w:firstLine="640"/>
        <w:jc w:val="left"/>
      </w:pPr>
      <w:r>
        <w:rPr>
          <w:rFonts w:ascii="楷体_GB2312" w:hAnsi="楷体_GB2312" w:eastAsia="楷体_GB2312" w:cs="楷体_GB2312"/>
          <w:b w:val="0"/>
          <w:sz w:val="32"/>
        </w:rPr>
        <w:t>（五）光伏要先评估资源，同时正视其贡献边界</w:t>
      </w:r>
    </w:p>
    <w:p>
      <w:pPr>
        <w:spacing w:before="0" w:after="0" w:lineRule="exact" w:line="580"/>
        <w:ind w:firstLine="640"/>
        <w:jc w:val="both"/>
      </w:pPr>
      <w:r>
        <w:rPr>
          <w:rFonts w:ascii="仿宋_GB2312" w:hAnsi="仿宋_GB2312" w:eastAsia="仿宋_GB2312" w:cs="仿宋_GB2312"/>
          <w:b w:val="0"/>
          <w:sz w:val="32"/>
        </w:rPr>
        <w:t>会中约束明确：屋顶光伏空间有限，立面尚未布置光伏，而既有建筑历史风貌与外立面不可大改，故立面光伏须与风貌保护一并论证。会中口述现状装机约2点几兆瓦、不足3兆瓦。</w:t>
      </w:r>
    </w:p>
    <w:p>
      <w:pPr>
        <w:spacing w:before="0" w:after="0" w:lineRule="exact" w:line="580"/>
        <w:ind w:firstLine="640"/>
        <w:jc w:val="both"/>
      </w:pPr>
      <w:r>
        <w:rPr>
          <w:rFonts w:ascii="仿宋_GB2312" w:hAnsi="仿宋_GB2312" w:eastAsia="仿宋_GB2312" w:cs="仿宋_GB2312"/>
          <w:b w:val="0"/>
          <w:sz w:val="32"/>
        </w:rPr>
        <w:t>这里有一个量级判断值得先做。据宣讲材料，雄安项目约2兆瓦光伏年发电220万千瓦时，约占其年用电量的20%。若按会中口述的本项目年用电约7000万度估算，同等量级的光伏装机在本项目中的贡献比例约在个位数，与雄安的20%不在一个量级（该对比系本报告依宣讲材料与会中口述数据估算，两项输入均未经核证）。差异来自用能强度而非技术水平。</w:t>
      </w:r>
    </w:p>
    <w:p>
      <w:pPr>
        <w:spacing w:before="0" w:after="0" w:lineRule="exact" w:line="580"/>
        <w:ind w:firstLine="640"/>
        <w:jc w:val="both"/>
      </w:pPr>
      <w:r>
        <w:rPr>
          <w:rFonts w:ascii="仿宋_GB2312" w:hAnsi="仿宋_GB2312" w:eastAsia="仿宋_GB2312" w:cs="仿宋_GB2312"/>
          <w:b w:val="0"/>
          <w:sz w:val="32"/>
        </w:rPr>
        <w:t>由此可得两条结论。一是不宜把场地光伏当作达标的主路径，需求侧节能与绿电、抵消机制的权重会更高，这与前述雄安碳账中仍有约38%依靠交易抵消的结构（据宣讲材料数据计算）相互印证。二是仍应尽快摸清资源家底，可先借清华方面提出的卫星图像评估手段，对屋顶与立面资源作快速普查，再决定装机规模与投资节奏。</w:t>
      </w:r>
    </w:p>
    <w:p>
      <w:pPr>
        <w:spacing w:before="160" w:after="0" w:lineRule="exact" w:line="580"/>
        <w:ind w:firstLine="640"/>
        <w:jc w:val="left"/>
      </w:pPr>
      <w:r>
        <w:rPr>
          <w:rFonts w:ascii="楷体_GB2312" w:hAnsi="楷体_GB2312" w:eastAsia="楷体_GB2312" w:cs="楷体_GB2312"/>
          <w:b w:val="0"/>
          <w:sz w:val="32"/>
        </w:rPr>
        <w:t>（六）园中园与分区试点是与现场约束相容的推进方式</w:t>
      </w:r>
    </w:p>
    <w:p>
      <w:pPr>
        <w:spacing w:before="0" w:after="0" w:lineRule="exact" w:line="580"/>
        <w:ind w:firstLine="640"/>
        <w:jc w:val="both"/>
      </w:pPr>
      <w:r>
        <w:rPr>
          <w:rFonts w:ascii="仿宋_GB2312" w:hAnsi="仿宋_GB2312" w:eastAsia="仿宋_GB2312" w:cs="仿宋_GB2312"/>
          <w:b w:val="0"/>
          <w:sz w:val="32"/>
        </w:rPr>
        <w:t>园区约5000人持续办公，不具备成片停机条件，不能照搬清华校园暑假断电改造的做法。会中提出的园中园、分区试点思路，与8月19日交流以数据机房作为突破口的想法同属分区突破，二者可以合并考虑。</w:t>
      </w:r>
    </w:p>
    <w:p>
      <w:pPr>
        <w:spacing w:before="0" w:after="0" w:lineRule="exact" w:line="580"/>
        <w:ind w:firstLine="640"/>
        <w:jc w:val="both"/>
      </w:pPr>
      <w:r>
        <w:rPr>
          <w:rFonts w:ascii="仿宋_GB2312" w:hAnsi="仿宋_GB2312" w:eastAsia="仿宋_GB2312" w:cs="仿宋_GB2312"/>
          <w:b w:val="0"/>
          <w:sz w:val="32"/>
        </w:rPr>
        <w:t>建议在预可研中明确试点分区的选择标准，包括可停机窗口、用能可计量、改造措施可复制、成效可验证四项，并把会中提到的1号楼后空地等场地纳入比选。试点的目的不只是节能，更是取得本项目自己的实测数据，用以替换现阶段的口述大数。</w:t>
      </w:r>
    </w:p>
    <w:p>
      <w:pPr>
        <w:spacing w:before="160" w:after="0" w:lineRule="exact" w:line="580"/>
        <w:ind w:firstLine="640"/>
        <w:jc w:val="left"/>
      </w:pPr>
      <w:r>
        <w:rPr>
          <w:rFonts w:ascii="楷体_GB2312" w:hAnsi="楷体_GB2312" w:eastAsia="楷体_GB2312" w:cs="楷体_GB2312"/>
          <w:b w:val="0"/>
          <w:sz w:val="32"/>
        </w:rPr>
        <w:t>（七）平台按一个平台、两类功能规划，但企业标准不能替代认证体系</w:t>
      </w:r>
    </w:p>
    <w:p>
      <w:pPr>
        <w:spacing w:before="0" w:after="0" w:lineRule="exact" w:line="580"/>
        <w:ind w:firstLine="640"/>
        <w:jc w:val="both"/>
      </w:pPr>
      <w:r>
        <w:rPr>
          <w:rFonts w:ascii="仿宋_GB2312" w:hAnsi="仿宋_GB2312" w:eastAsia="仿宋_GB2312" w:cs="仿宋_GB2312"/>
          <w:b w:val="0"/>
          <w:sz w:val="32"/>
        </w:rPr>
        <w:t>中国移动侧与建科院侧的能力指向同一个平台的两端。移动侧解决园区内侧，即办公行为与用能设备的联动、四级用能监测、设备与工单管理；建科院侧提出的负荷柔性聚合与电网互动、能碳数字底座，解决园区外侧，即与电网的互动和碳的核算。两端若分头建设，后期必然面临数据打通与二次集成，建议在概念方案与预可研阶段就按一个平台、两类功能统一规划。</w:t>
      </w:r>
    </w:p>
    <w:p>
      <w:pPr>
        <w:spacing w:before="0" w:after="0" w:lineRule="exact" w:line="580"/>
        <w:ind w:firstLine="640"/>
        <w:jc w:val="both"/>
      </w:pPr>
      <w:r>
        <w:rPr>
          <w:rFonts w:ascii="仿宋_GB2312" w:hAnsi="仿宋_GB2312" w:eastAsia="仿宋_GB2312" w:cs="仿宋_GB2312"/>
          <w:b w:val="0"/>
          <w:sz w:val="32"/>
        </w:rPr>
        <w:t>但有一处必须分清。绿智楼宇资料所依据的是《中国移动绿智楼宇评价标准（试行）》，属企业标准，其分档以《民用建筑能耗标准》的约束值、引导值为参照；而建科院侧的台阶来自住建部体系与《零碳建筑技术标准》，属国家标准口径。两套标准的对象、基准与用途不同，不能互相替代。移动侧的诊断打分可以用来判断“哪栋楼值得改、先改什么”，认证达标仍须回到国家标准口径核算。</w:t>
      </w:r>
    </w:p>
    <w:p>
      <w:pPr>
        <w:spacing w:before="0" w:after="0" w:lineRule="exact" w:line="580"/>
        <w:ind w:firstLine="640"/>
        <w:jc w:val="both"/>
      </w:pPr>
      <w:r>
        <w:rPr>
          <w:rFonts w:ascii="仿宋_GB2312" w:hAnsi="仿宋_GB2312" w:eastAsia="仿宋_GB2312" w:cs="仿宋_GB2312"/>
          <w:b w:val="0"/>
          <w:sz w:val="32"/>
        </w:rPr>
        <w:t>另外，8月20日交流提出的本地化部署与重训要求仍然有效。对本项目而言，选型的关键变量不是功能清单，而是数据归属与合规要求，以及本地化重训所需的数据条件、工作量与责任划分，后者稿中未见。</w:t>
      </w:r>
    </w:p>
    <w:p>
      <w:pPr>
        <w:spacing w:before="160" w:after="0" w:lineRule="exact" w:line="580"/>
        <w:ind w:firstLine="640"/>
        <w:jc w:val="left"/>
      </w:pPr>
      <w:r>
        <w:rPr>
          <w:rFonts w:ascii="楷体_GB2312" w:hAnsi="楷体_GB2312" w:eastAsia="楷体_GB2312" w:cs="楷体_GB2312"/>
          <w:b w:val="0"/>
          <w:sz w:val="32"/>
        </w:rPr>
        <w:t>（八）可直接对标的技术清单</w:t>
      </w:r>
    </w:p>
    <w:p>
      <w:pPr>
        <w:spacing w:before="0" w:after="0" w:lineRule="exact" w:line="580"/>
        <w:ind w:firstLine="640"/>
        <w:jc w:val="both"/>
      </w:pPr>
      <w:r>
        <w:rPr>
          <w:rFonts w:ascii="仿宋_GB2312" w:hAnsi="仿宋_GB2312" w:eastAsia="仿宋_GB2312" w:cs="仿宋_GB2312"/>
          <w:b w:val="0"/>
          <w:sz w:val="32"/>
        </w:rPr>
        <w:t>下表按层次归集三家材料中可对标的措施。出处一列中，标注宣讲材料者为建科院宣讲口径，标注资料宣称者为中移产品资料口径，标注会中口述或会中估计者为清华会谈口径，标注新华网、新能源网者为公开报道口径，以上均未经本次核证。</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1247"/>
          </w:tcPr>
          <w:p>
            <w:pPr>
              <w:spacing w:before="40" w:after="40"/>
              <w:jc w:val="center"/>
            </w:pPr>
            <w:r/>
            <w:r>
              <w:rPr>
                <w:rFonts w:ascii="黑体" w:hAnsi="黑体" w:eastAsia="黑体" w:cs="黑体"/>
                <w:b w:val="0"/>
                <w:sz w:val="21"/>
              </w:rPr>
              <w:t>层次</w:t>
            </w:r>
          </w:p>
        </w:tc>
        <w:tc>
          <w:tcPr>
            <w:tcW w:type="dxa" w:w="2268"/>
          </w:tcPr>
          <w:p>
            <w:pPr>
              <w:spacing w:before="40" w:after="40"/>
              <w:jc w:val="center"/>
            </w:pPr>
            <w:r/>
            <w:r>
              <w:rPr>
                <w:rFonts w:ascii="黑体" w:hAnsi="黑体" w:eastAsia="黑体" w:cs="黑体"/>
                <w:b w:val="0"/>
                <w:sz w:val="21"/>
              </w:rPr>
              <w:t>可对标措施</w:t>
            </w:r>
          </w:p>
        </w:tc>
        <w:tc>
          <w:tcPr>
            <w:tcW w:type="dxa" w:w="2665"/>
          </w:tcPr>
          <w:p>
            <w:pPr>
              <w:spacing w:before="40" w:after="40"/>
              <w:jc w:val="center"/>
            </w:pPr>
            <w:r/>
            <w:r>
              <w:rPr>
                <w:rFonts w:ascii="黑体" w:hAnsi="黑体" w:eastAsia="黑体" w:cs="黑体"/>
                <w:b w:val="0"/>
                <w:sz w:val="21"/>
              </w:rPr>
              <w:t>出处与数据</w:t>
            </w:r>
          </w:p>
        </w:tc>
        <w:tc>
          <w:tcPr>
            <w:tcW w:type="dxa" w:w="2665"/>
          </w:tcPr>
          <w:p>
            <w:pPr>
              <w:spacing w:before="40" w:after="40"/>
              <w:jc w:val="center"/>
            </w:pPr>
            <w:r/>
            <w:r>
              <w:rPr>
                <w:rFonts w:ascii="黑体" w:hAnsi="黑体" w:eastAsia="黑体" w:cs="黑体"/>
                <w:b w:val="0"/>
                <w:sz w:val="21"/>
              </w:rPr>
              <w:t>对本项目的适用性判断</w:t>
            </w:r>
          </w:p>
        </w:tc>
      </w:tr>
      <w:tr>
        <w:tc>
          <w:tcPr>
            <w:tcW w:type="dxa" w:w="1247"/>
          </w:tcPr>
          <w:p>
            <w:pPr>
              <w:spacing w:before="40" w:after="40"/>
              <w:jc w:val="left"/>
            </w:pPr>
            <w:r/>
            <w:r>
              <w:rPr>
                <w:rFonts w:ascii="仿宋_GB2312" w:hAnsi="仿宋_GB2312" w:eastAsia="仿宋_GB2312" w:cs="仿宋_GB2312"/>
                <w:b w:val="0"/>
                <w:sz w:val="21"/>
              </w:rPr>
              <w:t>建筑本体</w:t>
            </w:r>
          </w:p>
        </w:tc>
        <w:tc>
          <w:tcPr>
            <w:tcW w:type="dxa" w:w="2268"/>
          </w:tcPr>
          <w:p>
            <w:pPr>
              <w:spacing w:before="40" w:after="40"/>
              <w:jc w:val="left"/>
            </w:pPr>
            <w:r/>
            <w:r>
              <w:rPr>
                <w:rFonts w:ascii="仿宋_GB2312" w:hAnsi="仿宋_GB2312" w:eastAsia="仿宋_GB2312" w:cs="仿宋_GB2312"/>
                <w:b w:val="0"/>
                <w:sz w:val="21"/>
              </w:rPr>
              <w:t>窗墙比控制在40%以内、STP真空绝热板、换气次数不大于0.6次每小时</w:t>
            </w:r>
          </w:p>
        </w:tc>
        <w:tc>
          <w:tcPr>
            <w:tcW w:type="dxa" w:w="2665"/>
          </w:tcPr>
          <w:p>
            <w:pPr>
              <w:spacing w:before="40" w:after="40"/>
              <w:jc w:val="left"/>
            </w:pPr>
            <w:r/>
            <w:r>
              <w:rPr>
                <w:rFonts w:ascii="仿宋_GB2312" w:hAnsi="仿宋_GB2312" w:eastAsia="仿宋_GB2312" w:cs="仿宋_GB2312"/>
                <w:b w:val="0"/>
                <w:sz w:val="21"/>
              </w:rPr>
              <w:t>雄安项目，据宣讲材料，本体节能率51.27%</w:t>
            </w:r>
          </w:p>
        </w:tc>
        <w:tc>
          <w:tcPr>
            <w:tcW w:type="dxa" w:w="2665"/>
          </w:tcPr>
          <w:p>
            <w:pPr>
              <w:spacing w:before="40" w:after="40"/>
              <w:jc w:val="left"/>
            </w:pPr>
            <w:r/>
            <w:r>
              <w:rPr>
                <w:rFonts w:ascii="仿宋_GB2312" w:hAnsi="仿宋_GB2312" w:eastAsia="仿宋_GB2312" w:cs="仿宋_GB2312"/>
                <w:b w:val="0"/>
                <w:sz w:val="21"/>
              </w:rPr>
              <w:t>受既有建筑历史风貌与外立面不可大改的约束（会中提出），整体对标空间有限，宜限于局部与新建部分</w:t>
            </w:r>
          </w:p>
        </w:tc>
      </w:tr>
      <w:tr>
        <w:tc>
          <w:tcPr>
            <w:tcW w:type="dxa" w:w="1247"/>
          </w:tcPr>
          <w:p>
            <w:pPr>
              <w:spacing w:before="40" w:after="40"/>
              <w:jc w:val="left"/>
            </w:pPr>
            <w:r/>
            <w:r>
              <w:rPr>
                <w:rFonts w:ascii="仿宋_GB2312" w:hAnsi="仿宋_GB2312" w:eastAsia="仿宋_GB2312" w:cs="仿宋_GB2312"/>
                <w:b w:val="0"/>
                <w:sz w:val="21"/>
              </w:rPr>
              <w:t>冷热源与水系统</w:t>
            </w:r>
          </w:p>
        </w:tc>
        <w:tc>
          <w:tcPr>
            <w:tcW w:type="dxa" w:w="2268"/>
          </w:tcPr>
          <w:p>
            <w:pPr>
              <w:spacing w:before="40" w:after="40"/>
              <w:jc w:val="left"/>
            </w:pPr>
            <w:r/>
            <w:r>
              <w:rPr>
                <w:rFonts w:ascii="仿宋_GB2312" w:hAnsi="仿宋_GB2312" w:eastAsia="仿宋_GB2312" w:cs="仿宋_GB2312"/>
                <w:b w:val="0"/>
                <w:sz w:val="21"/>
              </w:rPr>
              <w:t>高效冷热源加群控；空调与水系统深度诊断</w:t>
            </w:r>
          </w:p>
        </w:tc>
        <w:tc>
          <w:tcPr>
            <w:tcW w:type="dxa" w:w="2665"/>
          </w:tcPr>
          <w:p>
            <w:pPr>
              <w:spacing w:before="40" w:after="40"/>
              <w:jc w:val="left"/>
            </w:pPr>
            <w:r/>
            <w:r>
              <w:rPr>
                <w:rFonts w:ascii="仿宋_GB2312" w:hAnsi="仿宋_GB2312" w:eastAsia="仿宋_GB2312" w:cs="仿宋_GB2312"/>
                <w:b w:val="0"/>
                <w:sz w:val="21"/>
              </w:rPr>
              <w:t>绿智楼宇资料宣称冷热源降耗10%至20%；清华会中估计不换主机可节电10%至20%</w:t>
            </w:r>
          </w:p>
        </w:tc>
        <w:tc>
          <w:tcPr>
            <w:tcW w:type="dxa" w:w="2665"/>
          </w:tcPr>
          <w:p>
            <w:pPr>
              <w:spacing w:before="40" w:after="40"/>
              <w:jc w:val="left"/>
            </w:pPr>
            <w:r/>
            <w:r>
              <w:rPr>
                <w:rFonts w:ascii="仿宋_GB2312" w:hAnsi="仿宋_GB2312" w:eastAsia="仿宋_GB2312" w:cs="仿宋_GB2312"/>
                <w:b w:val="0"/>
                <w:sz w:val="21"/>
              </w:rPr>
              <w:t>首选入手点，两方区间量级接近；须先取实测基线再定指标</w:t>
            </w:r>
          </w:p>
        </w:tc>
      </w:tr>
      <w:tr>
        <w:tc>
          <w:tcPr>
            <w:tcW w:type="dxa" w:w="1247"/>
          </w:tcPr>
          <w:p>
            <w:pPr>
              <w:spacing w:before="40" w:after="40"/>
              <w:jc w:val="left"/>
            </w:pPr>
            <w:r/>
            <w:r>
              <w:rPr>
                <w:rFonts w:ascii="仿宋_GB2312" w:hAnsi="仿宋_GB2312" w:eastAsia="仿宋_GB2312" w:cs="仿宋_GB2312"/>
                <w:b w:val="0"/>
                <w:sz w:val="21"/>
              </w:rPr>
              <w:t>冰蓄冷与电价对接</w:t>
            </w:r>
          </w:p>
        </w:tc>
        <w:tc>
          <w:tcPr>
            <w:tcW w:type="dxa" w:w="2268"/>
          </w:tcPr>
          <w:p>
            <w:pPr>
              <w:spacing w:before="40" w:after="40"/>
              <w:jc w:val="left"/>
            </w:pPr>
            <w:r/>
            <w:r>
              <w:rPr>
                <w:rFonts w:ascii="仿宋_GB2312" w:hAnsi="仿宋_GB2312" w:eastAsia="仿宋_GB2312" w:cs="仿宋_GB2312"/>
                <w:b w:val="0"/>
                <w:sz w:val="21"/>
              </w:rPr>
              <w:t>蓄冷控制策略与实时电价及交易系统对接</w:t>
            </w:r>
          </w:p>
        </w:tc>
        <w:tc>
          <w:tcPr>
            <w:tcW w:type="dxa" w:w="2665"/>
          </w:tcPr>
          <w:p>
            <w:pPr>
              <w:spacing w:before="40" w:after="40"/>
              <w:jc w:val="left"/>
            </w:pPr>
            <w:r/>
            <w:r>
              <w:rPr>
                <w:rFonts w:ascii="仿宋_GB2312" w:hAnsi="仿宋_GB2312" w:eastAsia="仿宋_GB2312" w:cs="仿宋_GB2312"/>
                <w:b w:val="0"/>
                <w:sz w:val="21"/>
              </w:rPr>
              <w:t>清华会中口述现有主机0℃以下运行、成本约0.08元每度；会中提到国家已取消固定低谷时段，广东细则预计1至2年落地并转向约15分钟级实时电价</w:t>
            </w:r>
          </w:p>
        </w:tc>
        <w:tc>
          <w:tcPr>
            <w:tcW w:type="dxa" w:w="2665"/>
          </w:tcPr>
          <w:p>
            <w:pPr>
              <w:spacing w:before="40" w:after="40"/>
              <w:jc w:val="left"/>
            </w:pPr>
            <w:r/>
            <w:r>
              <w:rPr>
                <w:rFonts w:ascii="仿宋_GB2312" w:hAnsi="仿宋_GB2312" w:eastAsia="仿宋_GB2312" w:cs="仿宋_GB2312"/>
                <w:b w:val="0"/>
                <w:sz w:val="21"/>
              </w:rPr>
              <w:t>属需提前安排事项而非可选项；与负荷柔性聚合、电网互动合并规划</w:t>
            </w:r>
          </w:p>
        </w:tc>
      </w:tr>
      <w:tr>
        <w:tc>
          <w:tcPr>
            <w:tcW w:type="dxa" w:w="1247"/>
          </w:tcPr>
          <w:p>
            <w:pPr>
              <w:spacing w:before="40" w:after="40"/>
              <w:jc w:val="left"/>
            </w:pPr>
            <w:r/>
            <w:r>
              <w:rPr>
                <w:rFonts w:ascii="仿宋_GB2312" w:hAnsi="仿宋_GB2312" w:eastAsia="仿宋_GB2312" w:cs="仿宋_GB2312"/>
                <w:b w:val="0"/>
                <w:sz w:val="21"/>
              </w:rPr>
              <w:t>场地光伏</w:t>
            </w:r>
          </w:p>
        </w:tc>
        <w:tc>
          <w:tcPr>
            <w:tcW w:type="dxa" w:w="2268"/>
          </w:tcPr>
          <w:p>
            <w:pPr>
              <w:spacing w:before="40" w:after="40"/>
              <w:jc w:val="left"/>
            </w:pPr>
            <w:r/>
            <w:r>
              <w:rPr>
                <w:rFonts w:ascii="仿宋_GB2312" w:hAnsi="仿宋_GB2312" w:eastAsia="仿宋_GB2312" w:cs="仿宋_GB2312"/>
                <w:b w:val="0"/>
                <w:sz w:val="21"/>
              </w:rPr>
              <w:t>屋面光伏加露台光伏地砖；屋顶与立面资源卫星评估</w:t>
            </w:r>
          </w:p>
        </w:tc>
        <w:tc>
          <w:tcPr>
            <w:tcW w:type="dxa" w:w="2665"/>
          </w:tcPr>
          <w:p>
            <w:pPr>
              <w:spacing w:before="40" w:after="40"/>
              <w:jc w:val="left"/>
            </w:pPr>
            <w:r/>
            <w:r>
              <w:rPr>
                <w:rFonts w:ascii="仿宋_GB2312" w:hAnsi="仿宋_GB2312" w:eastAsia="仿宋_GB2312" w:cs="仿宋_GB2312"/>
                <w:b w:val="0"/>
                <w:sz w:val="21"/>
              </w:rPr>
              <w:t>雄安屋面近10000平方米加露台1000平方米、约2兆瓦、年发电220万千瓦时、约占用电20%，据宣讲材料；信息港G13号楼屋面3970平方米、480千瓦、年约50万度，据新能源网转载；本项目现状约2点几兆瓦，会中口述</w:t>
            </w:r>
          </w:p>
        </w:tc>
        <w:tc>
          <w:tcPr>
            <w:tcW w:type="dxa" w:w="2665"/>
          </w:tcPr>
          <w:p>
            <w:pPr>
              <w:spacing w:before="40" w:after="40"/>
              <w:jc w:val="left"/>
            </w:pPr>
            <w:r/>
            <w:r>
              <w:rPr>
                <w:rFonts w:ascii="仿宋_GB2312" w:hAnsi="仿宋_GB2312" w:eastAsia="仿宋_GB2312" w:cs="仿宋_GB2312"/>
                <w:b w:val="0"/>
                <w:sz w:val="21"/>
              </w:rPr>
              <w:t>贡献比例约在个位数量级，不宜作为达标主路径；先做资源普查再定规模</w:t>
            </w:r>
          </w:p>
        </w:tc>
      </w:tr>
      <w:tr>
        <w:tc>
          <w:tcPr>
            <w:tcW w:type="dxa" w:w="1247"/>
          </w:tcPr>
          <w:p>
            <w:pPr>
              <w:spacing w:before="40" w:after="40"/>
              <w:jc w:val="left"/>
            </w:pPr>
            <w:r/>
            <w:r>
              <w:rPr>
                <w:rFonts w:ascii="仿宋_GB2312" w:hAnsi="仿宋_GB2312" w:eastAsia="仿宋_GB2312" w:cs="仿宋_GB2312"/>
                <w:b w:val="0"/>
                <w:sz w:val="21"/>
              </w:rPr>
              <w:t>直流与柔性</w:t>
            </w:r>
          </w:p>
        </w:tc>
        <w:tc>
          <w:tcPr>
            <w:tcW w:type="dxa" w:w="2268"/>
          </w:tcPr>
          <w:p>
            <w:pPr>
              <w:spacing w:before="40" w:after="40"/>
              <w:jc w:val="left"/>
            </w:pPr>
            <w:r/>
            <w:r>
              <w:rPr>
                <w:rFonts w:ascii="仿宋_GB2312" w:hAnsi="仿宋_GB2312" w:eastAsia="仿宋_GB2312" w:cs="仿宋_GB2312"/>
                <w:b w:val="0"/>
                <w:sz w:val="21"/>
              </w:rPr>
              <w:t>直流供电、V2G、多端低压柔性直流环网</w:t>
            </w:r>
          </w:p>
        </w:tc>
        <w:tc>
          <w:tcPr>
            <w:tcW w:type="dxa" w:w="2665"/>
          </w:tcPr>
          <w:p>
            <w:pPr>
              <w:spacing w:before="40" w:after="40"/>
              <w:jc w:val="left"/>
            </w:pPr>
            <w:r/>
            <w:r>
              <w:rPr>
                <w:rFonts w:ascii="仿宋_GB2312" w:hAnsi="仿宋_GB2312" w:eastAsia="仿宋_GB2312" w:cs="仿宋_GB2312"/>
                <w:b w:val="0"/>
                <w:sz w:val="21"/>
              </w:rPr>
              <w:t>雄安项目，据宣讲材料</w:t>
            </w:r>
          </w:p>
        </w:tc>
        <w:tc>
          <w:tcPr>
            <w:tcW w:type="dxa" w:w="2665"/>
          </w:tcPr>
          <w:p>
            <w:pPr>
              <w:spacing w:before="40" w:after="40"/>
              <w:jc w:val="left"/>
            </w:pPr>
            <w:r/>
            <w:r>
              <w:rPr>
                <w:rFonts w:ascii="仿宋_GB2312" w:hAnsi="仿宋_GB2312" w:eastAsia="仿宋_GB2312" w:cs="仿宋_GB2312"/>
                <w:b w:val="0"/>
                <w:sz w:val="21"/>
              </w:rPr>
              <w:t>与南方电网数字电网技术优势的结合点，也是建科院宣讲提出的合作方向落点</w:t>
            </w:r>
          </w:p>
        </w:tc>
      </w:tr>
      <w:tr>
        <w:tc>
          <w:tcPr>
            <w:tcW w:type="dxa" w:w="1247"/>
          </w:tcPr>
          <w:p>
            <w:pPr>
              <w:spacing w:before="40" w:after="40"/>
              <w:jc w:val="left"/>
            </w:pPr>
            <w:r/>
            <w:r>
              <w:rPr>
                <w:rFonts w:ascii="仿宋_GB2312" w:hAnsi="仿宋_GB2312" w:eastAsia="仿宋_GB2312" w:cs="仿宋_GB2312"/>
                <w:b w:val="0"/>
                <w:sz w:val="21"/>
              </w:rPr>
              <w:t>数据中心余热</w:t>
            </w:r>
          </w:p>
        </w:tc>
        <w:tc>
          <w:tcPr>
            <w:tcW w:type="dxa" w:w="2268"/>
          </w:tcPr>
          <w:p>
            <w:pPr>
              <w:spacing w:before="40" w:after="40"/>
              <w:jc w:val="left"/>
            </w:pPr>
            <w:r/>
            <w:r>
              <w:rPr>
                <w:rFonts w:ascii="仿宋_GB2312" w:hAnsi="仿宋_GB2312" w:eastAsia="仿宋_GB2312" w:cs="仿宋_GB2312"/>
                <w:b w:val="0"/>
                <w:sz w:val="21"/>
              </w:rPr>
              <w:t>数据中心余热回收经热泵供办公区</w:t>
            </w:r>
          </w:p>
        </w:tc>
        <w:tc>
          <w:tcPr>
            <w:tcW w:type="dxa" w:w="2665"/>
          </w:tcPr>
          <w:p>
            <w:pPr>
              <w:spacing w:before="40" w:after="40"/>
              <w:jc w:val="left"/>
            </w:pPr>
            <w:r/>
            <w:r>
              <w:rPr>
                <w:rFonts w:ascii="仿宋_GB2312" w:hAnsi="仿宋_GB2312" w:eastAsia="仿宋_GB2312" w:cs="仿宋_GB2312"/>
                <w:b w:val="0"/>
                <w:sz w:val="21"/>
              </w:rPr>
              <w:t>信息港四号地供五号地、六号地，据新华网</w:t>
            </w:r>
          </w:p>
        </w:tc>
        <w:tc>
          <w:tcPr>
            <w:tcW w:type="dxa" w:w="2665"/>
          </w:tcPr>
          <w:p>
            <w:pPr>
              <w:spacing w:before="40" w:after="40"/>
              <w:jc w:val="left"/>
            </w:pPr>
            <w:r/>
            <w:r>
              <w:rPr>
                <w:rFonts w:ascii="仿宋_GB2312" w:hAnsi="仿宋_GB2312" w:eastAsia="仿宋_GB2312" w:cs="仿宋_GB2312"/>
                <w:b w:val="0"/>
                <w:sz w:val="21"/>
              </w:rPr>
              <w:t>本项目含数据机房，可把机房从纯负荷转为热源；须先厘清机房是否计入核算边界</w:t>
            </w:r>
          </w:p>
        </w:tc>
      </w:tr>
      <w:tr>
        <w:tc>
          <w:tcPr>
            <w:tcW w:type="dxa" w:w="1247"/>
          </w:tcPr>
          <w:p>
            <w:pPr>
              <w:spacing w:before="40" w:after="40"/>
              <w:jc w:val="left"/>
            </w:pPr>
            <w:r/>
            <w:r>
              <w:rPr>
                <w:rFonts w:ascii="仿宋_GB2312" w:hAnsi="仿宋_GB2312" w:eastAsia="仿宋_GB2312" w:cs="仿宋_GB2312"/>
                <w:b w:val="0"/>
                <w:sz w:val="21"/>
              </w:rPr>
              <w:t>办公场景联动</w:t>
            </w:r>
          </w:p>
        </w:tc>
        <w:tc>
          <w:tcPr>
            <w:tcW w:type="dxa" w:w="2268"/>
          </w:tcPr>
          <w:p>
            <w:pPr>
              <w:spacing w:before="40" w:after="40"/>
              <w:jc w:val="left"/>
            </w:pPr>
            <w:r/>
            <w:r>
              <w:rPr>
                <w:rFonts w:ascii="仿宋_GB2312" w:hAnsi="仿宋_GB2312" w:eastAsia="仿宋_GB2312" w:cs="仿宋_GB2312"/>
                <w:b w:val="0"/>
                <w:sz w:val="21"/>
              </w:rPr>
              <w:t>照明、空调风机盘管与会议室预约联动；人来灯亮人走灯灭；智能空开插座；四级用能监测</w:t>
            </w:r>
          </w:p>
        </w:tc>
        <w:tc>
          <w:tcPr>
            <w:tcW w:type="dxa" w:w="2665"/>
          </w:tcPr>
          <w:p>
            <w:pPr>
              <w:spacing w:before="40" w:after="40"/>
              <w:jc w:val="left"/>
            </w:pPr>
            <w:r/>
            <w:r>
              <w:rPr>
                <w:rFonts w:ascii="仿宋_GB2312" w:hAnsi="仿宋_GB2312" w:eastAsia="仿宋_GB2312" w:cs="仿宋_GB2312"/>
                <w:b w:val="0"/>
                <w:sz w:val="21"/>
              </w:rPr>
              <w:t>信息港，据新华网；绿智楼宇资料宣称空调末端结合负荷预测综合降耗15%</w:t>
            </w:r>
          </w:p>
        </w:tc>
        <w:tc>
          <w:tcPr>
            <w:tcW w:type="dxa" w:w="2665"/>
          </w:tcPr>
          <w:p>
            <w:pPr>
              <w:spacing w:before="40" w:after="40"/>
              <w:jc w:val="left"/>
            </w:pPr>
            <w:r/>
            <w:r>
              <w:rPr>
                <w:rFonts w:ascii="仿宋_GB2312" w:hAnsi="仿宋_GB2312" w:eastAsia="仿宋_GB2312" w:cs="仿宋_GB2312"/>
                <w:b w:val="0"/>
                <w:sz w:val="21"/>
              </w:rPr>
              <w:t>办公为主的园区可复制性最高，建议纳入平台首批功能</w:t>
            </w:r>
          </w:p>
        </w:tc>
      </w:tr>
      <w:tr>
        <w:tc>
          <w:tcPr>
            <w:tcW w:type="dxa" w:w="1247"/>
          </w:tcPr>
          <w:p>
            <w:pPr>
              <w:spacing w:before="40" w:after="40"/>
              <w:jc w:val="left"/>
            </w:pPr>
            <w:r/>
            <w:r>
              <w:rPr>
                <w:rFonts w:ascii="仿宋_GB2312" w:hAnsi="仿宋_GB2312" w:eastAsia="仿宋_GB2312" w:cs="仿宋_GB2312"/>
                <w:b w:val="0"/>
                <w:sz w:val="21"/>
              </w:rPr>
              <w:t>楼宇诊断分档</w:t>
            </w:r>
          </w:p>
        </w:tc>
        <w:tc>
          <w:tcPr>
            <w:tcW w:type="dxa" w:w="2268"/>
          </w:tcPr>
          <w:p>
            <w:pPr>
              <w:spacing w:before="40" w:after="40"/>
              <w:jc w:val="left"/>
            </w:pPr>
            <w:r/>
            <w:r>
              <w:rPr>
                <w:rFonts w:ascii="仿宋_GB2312" w:hAnsi="仿宋_GB2312" w:eastAsia="仿宋_GB2312" w:cs="仿宋_GB2312"/>
                <w:b w:val="0"/>
                <w:sz w:val="21"/>
              </w:rPr>
              <w:t>三大方向、五大维度、64项指标打分，不高于60应改、60至80宜改、不低于80可不改</w:t>
            </w:r>
          </w:p>
        </w:tc>
        <w:tc>
          <w:tcPr>
            <w:tcW w:type="dxa" w:w="2665"/>
          </w:tcPr>
          <w:p>
            <w:pPr>
              <w:spacing w:before="40" w:after="40"/>
              <w:jc w:val="left"/>
            </w:pPr>
            <w:r/>
            <w:r>
              <w:rPr>
                <w:rFonts w:ascii="仿宋_GB2312" w:hAnsi="仿宋_GB2312" w:eastAsia="仿宋_GB2312" w:cs="仿宋_GB2312"/>
                <w:b w:val="0"/>
                <w:sz w:val="21"/>
              </w:rPr>
              <w:t>绿智楼宇资料</w:t>
            </w:r>
          </w:p>
        </w:tc>
        <w:tc>
          <w:tcPr>
            <w:tcW w:type="dxa" w:w="2665"/>
          </w:tcPr>
          <w:p>
            <w:pPr>
              <w:spacing w:before="40" w:after="40"/>
              <w:jc w:val="left"/>
            </w:pPr>
            <w:r/>
            <w:r>
              <w:rPr>
                <w:rFonts w:ascii="仿宋_GB2312" w:hAnsi="仿宋_GB2312" w:eastAsia="仿宋_GB2312" w:cs="仿宋_GB2312"/>
                <w:b w:val="0"/>
                <w:sz w:val="21"/>
              </w:rPr>
              <w:t>可用于判断哪栋楼先改、先改什么；属企业标准，认证达标仍须回国家标准口径核算</w:t>
            </w:r>
          </w:p>
        </w:tc>
      </w:tr>
      <w:tr>
        <w:tc>
          <w:tcPr>
            <w:tcW w:type="dxa" w:w="1247"/>
          </w:tcPr>
          <w:p>
            <w:pPr>
              <w:spacing w:before="40" w:after="40"/>
              <w:jc w:val="left"/>
            </w:pPr>
            <w:r/>
            <w:r>
              <w:rPr>
                <w:rFonts w:ascii="仿宋_GB2312" w:hAnsi="仿宋_GB2312" w:eastAsia="仿宋_GB2312" w:cs="仿宋_GB2312"/>
                <w:b w:val="0"/>
                <w:sz w:val="21"/>
              </w:rPr>
              <w:t>负荷柔性与能碳底座</w:t>
            </w:r>
          </w:p>
        </w:tc>
        <w:tc>
          <w:tcPr>
            <w:tcW w:type="dxa" w:w="2268"/>
          </w:tcPr>
          <w:p>
            <w:pPr>
              <w:spacing w:before="40" w:after="40"/>
              <w:jc w:val="left"/>
            </w:pPr>
            <w:r/>
            <w:r>
              <w:rPr>
                <w:rFonts w:ascii="仿宋_GB2312" w:hAnsi="仿宋_GB2312" w:eastAsia="仿宋_GB2312" w:cs="仿宋_GB2312"/>
                <w:b w:val="0"/>
                <w:sz w:val="21"/>
              </w:rPr>
              <w:t>园区源网荷储、负荷柔性聚合与电网互动、能碳数字底座</w:t>
            </w:r>
          </w:p>
        </w:tc>
        <w:tc>
          <w:tcPr>
            <w:tcW w:type="dxa" w:w="2665"/>
          </w:tcPr>
          <w:p>
            <w:pPr>
              <w:spacing w:before="40" w:after="40"/>
              <w:jc w:val="left"/>
            </w:pPr>
            <w:r/>
            <w:r>
              <w:rPr>
                <w:rFonts w:ascii="仿宋_GB2312" w:hAnsi="仿宋_GB2312" w:eastAsia="仿宋_GB2312" w:cs="仿宋_GB2312"/>
                <w:b w:val="0"/>
                <w:sz w:val="21"/>
              </w:rPr>
              <w:t>建科院宣讲材料归纳的四个技术抓手</w:t>
            </w:r>
          </w:p>
        </w:tc>
        <w:tc>
          <w:tcPr>
            <w:tcW w:type="dxa" w:w="2665"/>
          </w:tcPr>
          <w:p>
            <w:pPr>
              <w:spacing w:before="40" w:after="40"/>
              <w:jc w:val="left"/>
            </w:pPr>
            <w:r/>
            <w:r>
              <w:rPr>
                <w:rFonts w:ascii="仿宋_GB2312" w:hAnsi="仿宋_GB2312" w:eastAsia="仿宋_GB2312" w:cs="仿宋_GB2312"/>
                <w:b w:val="0"/>
                <w:sz w:val="21"/>
              </w:rPr>
              <w:t>与移动侧的场景联动属同一平台两端，建议统一规划以避免二次集成</w:t>
            </w:r>
          </w:p>
        </w:tc>
      </w:tr>
    </w:tbl>
    <w:p>
      <w:pPr>
        <w:spacing w:before="120" w:after="0" w:lineRule="exact" w:line="580"/>
        <w:jc w:val="both"/>
      </w:pPr>
      <w:r>
        <w:rPr>
          <w:rFonts w:ascii="仿宋_GB2312" w:hAnsi="仿宋_GB2312" w:eastAsia="仿宋_GB2312" w:cs="仿宋_GB2312"/>
          <w:b w:val="0"/>
          <w:sz w:val="32"/>
        </w:rPr>
      </w:r>
    </w:p>
    <w:p>
      <w:pPr>
        <w:spacing w:before="160" w:after="0" w:lineRule="exact" w:line="580"/>
        <w:ind w:firstLine="640"/>
        <w:jc w:val="left"/>
      </w:pPr>
      <w:r>
        <w:rPr>
          <w:rFonts w:ascii="楷体_GB2312" w:hAnsi="楷体_GB2312" w:eastAsia="楷体_GB2312" w:cs="楷体_GB2312"/>
          <w:b w:val="0"/>
          <w:sz w:val="32"/>
        </w:rPr>
        <w:t>（九）三家能力的分工与合同门槛</w:t>
      </w:r>
    </w:p>
    <w:p>
      <w:pPr>
        <w:spacing w:before="0" w:after="0" w:lineRule="exact" w:line="580"/>
        <w:ind w:firstLine="640"/>
        <w:jc w:val="both"/>
      </w:pPr>
      <w:r>
        <w:rPr>
          <w:rFonts w:ascii="仿宋_GB2312" w:hAnsi="仿宋_GB2312" w:eastAsia="仿宋_GB2312" w:cs="仿宋_GB2312"/>
          <w:b w:val="0"/>
          <w:sz w:val="32"/>
        </w:rPr>
        <w:t>三家的位置可以分开安排。建科院对应指标设定与认证申报路径；中国移动对应楼宇诊断分档、平台建设与园区运营；清华方面会中表示可承担总指挥、集大成角色，把认证与智慧化等拼图整合，此为会中自述，未经评估。建科院宣讲中提出的合作方向属对方意向，是否采用及以何种方式采用，稿中未见任何决定。</w:t>
      </w:r>
    </w:p>
    <w:p>
      <w:pPr>
        <w:spacing w:before="0" w:after="0" w:lineRule="exact" w:line="580"/>
        <w:ind w:firstLine="640"/>
        <w:jc w:val="both"/>
      </w:pPr>
      <w:r>
        <w:rPr>
          <w:rFonts w:ascii="仿宋_GB2312" w:hAnsi="仿宋_GB2312" w:eastAsia="仿宋_GB2312" w:cs="仿宋_GB2312"/>
          <w:b w:val="0"/>
          <w:sz w:val="32"/>
        </w:rPr>
        <w:t>合规门槛需要提前算进节奏。会中明确清华方面提供方案须以合同为前提，并提到南网采购口径为5万元以下零星采购、5万元至400万元公开询价、400万元以上进入供应链集团流程。首阶段按技术服务或预可行性研究立项，与10月的交付节奏较为匹配。同时，清华校园完整方案因知识产权与国际对标原因未发布，本次只能取公开宣传版本，故宣传材料包的内容边界宜在合同中写明，避免后续争议。</w:t>
      </w:r>
    </w:p>
    <w:p>
      <w:pPr>
        <w:spacing w:before="280" w:after="80" w:lineRule="exact" w:line="580"/>
        <w:ind w:firstLine="640"/>
        <w:jc w:val="left"/>
      </w:pPr>
      <w:r>
        <w:rPr>
          <w:rFonts w:ascii="黑体" w:hAnsi="黑体" w:eastAsia="黑体" w:cs="黑体"/>
          <w:b w:val="0"/>
          <w:sz w:val="32"/>
        </w:rPr>
        <w:t>四、下一步的工作</w:t>
      </w:r>
    </w:p>
    <w:p>
      <w:pPr>
        <w:spacing w:before="0" w:after="0" w:lineRule="exact" w:line="580"/>
        <w:ind w:firstLine="640"/>
        <w:jc w:val="both"/>
      </w:pPr>
      <w:r>
        <w:rPr>
          <w:rFonts w:ascii="仿宋_GB2312" w:hAnsi="仿宋_GB2312" w:eastAsia="仿宋_GB2312" w:cs="仿宋_GB2312"/>
          <w:b w:val="0"/>
          <w:sz w:val="32"/>
        </w:rPr>
        <w:t>（一）组织10月预可行性方案的编制。按框架性、结果导向的要求搭建目录，把低碳、近零碳、碳中和三个层级并列，逐层给出达成条件、大致代价、认证路径与主要风险，供领导决策；缺数据处显性留白，宣讲材料、产品资料与会中口述数字只作量级参照，不进入方案指标。</w:t>
      </w:r>
    </w:p>
    <w:p>
      <w:pPr>
        <w:spacing w:before="0" w:after="0" w:lineRule="exact" w:line="580"/>
        <w:ind w:firstLine="640"/>
        <w:jc w:val="both"/>
      </w:pPr>
      <w:r>
        <w:rPr>
          <w:rFonts w:ascii="仿宋_GB2312" w:hAnsi="仿宋_GB2312" w:eastAsia="仿宋_GB2312" w:cs="仿宋_GB2312"/>
          <w:b w:val="0"/>
          <w:sz w:val="32"/>
        </w:rPr>
        <w:t>（二）推进清华方面的技术服务采购并组建联合工作组。按会中安排尽快启动采购，首阶段按技术服务或预可行性研究立项；结合5万元以下零星采购、5万元至400万元公开询价、400万元以上进入供应链集团的门槛选择路径；宣传材料包的内容边界在合同中写明；对接人为王天智。采购与合同事项在完成前不得表述为已签约或已立项。</w:t>
      </w:r>
    </w:p>
    <w:p>
      <w:pPr>
        <w:spacing w:before="0" w:after="0" w:lineRule="exact" w:line="580"/>
        <w:ind w:firstLine="640"/>
        <w:jc w:val="both"/>
      </w:pPr>
      <w:r>
        <w:rPr>
          <w:rFonts w:ascii="仿宋_GB2312" w:hAnsi="仿宋_GB2312" w:eastAsia="仿宋_GB2312" w:cs="仿宋_GB2312"/>
          <w:b w:val="0"/>
          <w:sz w:val="32"/>
        </w:rPr>
        <w:t>（三）核验用能基础数据。以园区平台数据核验会中口述的年用电约7000万度、空调与办公建筑部分约3500万度、供冷约7000万度等并存口径，明确数据机房是否计入核算边界，并核实现状光伏装机约2点几兆瓦的口径。此项是后续全部测算的前提。</w:t>
      </w:r>
    </w:p>
    <w:p>
      <w:pPr>
        <w:spacing w:before="0" w:after="0" w:lineRule="exact" w:line="580"/>
        <w:ind w:firstLine="640"/>
        <w:jc w:val="both"/>
      </w:pPr>
      <w:r>
        <w:rPr>
          <w:rFonts w:ascii="仿宋_GB2312" w:hAnsi="仿宋_GB2312" w:eastAsia="仿宋_GB2312" w:cs="仿宋_GB2312"/>
          <w:b w:val="0"/>
          <w:sz w:val="32"/>
        </w:rPr>
        <w:t>（四）开展空调与水系统深度诊断。作为预可研的第一项技术工作，取得实测基线与分项能耗结构，据此校核会中10%至20%的节能估算，再设定指标；同步比对绿智楼宇资料的诊断打分方法，判断其是否可用于本项目的楼宇分档。</w:t>
      </w:r>
    </w:p>
    <w:p>
      <w:pPr>
        <w:spacing w:before="0" w:after="0" w:lineRule="exact" w:line="580"/>
        <w:ind w:firstLine="640"/>
        <w:jc w:val="both"/>
      </w:pPr>
      <w:r>
        <w:rPr>
          <w:rFonts w:ascii="仿宋_GB2312" w:hAnsi="仿宋_GB2312" w:eastAsia="仿宋_GB2312" w:cs="仿宋_GB2312"/>
          <w:b w:val="0"/>
          <w:sz w:val="32"/>
        </w:rPr>
        <w:t>（五）摸清光伏资源家底。借清华方面提出的卫星图像评估手段对屋顶与立面资源作快速普查，立面部分与既有建筑历史风貌、外立面不可大改的约束一并论证，再确定装机规模与投资节奏。</w:t>
      </w:r>
    </w:p>
    <w:p>
      <w:pPr>
        <w:spacing w:before="0" w:after="0" w:lineRule="exact" w:line="580"/>
        <w:ind w:firstLine="640"/>
        <w:jc w:val="both"/>
      </w:pPr>
      <w:r>
        <w:rPr>
          <w:rFonts w:ascii="仿宋_GB2312" w:hAnsi="仿宋_GB2312" w:eastAsia="仿宋_GB2312" w:cs="仿宋_GB2312"/>
          <w:b w:val="0"/>
          <w:sz w:val="32"/>
        </w:rPr>
        <w:t>（六）安排冰蓄冷控制策略与实时电价的对接方案。跟踪国家取消固定低谷时段后广东实施细则的进展，测算细则落地前后现有蓄冷策略的经济性变化，形成过渡期与稳态期两套控制目标，并与负荷柔性聚合、电网互动、负荷预测等能力合并规划。</w:t>
      </w:r>
    </w:p>
    <w:p>
      <w:pPr>
        <w:spacing w:before="0" w:after="0" w:lineRule="exact" w:line="580"/>
        <w:ind w:firstLine="640"/>
        <w:jc w:val="both"/>
      </w:pPr>
      <w:r>
        <w:rPr>
          <w:rFonts w:ascii="仿宋_GB2312" w:hAnsi="仿宋_GB2312" w:eastAsia="仿宋_GB2312" w:cs="仿宋_GB2312"/>
          <w:b w:val="0"/>
          <w:sz w:val="32"/>
        </w:rPr>
        <w:t>（七）确定评价口径并校核指标。就以住建部体系为主要参照的判断向建科院核实，确认《零碳建筑技术标准》的稿件状态与实施时间、认证基准GB 55015-2021的适用方式；就绿智楼宇资料中“引导值”的口径向中国移动书面确认，以澄清8月20日纪要中“引领值”的记录笔误。</w:t>
      </w:r>
    </w:p>
    <w:p>
      <w:pPr>
        <w:spacing w:before="0" w:after="0" w:lineRule="exact" w:line="580"/>
        <w:ind w:firstLine="640"/>
        <w:jc w:val="both"/>
      </w:pPr>
      <w:r>
        <w:rPr>
          <w:rFonts w:ascii="仿宋_GB2312" w:hAnsi="仿宋_GB2312" w:eastAsia="仿宋_GB2312" w:cs="仿宋_GB2312"/>
          <w:b w:val="0"/>
          <w:sz w:val="32"/>
        </w:rPr>
        <w:t>（八）选定试点分区。按可停机窗口、用能可计量、措施可复制、成效可验证四项标准比选试点，纳入会中提到的1号楼后空地等场地，并与8月19日交流提出的数据机房突破口合并考虑。</w:t>
      </w:r>
    </w:p>
    <w:p>
      <w:pPr>
        <w:spacing w:before="0" w:after="0" w:lineRule="exact" w:line="580"/>
        <w:ind w:firstLine="640"/>
        <w:jc w:val="both"/>
      </w:pPr>
      <w:r>
        <w:rPr>
          <w:rFonts w:ascii="仿宋_GB2312" w:hAnsi="仿宋_GB2312" w:eastAsia="仿宋_GB2312" w:cs="仿宋_GB2312"/>
          <w:b w:val="0"/>
          <w:sz w:val="32"/>
        </w:rPr>
        <w:t>（九）统一对外口径。“全国首个零碳机房”固定表述为会内提出的争取方向，注明尚无申报或确认依据，对外场合不使用；宣讲材料中雄安等项目的“首个”表述写明据宣讲材料；建科院宣讲提出的合作方向表述为对方意向；清华会中的节能潜力、单位成本等数字标注为会中估算，不得表述为已验收；绿智楼宇资料的成效数字标注为资料宣称，其中楼宇自控改造一组另注为预测值。</w:t>
      </w:r>
    </w:p>
    <w:p>
      <w:pPr>
        <w:spacing w:before="0" w:after="0" w:lineRule="exact" w:line="580"/>
        <w:ind w:firstLine="640"/>
        <w:jc w:val="both"/>
      </w:pPr>
      <w:r>
        <w:rPr>
          <w:rFonts w:ascii="仿宋_GB2312" w:hAnsi="仿宋_GB2312" w:eastAsia="仿宋_GB2312" w:cs="仿宋_GB2312"/>
          <w:b w:val="0"/>
          <w:sz w:val="32"/>
        </w:rPr>
        <w:t>（十）推进后续调研与“好房子”软课题。深圳的腾讯企鹅岛、大梅沙万科中心碳中和实验园区，广州的中国移动南方基地，按调研计划推进；中国移动国际信息港的实地环节，按既有园区节能改造、照明与空调联动、余热利用、智慧电力监控、数据中心节能及运行绩效核证等重点核实公开报道与产品资料所载内容，其中运行绩效核证需现场了解。“好房子”软课题按8月19日交流的倾向由内部团队自主开展，第一步先界定研究对象、问题清单、成果形式与所需资料。</w:t>
      </w:r>
    </w:p>
    <w:p>
      <w:pPr>
        <w:spacing w:before="240" w:after="0" w:lineRule="exact" w:line="580"/>
        <w:jc w:val="both"/>
      </w:pPr>
      <w:r>
        <w:rPr>
          <w:rFonts w:ascii="仿宋_GB2312" w:hAnsi="仿宋_GB2312" w:eastAsia="仿宋_GB2312" w:cs="仿宋_GB2312"/>
          <w:b w:val="0"/>
          <w:sz w:val="32"/>
        </w:rPr>
      </w:r>
    </w:p>
    <w:p>
      <w:pPr>
        <w:spacing w:before="0" w:after="0" w:lineRule="exact" w:line="580"/>
        <w:jc w:val="right"/>
      </w:pPr>
      <w:r>
        <w:rPr>
          <w:rFonts w:ascii="仿宋_GB2312" w:hAnsi="仿宋_GB2312" w:eastAsia="仿宋_GB2312" w:cs="仿宋_GB2312"/>
          <w:b w:val="0"/>
          <w:sz w:val="32"/>
        </w:rPr>
        <w:t>报告人：王天智</w:t>
      </w:r>
    </w:p>
    <w:p>
      <w:pPr>
        <w:spacing w:before="0" w:after="0" w:lineRule="exact" w:line="580"/>
        <w:jc w:val="right"/>
      </w:pPr>
      <w:r>
        <w:rPr>
          <w:rFonts w:ascii="仿宋_GB2312" w:hAnsi="仿宋_GB2312" w:eastAsia="仿宋_GB2312" w:cs="仿宋_GB2312"/>
          <w:b w:val="0"/>
          <w:sz w:val="32"/>
        </w:rPr>
        <w:t>单位：南方电网综合能源（广东）有限公司</w:t>
      </w:r>
    </w:p>
    <w:p>
      <w:pPr>
        <w:spacing w:before="0" w:after="0" w:lineRule="exact" w:line="580"/>
        <w:jc w:val="right"/>
      </w:pPr>
      <w:r>
        <w:rPr>
          <w:rFonts w:ascii="仿宋_GB2312" w:hAnsi="仿宋_GB2312" w:eastAsia="仿宋_GB2312" w:cs="仿宋_GB2312"/>
          <w:b w:val="0"/>
          <w:sz w:val="32"/>
        </w:rPr>
        <w:t>时间：2026年8月</w:t>
      </w:r>
    </w:p>
    <w:p>
      <w:pPr>
        <w:spacing w:before="0" w:after="0" w:lineRule="exact" w:line="580"/>
        <w:ind w:firstLine="640"/>
        <w:jc w:val="both"/>
      </w:pPr>
      <w:r>
        <w:rPr>
          <w:rFonts w:ascii="仿宋_GB2312" w:hAnsi="仿宋_GB2312" w:eastAsia="仿宋_GB2312" w:cs="仿宋_GB2312"/>
          <w:b w:val="0"/>
          <w:sz w:val="32"/>
        </w:rPr>
        <w:t>附：另有《审查说明》与本报告同目录存放，逐条列明各项内容的资料出处、属本人判断的部分，以及口述数据与资料宣称数据的处理方式，供内部审阅核对，不随本报告一并使用。</w:t>
      </w:r>
    </w:p>
    <w:sectPr w:rsidR="00FC693F" w:rsidRPr="0006063C" w:rsidSect="00034616">
      <w:headerReference w:type="default" r:id="rId9"/>
      <w:footerReference w:type="default" r:id="rId10"/>
      <w:pgSz w:w="11906" w:h="16838"/>
      <w:pgMar w:top="2098" w:right="1474" w:bottom="1984" w:left="158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28"/>
      </w:rPr>
      <w:t xml:space="preserve">— </w:t>
    </w:r>
    <w:r>
      <w:rPr>
        <w:rFonts w:ascii="宋体" w:hAnsi="宋体" w:eastAsia="宋体" w:cs="宋体"/>
        <w:b w:val="0"/>
        <w:sz w:val="28"/>
      </w:rPr>
      <w:fldChar w:fldCharType="begin"/>
      <w:instrText xml:space="preserve">PAGE</w:instrText>
      <w:fldChar w:fldCharType="end"/>
    </w:r>
    <w:r>
      <w:rPr>
        <w:rFonts w:ascii="宋体" w:hAnsi="宋体" w:eastAsia="宋体" w:cs="宋体"/>
        <w:b w:val="0"/>
        <w:sz w:val="2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仿宋_GB2312" w:hAnsi="仿宋_GB2312" w:eastAsia="仿宋_GB2312" w:cs="仿宋_GB2312"/>
        <w:b w:val="0"/>
        <w:sz w:val="21"/>
      </w:rPr>
      <w:t>调研报告：南网总部基地北京调研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cs="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调研报告：南网总部基地北京调研</dc:title>
  <dc:subject/>
  <dc:creator>王天智</dc:creator>
  <cp:keywords/>
  <dc:description>generated by python-docx</dc:description>
  <cp:lastModifiedBy/>
  <cp:revision>1</cp:revision>
  <dcterms:created xsi:type="dcterms:W3CDTF">2013-12-23T23:15:00Z</dcterms:created>
  <dcterms:modified xsi:type="dcterms:W3CDTF">2013-12-23T23:15:00Z</dcterms:modified>
  <cp:category/>
</cp:coreProperties>
</file>