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/>
        <w:jc w:val="center"/>
      </w:pPr>
      <w:r>
        <w:rPr>
          <w:rFonts w:ascii="Times New Roman" w:hAnsi="Times New Roman" w:eastAsia="方正小标宋简体"/>
          <w:b w:val="0"/>
          <w:sz w:val="40"/>
        </w:rPr>
        <w:t>腾龙湾区数据中心项目窗口指导细目及审查意见</w:t>
      </w:r>
    </w:p>
    <w:p>
      <w:pPr>
        <w:spacing w:before="0" w:after="240"/>
        <w:jc w:val="center"/>
      </w:pPr>
      <w:r>
        <w:rPr>
          <w:rFonts w:ascii="Times New Roman" w:hAnsi="Times New Roman" w:eastAsia="楷体"/>
          <w:b w:val="0"/>
          <w:sz w:val="24"/>
        </w:rPr>
        <w:t>（二〇二六年九月二日 窗口指导评审用）</w:t>
      </w:r>
    </w:p>
    <w:p>
      <w:pPr>
        <w:spacing w:before="0" w:after="0"/>
        <w:ind w:firstLine="480"/>
      </w:pPr>
      <w:r>
        <w:rPr>
          <w:rFonts w:ascii="Times New Roman" w:hAnsi="Times New Roman" w:eastAsia="仿宋"/>
          <w:b w:val="0"/>
          <w:sz w:val="24"/>
        </w:rPr>
        <w:t>结论：腾龙湾区数据中心项目现报送稿不具备出具肯定性窗口意见的条件。本轮评审只记录问题和整改要求，不确认本项目的申请规模、能耗指标、PUE 水平、绿电比例、能耗替代方式及财务可行性。请申请人先在整体 202MW 与一期 136MW 之间冻结本次唯一申请口径，再按本件第三部分补正后另行提出。</w:t>
      </w:r>
    </w:p>
    <w:p>
      <w:pPr>
        <w:spacing w:before="0" w:after="0"/>
        <w:ind w:firstLine="480"/>
      </w:pPr>
      <w:r>
        <w:rPr>
          <w:rFonts w:ascii="Times New Roman" w:hAnsi="Times New Roman" w:eastAsia="仿宋"/>
          <w:b w:val="0"/>
          <w:sz w:val="24"/>
        </w:rPr>
        <w:t>说明：本件所引报送材料原文均来自申请人提交的申报文本引述，该引述未提供页码，故各条“位置”栏一律如实标注“页码稿中未见”，以章节或字段定位。本件所列数字均取自申报材料及其可复核的算术结果，未作外部补充。</w:t>
      </w:r>
    </w:p>
    <w:p>
      <w:pPr>
        <w:spacing w:before="240" w:after="80"/>
        <w:ind w:firstLine="600"/>
      </w:pPr>
      <w:r>
        <w:rPr>
          <w:rFonts w:ascii="Times New Roman" w:hAnsi="Times New Roman" w:eastAsia="黑体"/>
          <w:b w:val="0"/>
          <w:sz w:val="30"/>
        </w:rPr>
        <w:t>一、项目基本情况</w:t>
      </w:r>
    </w:p>
    <w:p>
      <w:pPr>
        <w:spacing w:before="0" w:after="0"/>
        <w:ind w:firstLine="480"/>
      </w:pPr>
      <w:r>
        <w:rPr>
          <w:rFonts w:ascii="Times New Roman" w:hAnsi="Times New Roman" w:eastAsia="仿宋"/>
          <w:b w:val="0"/>
          <w:sz w:val="24"/>
        </w:rPr>
        <w:t>项目名称：腾龙湾区数据中心项目。建设地点：佛山市南海区西樵，用地约 120.26 亩。项目性质：申报稿写为新建。</w:t>
      </w:r>
    </w:p>
    <w:p>
      <w:pPr>
        <w:spacing w:before="0" w:after="0"/>
        <w:ind w:firstLine="480"/>
      </w:pPr>
      <w:r>
        <w:rPr>
          <w:rFonts w:ascii="Times New Roman" w:hAnsi="Times New Roman" w:eastAsia="仿宋"/>
          <w:b w:val="0"/>
          <w:sz w:val="24"/>
        </w:rPr>
        <w:t>申报主体及关联主体：申请主体为广东腾龙数据科技有限公司（外国法人独资），投资主体另列腾龙数据科技发展公司，运营主体为鹏城金云，背景方为普洛斯。三者在申报稿中分列，权责关系稿中未见闭合说明。</w:t>
      </w:r>
    </w:p>
    <w:p>
      <w:pPr>
        <w:spacing w:before="0" w:after="0"/>
        <w:ind w:firstLine="480"/>
      </w:pPr>
      <w:r>
        <w:rPr>
          <w:rFonts w:ascii="Times New Roman" w:hAnsi="Times New Roman" w:eastAsia="仿宋"/>
          <w:b w:val="0"/>
          <w:sz w:val="24"/>
        </w:rPr>
        <w:t>建设规模：申报稿宣称整体 IT 功率 202MW、总投资 41.81 亿元，同时列出一期 136MW、投资 31.52 亿元。机柜配置为 480 个 14.4kW 风冷机柜和 7056 个 27.78kW 冷板液冷机柜，稿内折合标准机柜约 8.12 万个。楼栋配置方面，稿内可见 1# 智算楼 120 个模块、48MW，2# 96 个模块、48MW。</w:t>
      </w:r>
    </w:p>
    <w:p>
      <w:pPr>
        <w:spacing w:before="0" w:after="0"/>
        <w:ind w:firstLine="480"/>
      </w:pPr>
      <w:r>
        <w:rPr>
          <w:rFonts w:ascii="Times New Roman" w:hAnsi="Times New Roman" w:eastAsia="仿宋"/>
          <w:b w:val="0"/>
          <w:sz w:val="24"/>
        </w:rPr>
        <w:t>能耗与能效：设计 PUE 1.173；年总用电量 20.8589 亿千瓦时，其中 IT 用电量 17.7765 亿千瓦时；年综合能耗当量值 256355.86 吨标准煤、等价值 591746.09 吨标准煤；单位工业增加值能耗 4.569 吨标准煤/万元，稿内同时引用佛山市规模以上工业口径 2.42 吨标准煤/万元。</w:t>
      </w:r>
    </w:p>
    <w:p>
      <w:pPr>
        <w:spacing w:before="0" w:after="0"/>
        <w:ind w:firstLine="480"/>
      </w:pPr>
      <w:r>
        <w:rPr>
          <w:rFonts w:ascii="Times New Roman" w:hAnsi="Times New Roman" w:eastAsia="仿宋"/>
          <w:b w:val="0"/>
          <w:sz w:val="24"/>
        </w:rPr>
        <w:t>绿电与能耗替代：结论章承诺绿电 100%，背景章另称“争取 20%”，两高替代专章以购买绿证作为能耗替代方式，拟与售电公司签约并通过电力交易中心采购。</w:t>
      </w:r>
    </w:p>
    <w:p>
      <w:pPr>
        <w:spacing w:before="0" w:after="0"/>
        <w:ind w:firstLine="480"/>
      </w:pPr>
      <w:r>
        <w:rPr>
          <w:rFonts w:ascii="Times New Roman" w:hAnsi="Times New Roman" w:eastAsia="仿宋"/>
          <w:b w:val="0"/>
          <w:sz w:val="24"/>
        </w:rPr>
        <w:t>选址周边与配套：项目东侧为多层居住，南侧为太平中学大道，西侧地块西侧为太平中学操场；柴发系统设置埋地油罐 160 立方米。</w:t>
      </w:r>
    </w:p>
    <w:p>
      <w:pPr>
        <w:spacing w:before="0" w:after="0"/>
        <w:ind w:firstLine="480"/>
      </w:pPr>
      <w:r>
        <w:rPr>
          <w:rFonts w:ascii="Times New Roman" w:hAnsi="Times New Roman" w:eastAsia="仿宋"/>
          <w:b w:val="0"/>
          <w:sz w:val="24"/>
        </w:rPr>
        <w:t>其他情况：腾龙数据科技发展公司 2024 年已有 1.34 亿元主体工程竣工转固，近三年营业收入为零。政策依据引用粤工信信软〔2020〕73 号，其规划期为 2021—2025 年。</w:t>
      </w:r>
    </w:p>
    <w:p>
      <w:pPr>
        <w:spacing w:before="240" w:after="80"/>
        <w:ind w:firstLine="600"/>
      </w:pPr>
      <w:r>
        <w:rPr>
          <w:rFonts w:ascii="Times New Roman" w:hAnsi="Times New Roman" w:eastAsia="黑体"/>
          <w:b w:val="0"/>
          <w:sz w:val="30"/>
        </w:rPr>
        <w:t>二、窗口指导细目</w:t>
      </w:r>
    </w:p>
    <w:p>
      <w:pPr>
        <w:spacing w:before="0" w:after="0"/>
        <w:ind w:firstLine="480"/>
      </w:pPr>
      <w:r>
        <w:rPr>
          <w:rFonts w:ascii="Times New Roman" w:hAnsi="Times New Roman" w:eastAsia="仿宋"/>
          <w:b w:val="0"/>
          <w:sz w:val="24"/>
        </w:rPr>
        <w:t>本部分共 13 项，按风险等级分列：高风险 7 项、中风险 5 项、低风险 1 项。每项列位置、原文摘录、问题、现场追问四栏。</w:t>
      </w:r>
    </w:p>
    <w:p>
      <w:pPr>
        <w:spacing w:before="160" w:after="0"/>
        <w:ind w:firstLine="560"/>
      </w:pPr>
      <w:r>
        <w:rPr>
          <w:rFonts w:ascii="Times New Roman" w:hAnsi="Times New Roman" w:eastAsia="楷体"/>
          <w:b/>
          <w:sz w:val="28"/>
        </w:rPr>
        <w:t>（一）高风险问题</w:t>
      </w:r>
    </w:p>
    <w:p>
      <w:pPr>
        <w:spacing w:before="120" w:after="0"/>
        <w:ind w:firstLine="480"/>
      </w:pPr>
      <w:r>
        <w:rPr>
          <w:rFonts w:ascii="Times New Roman" w:hAnsi="Times New Roman" w:eastAsia="仿宋"/>
          <w:b/>
          <w:sz w:val="24"/>
        </w:rPr>
        <w:t>1. 本次申请规模不唯一，整体口径、机柜算术口径与一期口径三者并列</w:t>
      </w:r>
    </w:p>
    <w:p>
      <w:pPr>
        <w:spacing w:before="0" w:after="0"/>
        <w:ind w:firstLine="480"/>
      </w:pPr>
      <w:r>
        <w:rPr>
          <w:rFonts w:ascii="Times New Roman" w:hAnsi="Times New Roman" w:eastAsia="黑体"/>
          <w:b w:val="0"/>
          <w:sz w:val="24"/>
        </w:rPr>
        <w:t>【位置】</w:t>
      </w:r>
      <w:r>
        <w:rPr>
          <w:rFonts w:ascii="Times New Roman" w:hAnsi="Times New Roman" w:eastAsia="仿宋"/>
          <w:b w:val="0"/>
          <w:sz w:val="24"/>
        </w:rPr>
        <w:t>项目概况及建设规模章节（页码稿中未见）。</w:t>
      </w:r>
    </w:p>
    <w:p>
      <w:pPr>
        <w:spacing w:before="0" w:after="0"/>
        <w:ind w:firstLine="480"/>
      </w:pPr>
      <w:r>
        <w:rPr>
          <w:rFonts w:ascii="Times New Roman" w:hAnsi="Times New Roman" w:eastAsia="黑体"/>
          <w:b w:val="0"/>
          <w:sz w:val="24"/>
        </w:rPr>
        <w:t>【原文摘录】</w:t>
      </w:r>
      <w:r>
        <w:rPr>
          <w:rFonts w:ascii="Times New Roman" w:hAnsi="Times New Roman" w:eastAsia="仿宋"/>
          <w:b w:val="0"/>
          <w:sz w:val="24"/>
        </w:rPr>
        <w:t>“宣称 202MW / 总投 41.81 亿，一期 136MW / 31.52 亿。”“480 个 14.4kW 风冷 + 7056 个 27.78kW 冷板液冷，IT 约 202.9MW，折合标准机柜约 8.12 万个。”</w:t>
      </w:r>
    </w:p>
    <w:p>
      <w:pPr>
        <w:spacing w:before="0" w:after="0"/>
        <w:ind w:firstLine="480"/>
      </w:pPr>
      <w:r>
        <w:rPr>
          <w:rFonts w:ascii="Times New Roman" w:hAnsi="Times New Roman" w:eastAsia="黑体"/>
          <w:b w:val="0"/>
          <w:sz w:val="24"/>
        </w:rPr>
        <w:t>【问题】</w:t>
      </w:r>
      <w:r>
        <w:rPr>
          <w:rFonts w:ascii="Times New Roman" w:hAnsi="Times New Roman" w:eastAsia="仿宋"/>
          <w:b w:val="0"/>
          <w:sz w:val="24"/>
        </w:rPr>
        <w:t>按机柜逐项相加，480×14.4kW＝6912kW，7056×27.78kW＝196015.68kW，合计 202927.68kW，即 202.92768MW，与稿内“约 202.9MW”及“约 8.12 万个标准机柜”（202927.68÷2.5≈81171 个）可以互相印证。但该算术只能证明整体 202MW 一档，不能同时证明一期 136MW。一期对应哪些楼栋、模块、机柜、投资、用地、变电容量和年电量，稿中未见。经复核，整体单位投资约为 41.81 亿元÷202.93MW≈2060 万元/MW，一期为 31.52 亿元÷136MW≈2318 万元/MW，剩余约 66.93MW 仅对应 10.29 亿元、约 1538 万元/MW，三者差异较大，稿中未见分摊口径说明。窗口审查无法在两个规模之间自行选定。</w:t>
      </w:r>
    </w:p>
    <w:p>
      <w:pPr>
        <w:spacing w:before="0" w:after="0"/>
        <w:ind w:firstLine="480"/>
      </w:pPr>
      <w:r>
        <w:rPr>
          <w:rFonts w:ascii="Times New Roman" w:hAnsi="Times New Roman" w:eastAsia="黑体"/>
          <w:b w:val="0"/>
          <w:sz w:val="24"/>
        </w:rPr>
        <w:t>【现场追问】</w:t>
      </w:r>
      <w:r>
        <w:rPr>
          <w:rFonts w:ascii="Times New Roman" w:hAnsi="Times New Roman" w:eastAsia="仿宋"/>
          <w:b w:val="0"/>
          <w:sz w:val="24"/>
        </w:rPr>
        <w:t>请申请人当场确认本次窗口申请究竟是整体 202MW 还是一期 136MW，只保留一个申请值；并就该申请值提交对应的机柜清单、楼栋与模块划分、投资额、用地面积、变电容量、年用电量和投产计划，同时说明整体与一期单位投资差异的构成。</w:t>
      </w:r>
    </w:p>
    <w:p>
      <w:pPr>
        <w:spacing w:before="120" w:after="0"/>
        <w:ind w:firstLine="480"/>
      </w:pPr>
      <w:r>
        <w:rPr>
          <w:rFonts w:ascii="Times New Roman" w:hAnsi="Times New Roman" w:eastAsia="仿宋"/>
          <w:b/>
          <w:sz w:val="24"/>
        </w:rPr>
        <w:t>2. 需求侧未形成“客户—服务地址—IT 功率—交付期”闭环</w:t>
      </w:r>
    </w:p>
    <w:p>
      <w:pPr>
        <w:spacing w:before="0" w:after="0"/>
        <w:ind w:firstLine="480"/>
      </w:pPr>
      <w:r>
        <w:rPr>
          <w:rFonts w:ascii="Times New Roman" w:hAnsi="Times New Roman" w:eastAsia="黑体"/>
          <w:b w:val="0"/>
          <w:sz w:val="24"/>
        </w:rPr>
        <w:t>【位置】</w:t>
      </w:r>
      <w:r>
        <w:rPr>
          <w:rFonts w:ascii="Times New Roman" w:hAnsi="Times New Roman" w:eastAsia="仿宋"/>
          <w:b w:val="0"/>
          <w:sz w:val="24"/>
        </w:rPr>
        <w:t>需求章节（具体章节及页码稿中未见）。</w:t>
      </w:r>
    </w:p>
    <w:p>
      <w:pPr>
        <w:spacing w:before="0" w:after="0"/>
        <w:ind w:firstLine="480"/>
      </w:pPr>
      <w:r>
        <w:rPr>
          <w:rFonts w:ascii="Times New Roman" w:hAnsi="Times New Roman" w:eastAsia="黑体"/>
          <w:b w:val="0"/>
          <w:sz w:val="24"/>
        </w:rPr>
        <w:t>【原文摘录】</w:t>
      </w:r>
      <w:r>
        <w:rPr>
          <w:rFonts w:ascii="Times New Roman" w:hAnsi="Times New Roman" w:eastAsia="仿宋"/>
          <w:b w:val="0"/>
          <w:sz w:val="24"/>
        </w:rPr>
        <w:t>所给腾龙申报材料引述中，已签约需求、意向需求、客户名称、服务地址及合同清单均稿中未见。</w:t>
      </w:r>
    </w:p>
    <w:p>
      <w:pPr>
        <w:spacing w:before="0" w:after="0"/>
        <w:ind w:firstLine="480"/>
      </w:pPr>
      <w:r>
        <w:rPr>
          <w:rFonts w:ascii="Times New Roman" w:hAnsi="Times New Roman" w:eastAsia="黑体"/>
          <w:b w:val="0"/>
          <w:sz w:val="24"/>
        </w:rPr>
        <w:t>【问题】</w:t>
      </w:r>
      <w:r>
        <w:rPr>
          <w:rFonts w:ascii="Times New Roman" w:hAnsi="Times New Roman" w:eastAsia="仿宋"/>
          <w:b w:val="0"/>
          <w:sz w:val="24"/>
        </w:rPr>
        <w:t>本项目建设规模约 202.9MW、折合标准机柜约 8.12 万个，但没有可核对的同址已签约需求或意向需求支撑，也无法区分已签约量与意向量。在需求证据完全缺位的情况下，规模的必要性、投产节奏和收益测算均无从验证。</w:t>
      </w:r>
    </w:p>
    <w:p>
      <w:pPr>
        <w:spacing w:before="0" w:after="0"/>
        <w:ind w:firstLine="480"/>
      </w:pPr>
      <w:r>
        <w:rPr>
          <w:rFonts w:ascii="Times New Roman" w:hAnsi="Times New Roman" w:eastAsia="黑体"/>
          <w:b w:val="0"/>
          <w:sz w:val="24"/>
        </w:rPr>
        <w:t>【现场追问】</w:t>
      </w:r>
      <w:r>
        <w:rPr>
          <w:rFonts w:ascii="Times New Roman" w:hAnsi="Times New Roman" w:eastAsia="仿宋"/>
          <w:b w:val="0"/>
          <w:sz w:val="24"/>
        </w:rPr>
        <w:t>请逐项列明客户名称、合同或意向的法律性质、服务地址是否为西樵本址、承诺 IT 功率（MW）、机架数量、上架时间及退出条款；若客户信息涉密，请提供可供窗口核验的脱敏合同，保留地址、功率、期限、违约与退出条款；若目前尚无已签约需求，请明确不得将意向量表述为已锁定的消纳量。</w:t>
      </w:r>
    </w:p>
    <w:p>
      <w:pPr>
        <w:spacing w:before="120" w:after="0"/>
        <w:ind w:firstLine="480"/>
      </w:pPr>
      <w:r>
        <w:rPr>
          <w:rFonts w:ascii="Times New Roman" w:hAnsi="Times New Roman" w:eastAsia="仿宋"/>
          <w:b/>
          <w:sz w:val="24"/>
        </w:rPr>
        <w:t>3. 绿电 100%、争取 20% 与购买绿证替代三套口径并存</w:t>
      </w:r>
    </w:p>
    <w:p>
      <w:pPr>
        <w:spacing w:before="0" w:after="0"/>
        <w:ind w:firstLine="480"/>
      </w:pPr>
      <w:r>
        <w:rPr>
          <w:rFonts w:ascii="Times New Roman" w:hAnsi="Times New Roman" w:eastAsia="黑体"/>
          <w:b w:val="0"/>
          <w:sz w:val="24"/>
        </w:rPr>
        <w:t>【位置】</w:t>
      </w:r>
      <w:r>
        <w:rPr>
          <w:rFonts w:ascii="Times New Roman" w:hAnsi="Times New Roman" w:eastAsia="仿宋"/>
          <w:b w:val="0"/>
          <w:sz w:val="24"/>
        </w:rPr>
        <w:t>背景章、2.6 绿电供给、结论章及两高替代专章（页码稿中未见）。</w:t>
      </w:r>
    </w:p>
    <w:p>
      <w:pPr>
        <w:spacing w:before="0" w:after="0"/>
        <w:ind w:firstLine="480"/>
      </w:pPr>
      <w:r>
        <w:rPr>
          <w:rFonts w:ascii="Times New Roman" w:hAnsi="Times New Roman" w:eastAsia="黑体"/>
          <w:b w:val="0"/>
          <w:sz w:val="24"/>
        </w:rPr>
        <w:t>【原文摘录】</w:t>
      </w:r>
      <w:r>
        <w:rPr>
          <w:rFonts w:ascii="Times New Roman" w:hAnsi="Times New Roman" w:eastAsia="仿宋"/>
          <w:b w:val="0"/>
          <w:sz w:val="24"/>
        </w:rPr>
        <w:t>“能耗替代：买绿证。”“结论章承诺绿电 100%；背景章另引争取 20%。”“拟与售电公司签约，通过电力交易中心采购，实现 100% 绿电。”</w:t>
      </w:r>
    </w:p>
    <w:p>
      <w:pPr>
        <w:spacing w:before="0" w:after="0"/>
        <w:ind w:firstLine="480"/>
      </w:pPr>
      <w:r>
        <w:rPr>
          <w:rFonts w:ascii="Times New Roman" w:hAnsi="Times New Roman" w:eastAsia="黑体"/>
          <w:b w:val="0"/>
          <w:sz w:val="24"/>
        </w:rPr>
        <w:t>【问题】</w:t>
      </w:r>
      <w:r>
        <w:rPr>
          <w:rFonts w:ascii="Times New Roman" w:hAnsi="Times New Roman" w:eastAsia="仿宋"/>
          <w:b w:val="0"/>
          <w:sz w:val="24"/>
        </w:rPr>
        <w:t>“拟签约”不等于已落实合同，结论章的 100% 与背景章的“争取 20%”直接冲突。更重要的是，电力交易的物理结算电量、绿证数量与环境权益归属属于三个不同标的，稿内将其混写为同一项，未列年度电量、绿证张数、计量点、权益归属主体和注销安排。在此情况下，绿电比例不具备可核验性。</w:t>
      </w:r>
    </w:p>
    <w:p>
      <w:pPr>
        <w:spacing w:before="0" w:after="0"/>
        <w:ind w:firstLine="480"/>
      </w:pPr>
      <w:r>
        <w:rPr>
          <w:rFonts w:ascii="Times New Roman" w:hAnsi="Times New Roman" w:eastAsia="黑体"/>
          <w:b w:val="0"/>
          <w:sz w:val="24"/>
        </w:rPr>
        <w:t>【现场追问】</w:t>
      </w:r>
      <w:r>
        <w:rPr>
          <w:rFonts w:ascii="Times New Roman" w:hAnsi="Times New Roman" w:eastAsia="仿宋"/>
          <w:b w:val="0"/>
          <w:sz w:val="24"/>
        </w:rPr>
        <w:t>请按年度分别列明本项目的物理结算绿电电量、绿证数量、环境权益归属主体及注销主体，并说明购买绿证为何可以作为本项目的能耗替代手段；若相关合同尚未签署，请说明结论章承诺 100% 绿电的依据。本轮不接受以公司层面历史采购量代替项目级落实证据。</w:t>
      </w:r>
    </w:p>
    <w:p>
      <w:pPr>
        <w:spacing w:before="120" w:after="0"/>
        <w:ind w:firstLine="480"/>
      </w:pPr>
      <w:r>
        <w:rPr>
          <w:rFonts w:ascii="Times New Roman" w:hAnsi="Times New Roman" w:eastAsia="仿宋"/>
          <w:b/>
          <w:sz w:val="24"/>
        </w:rPr>
        <w:t>4. 两高专章有数字但替代来源和适用边界未闭合</w:t>
      </w:r>
    </w:p>
    <w:p>
      <w:pPr>
        <w:spacing w:before="0" w:after="0"/>
        <w:ind w:firstLine="480"/>
      </w:pPr>
      <w:r>
        <w:rPr>
          <w:rFonts w:ascii="Times New Roman" w:hAnsi="Times New Roman" w:eastAsia="黑体"/>
          <w:b w:val="0"/>
          <w:sz w:val="24"/>
        </w:rPr>
        <w:t>【位置】</w:t>
      </w:r>
      <w:r>
        <w:rPr>
          <w:rFonts w:ascii="Times New Roman" w:hAnsi="Times New Roman" w:eastAsia="仿宋"/>
          <w:b w:val="0"/>
          <w:sz w:val="24"/>
        </w:rPr>
        <w:t>章 4 及两高替代专章（页码稿中未见）。</w:t>
      </w:r>
    </w:p>
    <w:p>
      <w:pPr>
        <w:spacing w:before="0" w:after="0"/>
        <w:ind w:firstLine="480"/>
      </w:pPr>
      <w:r>
        <w:rPr>
          <w:rFonts w:ascii="Times New Roman" w:hAnsi="Times New Roman" w:eastAsia="黑体"/>
          <w:b w:val="0"/>
          <w:sz w:val="24"/>
        </w:rPr>
        <w:t>【原文摘录】</w:t>
      </w:r>
      <w:r>
        <w:rPr>
          <w:rFonts w:ascii="Times New Roman" w:hAnsi="Times New Roman" w:eastAsia="仿宋"/>
          <w:b w:val="0"/>
          <w:sz w:val="24"/>
        </w:rPr>
        <w:t>“年综合能耗 tce（当量 256355.86，等价 591746.09）与两高替代专章。”“单位工业增加值能耗 4.569tce/万元，高于佛山规上 2.42。”“能耗替代：买绿证。”</w:t>
      </w:r>
    </w:p>
    <w:p>
      <w:pPr>
        <w:spacing w:before="0" w:after="0"/>
        <w:ind w:firstLine="480"/>
      </w:pPr>
      <w:r>
        <w:rPr>
          <w:rFonts w:ascii="Times New Roman" w:hAnsi="Times New Roman" w:eastAsia="黑体"/>
          <w:b w:val="0"/>
          <w:sz w:val="24"/>
        </w:rPr>
        <w:t>【问题】</w:t>
      </w:r>
      <w:r>
        <w:rPr>
          <w:rFonts w:ascii="Times New Roman" w:hAnsi="Times New Roman" w:eastAsia="仿宋"/>
          <w:b w:val="0"/>
          <w:sz w:val="24"/>
        </w:rPr>
        <w:t>现稿已自认本项目能耗强度高于所引比较值（4.569÷2.42≈1.89 倍），但替代措施仅表述为购买绿证，替代量、来源项目、可用年度及落实凭证稿中未见。经复核，256355.86÷208589（万千瓦时）＝1.229 吨标准煤/万千瓦时，591746.09÷208589≈2.8369 吨标准煤/万千瓦时，两组能耗量均由年总电量 20.8589 亿千瓦时按当量值和等价值系数直接折算而来，即其对应的是整体 202MW 口径，而非一期 136MW；一期 136MW 满负荷年电量约为 11.9136 亿千瓦时，与上述两组数据不衔接。稿中未就此作出说明。</w:t>
      </w:r>
    </w:p>
    <w:p>
      <w:pPr>
        <w:spacing w:before="0" w:after="0"/>
        <w:ind w:firstLine="480"/>
      </w:pPr>
      <w:r>
        <w:rPr>
          <w:rFonts w:ascii="Times New Roman" w:hAnsi="Times New Roman" w:eastAsia="黑体"/>
          <w:b w:val="0"/>
          <w:sz w:val="24"/>
        </w:rPr>
        <w:t>【现场追问】</w:t>
      </w:r>
      <w:r>
        <w:rPr>
          <w:rFonts w:ascii="Times New Roman" w:hAnsi="Times New Roman" w:eastAsia="仿宋"/>
          <w:b w:val="0"/>
          <w:sz w:val="24"/>
        </w:rPr>
        <w:t>请说明两组能耗数据各自采用的折标边界和对应的申请规模；若本次申请为一期 136MW，请重新出具与一期边界一致的能耗量。替代量从哪一项目、哪一年度取得，是否已有可核验的落实文件？若仅以购买绿证充抵，稿内所称“两高替代”要求的依据出自何处？</w:t>
      </w:r>
    </w:p>
    <w:p>
      <w:pPr>
        <w:spacing w:before="120" w:after="0"/>
        <w:ind w:firstLine="480"/>
      </w:pPr>
      <w:r>
        <w:rPr>
          <w:rFonts w:ascii="Times New Roman" w:hAnsi="Times New Roman" w:eastAsia="仿宋"/>
          <w:b/>
          <w:sz w:val="24"/>
        </w:rPr>
        <w:t>5. 学校、居住敏感点与 160 立方米埋地油罐未形成环境安全闭环</w:t>
      </w:r>
    </w:p>
    <w:p>
      <w:pPr>
        <w:spacing w:before="0" w:after="0"/>
        <w:ind w:firstLine="480"/>
      </w:pPr>
      <w:r>
        <w:rPr>
          <w:rFonts w:ascii="Times New Roman" w:hAnsi="Times New Roman" w:eastAsia="黑体"/>
          <w:b w:val="0"/>
          <w:sz w:val="24"/>
        </w:rPr>
        <w:t>【位置】</w:t>
      </w:r>
      <w:r>
        <w:rPr>
          <w:rFonts w:ascii="Times New Roman" w:hAnsi="Times New Roman" w:eastAsia="仿宋"/>
          <w:b w:val="0"/>
          <w:sz w:val="24"/>
        </w:rPr>
        <w:t>项目选址及柴发系统章节（页码稿中未见）。</w:t>
      </w:r>
    </w:p>
    <w:p>
      <w:pPr>
        <w:spacing w:before="0" w:after="0"/>
        <w:ind w:firstLine="480"/>
      </w:pPr>
      <w:r>
        <w:rPr>
          <w:rFonts w:ascii="Times New Roman" w:hAnsi="Times New Roman" w:eastAsia="黑体"/>
          <w:b w:val="0"/>
          <w:sz w:val="24"/>
        </w:rPr>
        <w:t>【原文摘录】</w:t>
      </w:r>
      <w:r>
        <w:rPr>
          <w:rFonts w:ascii="Times New Roman" w:hAnsi="Times New Roman" w:eastAsia="仿宋"/>
          <w:b w:val="0"/>
          <w:sz w:val="24"/>
        </w:rPr>
        <w:t>“东侧多层居住，南侧太平中学大道，西侧地块西侧为太平中学操场。”“埋地油罐 160 立方米。”</w:t>
      </w:r>
    </w:p>
    <w:p>
      <w:pPr>
        <w:spacing w:before="0" w:after="0"/>
        <w:ind w:firstLine="480"/>
      </w:pPr>
      <w:r>
        <w:rPr>
          <w:rFonts w:ascii="Times New Roman" w:hAnsi="Times New Roman" w:eastAsia="黑体"/>
          <w:b w:val="0"/>
          <w:sz w:val="24"/>
        </w:rPr>
        <w:t>【问题】</w:t>
      </w:r>
      <w:r>
        <w:rPr>
          <w:rFonts w:ascii="Times New Roman" w:hAnsi="Times New Roman" w:eastAsia="仿宋"/>
          <w:b w:val="0"/>
          <w:sz w:val="24"/>
        </w:rPr>
        <w:t>项目紧邻多层居住区和中学操场，同时设置大容量埋地柴油储罐。所给引述未见项目边界与各敏感点的最近距离、柴发机组废气和噪声预测、排气口位置与高度、油罐防渗防火措施、危险化学品管理方案、事故情景分析及环境影响评价结论。敏感点约束在未判定前，总图布局和建设规模均不宜先行确认。</w:t>
      </w:r>
    </w:p>
    <w:p>
      <w:pPr>
        <w:spacing w:before="0" w:after="0"/>
        <w:ind w:firstLine="480"/>
      </w:pPr>
      <w:r>
        <w:rPr>
          <w:rFonts w:ascii="Times New Roman" w:hAnsi="Times New Roman" w:eastAsia="黑体"/>
          <w:b w:val="0"/>
          <w:sz w:val="24"/>
        </w:rPr>
        <w:t>【现场追问】</w:t>
      </w:r>
      <w:r>
        <w:rPr>
          <w:rFonts w:ascii="Times New Roman" w:hAnsi="Times New Roman" w:eastAsia="仿宋"/>
          <w:b w:val="0"/>
          <w:sz w:val="24"/>
        </w:rPr>
        <w:t>请在总平面图上标注住宅、教学区、操场、柴发机组、排气口和埋地油罐的相互最近距离，并提交噪声、废气、防渗、防火及事故风险的专项结论；若现有布局不能满足敏感点约束，请说明总图和柴发系统的调整方案及其对建设规模的影响。</w:t>
      </w:r>
    </w:p>
    <w:p>
      <w:pPr>
        <w:spacing w:before="120" w:after="0"/>
        <w:ind w:firstLine="480"/>
      </w:pPr>
      <w:r>
        <w:rPr>
          <w:rFonts w:ascii="Times New Roman" w:hAnsi="Times New Roman" w:eastAsia="仿宋"/>
          <w:b/>
          <w:sz w:val="24"/>
        </w:rPr>
        <w:t>6. 项目性质写为新建，与 2024 年主体工程已竣工转固相冲突</w:t>
      </w:r>
    </w:p>
    <w:p>
      <w:pPr>
        <w:spacing w:before="0" w:after="0"/>
        <w:ind w:firstLine="480"/>
      </w:pPr>
      <w:r>
        <w:rPr>
          <w:rFonts w:ascii="Times New Roman" w:hAnsi="Times New Roman" w:eastAsia="黑体"/>
          <w:b w:val="0"/>
          <w:sz w:val="24"/>
        </w:rPr>
        <w:t>【位置】</w:t>
      </w:r>
      <w:r>
        <w:rPr>
          <w:rFonts w:ascii="Times New Roman" w:hAnsi="Times New Roman" w:eastAsia="仿宋"/>
          <w:b w:val="0"/>
          <w:sz w:val="24"/>
        </w:rPr>
        <w:t>项目性质、主体介绍及财务信息（页码稿中未见）。</w:t>
      </w:r>
    </w:p>
    <w:p>
      <w:pPr>
        <w:spacing w:before="0" w:after="0"/>
        <w:ind w:firstLine="480"/>
      </w:pPr>
      <w:r>
        <w:rPr>
          <w:rFonts w:ascii="Times New Roman" w:hAnsi="Times New Roman" w:eastAsia="黑体"/>
          <w:b w:val="0"/>
          <w:sz w:val="24"/>
        </w:rPr>
        <w:t>【原文摘录】</w:t>
      </w:r>
      <w:r>
        <w:rPr>
          <w:rFonts w:ascii="Times New Roman" w:hAnsi="Times New Roman" w:eastAsia="仿宋"/>
          <w:b w:val="0"/>
          <w:sz w:val="24"/>
        </w:rPr>
        <w:t>“性质写新建。”“发展公司 2024 年主体工程竣工转固 1.34 亿；三年营业收入为零。”</w:t>
      </w:r>
    </w:p>
    <w:p>
      <w:pPr>
        <w:spacing w:before="0" w:after="0"/>
        <w:ind w:firstLine="480"/>
      </w:pPr>
      <w:r>
        <w:rPr>
          <w:rFonts w:ascii="Times New Roman" w:hAnsi="Times New Roman" w:eastAsia="黑体"/>
          <w:b w:val="0"/>
          <w:sz w:val="24"/>
        </w:rPr>
        <w:t>【问题】</w:t>
      </w:r>
      <w:r>
        <w:rPr>
          <w:rFonts w:ascii="Times New Roman" w:hAnsi="Times New Roman" w:eastAsia="仿宋"/>
          <w:b w:val="0"/>
          <w:sz w:val="24"/>
        </w:rPr>
        <w:t>若 2024 年已发生主体工程竣工转固，则本次申报的既有资产边界、实际建设进度、是否存在先建后报，以及该部分资产是否已计入 41.81 亿元或 31.52 亿元投资额，均需正面说明。近三年营业收入为零，也使出资能力和后续资金来源需要进一步核实。</w:t>
      </w:r>
    </w:p>
    <w:p>
      <w:pPr>
        <w:spacing w:before="0" w:after="0"/>
        <w:ind w:firstLine="480"/>
      </w:pPr>
      <w:r>
        <w:rPr>
          <w:rFonts w:ascii="Times New Roman" w:hAnsi="Times New Roman" w:eastAsia="黑体"/>
          <w:b w:val="0"/>
          <w:sz w:val="24"/>
        </w:rPr>
        <w:t>【现场追问】</w:t>
      </w:r>
      <w:r>
        <w:rPr>
          <w:rFonts w:ascii="Times New Roman" w:hAnsi="Times New Roman" w:eastAsia="仿宋"/>
          <w:b w:val="0"/>
          <w:sz w:val="24"/>
        </w:rPr>
        <w:t>1.34 亿元转固资产的具体内容、所在位置和权属分别是什么，是否属于本项目？已完工工程是否计入本次投资额和本次窗口申请规模？若答复为不属于本项目，请提供资产项目与地址的对应关系及权属证明。</w:t>
      </w:r>
    </w:p>
    <w:p>
      <w:pPr>
        <w:spacing w:before="120" w:after="0"/>
        <w:ind w:firstLine="480"/>
      </w:pPr>
      <w:r>
        <w:rPr>
          <w:rFonts w:ascii="Times New Roman" w:hAnsi="Times New Roman" w:eastAsia="仿宋"/>
          <w:b/>
          <w:sz w:val="24"/>
        </w:rPr>
        <w:t>7. 投资、建设、运营主体分列，责任与资金链未闭合</w:t>
      </w:r>
    </w:p>
    <w:p>
      <w:pPr>
        <w:spacing w:before="0" w:after="0"/>
        <w:ind w:firstLine="480"/>
      </w:pPr>
      <w:r>
        <w:rPr>
          <w:rFonts w:ascii="Times New Roman" w:hAnsi="Times New Roman" w:eastAsia="黑体"/>
          <w:b w:val="0"/>
          <w:sz w:val="24"/>
        </w:rPr>
        <w:t>【位置】</w:t>
      </w:r>
      <w:r>
        <w:rPr>
          <w:rFonts w:ascii="Times New Roman" w:hAnsi="Times New Roman" w:eastAsia="仿宋"/>
          <w:b w:val="0"/>
          <w:sz w:val="24"/>
        </w:rPr>
        <w:t>主体介绍及公司情况章节（页码稿中未见）。</w:t>
      </w:r>
    </w:p>
    <w:p>
      <w:pPr>
        <w:spacing w:before="0" w:after="0"/>
        <w:ind w:firstLine="480"/>
      </w:pPr>
      <w:r>
        <w:rPr>
          <w:rFonts w:ascii="Times New Roman" w:hAnsi="Times New Roman" w:eastAsia="黑体"/>
          <w:b w:val="0"/>
          <w:sz w:val="24"/>
        </w:rPr>
        <w:t>【原文摘录】</w:t>
      </w:r>
      <w:r>
        <w:rPr>
          <w:rFonts w:ascii="Times New Roman" w:hAnsi="Times New Roman" w:eastAsia="仿宋"/>
          <w:b w:val="0"/>
          <w:sz w:val="24"/>
        </w:rPr>
        <w:t>“主体：广东腾龙数据科技有限公司（外国法人独资）；投资还有腾龙数据科技发展；运营鹏城金云；背后普洛斯。”</w:t>
      </w:r>
    </w:p>
    <w:p>
      <w:pPr>
        <w:spacing w:before="0" w:after="0"/>
        <w:ind w:firstLine="480"/>
      </w:pPr>
      <w:r>
        <w:rPr>
          <w:rFonts w:ascii="Times New Roman" w:hAnsi="Times New Roman" w:eastAsia="黑体"/>
          <w:b w:val="0"/>
          <w:sz w:val="24"/>
        </w:rPr>
        <w:t>【问题】</w:t>
      </w:r>
      <w:r>
        <w:rPr>
          <w:rFonts w:ascii="Times New Roman" w:hAnsi="Times New Roman" w:eastAsia="仿宋"/>
          <w:b w:val="0"/>
          <w:sz w:val="24"/>
        </w:rPr>
        <w:t>申请主体、投资主体与运营主体不是同一口径。土地与资产权属、建设合同、运营授权、电力及绿电交易签约主体、能耗与环境责任承担、收入归属、资本金比例与债务安排，在所给引述中均稿中未见。主体不清将直接影响能耗指标落实责任和后续监管对象的确定。</w:t>
      </w:r>
    </w:p>
    <w:p>
      <w:pPr>
        <w:spacing w:before="0" w:after="0"/>
        <w:ind w:firstLine="480"/>
      </w:pPr>
      <w:r>
        <w:rPr>
          <w:rFonts w:ascii="Times New Roman" w:hAnsi="Times New Roman" w:eastAsia="黑体"/>
          <w:b w:val="0"/>
          <w:sz w:val="24"/>
        </w:rPr>
        <w:t>【现场追问】</w:t>
      </w:r>
      <w:r>
        <w:rPr>
          <w:rFonts w:ascii="Times New Roman" w:hAnsi="Times New Roman" w:eastAsia="仿宋"/>
          <w:b w:val="0"/>
          <w:sz w:val="24"/>
        </w:rPr>
        <w:t>请明确由谁申请、谁取得土地、谁投资、谁持有资产、谁签署电力和客户合同、谁承担能耗与环境责任；并用股权结构、投融资协议、建设合同和资金流向说明，将三家公司闭合到 41.81 亿元或 31.52 亿元的投资口径上。</w:t>
      </w:r>
    </w:p>
    <w:p>
      <w:pPr>
        <w:spacing w:before="160" w:after="0"/>
        <w:ind w:firstLine="560"/>
      </w:pPr>
      <w:r>
        <w:rPr>
          <w:rFonts w:ascii="Times New Roman" w:hAnsi="Times New Roman" w:eastAsia="楷体"/>
          <w:b/>
          <w:sz w:val="28"/>
        </w:rPr>
        <w:t>（二）中风险问题</w:t>
      </w:r>
    </w:p>
    <w:p>
      <w:pPr>
        <w:spacing w:before="120" w:after="0"/>
        <w:ind w:firstLine="480"/>
      </w:pPr>
      <w:r>
        <w:rPr>
          <w:rFonts w:ascii="Times New Roman" w:hAnsi="Times New Roman" w:eastAsia="仿宋"/>
          <w:b/>
          <w:sz w:val="24"/>
        </w:rPr>
        <w:t>8. PUE 算术可以对上，但年加权值和负荷率依据未见</w:t>
      </w:r>
    </w:p>
    <w:p>
      <w:pPr>
        <w:spacing w:before="0" w:after="0"/>
        <w:ind w:firstLine="480"/>
      </w:pPr>
      <w:r>
        <w:rPr>
          <w:rFonts w:ascii="Times New Roman" w:hAnsi="Times New Roman" w:eastAsia="黑体"/>
          <w:b w:val="0"/>
          <w:sz w:val="24"/>
        </w:rPr>
        <w:t>【位置】</w:t>
      </w:r>
      <w:r>
        <w:rPr>
          <w:rFonts w:ascii="Times New Roman" w:hAnsi="Times New Roman" w:eastAsia="仿宋"/>
          <w:b w:val="0"/>
          <w:sz w:val="24"/>
        </w:rPr>
        <w:t>节能指标章节（页码稿中未见）。</w:t>
      </w:r>
    </w:p>
    <w:p>
      <w:pPr>
        <w:spacing w:before="0" w:after="0"/>
        <w:ind w:firstLine="480"/>
      </w:pPr>
      <w:r>
        <w:rPr>
          <w:rFonts w:ascii="Times New Roman" w:hAnsi="Times New Roman" w:eastAsia="黑体"/>
          <w:b w:val="0"/>
          <w:sz w:val="24"/>
        </w:rPr>
        <w:t>【原文摘录】</w:t>
      </w:r>
      <w:r>
        <w:rPr>
          <w:rFonts w:ascii="Times New Roman" w:hAnsi="Times New Roman" w:eastAsia="仿宋"/>
          <w:b w:val="0"/>
          <w:sz w:val="24"/>
        </w:rPr>
        <w:t>“PUE 设计 1.173；年电 20.8589 亿 kWh / IT 17.7765 亿。”</w:t>
      </w:r>
    </w:p>
    <w:p>
      <w:pPr>
        <w:spacing w:before="0" w:after="0"/>
        <w:ind w:firstLine="480"/>
      </w:pPr>
      <w:r>
        <w:rPr>
          <w:rFonts w:ascii="Times New Roman" w:hAnsi="Times New Roman" w:eastAsia="黑体"/>
          <w:b w:val="0"/>
          <w:sz w:val="24"/>
        </w:rPr>
        <w:t>【问题】</w:t>
      </w:r>
      <w:r>
        <w:rPr>
          <w:rFonts w:ascii="Times New Roman" w:hAnsi="Times New Roman" w:eastAsia="仿宋"/>
          <w:b w:val="0"/>
          <w:sz w:val="24"/>
        </w:rPr>
        <w:t>20.8589÷17.7765≈1.1734，与设计值 1.173 基本一致，算术成立。但经复核，IT 电量 17.7765 亿千瓦时÷8760 小时≈202.93MW，说明该电量是按整体 202.93MW、负荷率 1.0 全年满载测算得出，其中不含爬坡期和部分负载工况。逐月负荷率、投运爬坡曲线、部分负载效率曲线、液冷实际投建比例及年加权计算表稿中均未见。仅凭两项年电量不能证明投运年度的实际加权 PUE。</w:t>
      </w:r>
    </w:p>
    <w:p>
      <w:pPr>
        <w:spacing w:before="0" w:after="0"/>
        <w:ind w:firstLine="480"/>
      </w:pPr>
      <w:r>
        <w:rPr>
          <w:rFonts w:ascii="Times New Roman" w:hAnsi="Times New Roman" w:eastAsia="黑体"/>
          <w:b w:val="0"/>
          <w:sz w:val="24"/>
        </w:rPr>
        <w:t>【现场追问】</w:t>
      </w:r>
      <w:r>
        <w:rPr>
          <w:rFonts w:ascii="Times New Roman" w:hAnsi="Times New Roman" w:eastAsia="仿宋"/>
          <w:b w:val="0"/>
          <w:sz w:val="24"/>
        </w:rPr>
        <w:t>请分别给出整体口径和一期口径的月度 IT 负荷、制冷用电及其他辅助用电，说明 1.173 究竟是设计点值、满载值还是全年加权值；在负荷率低于设计值时 PUE 如何变化，投运首年和达产年的加权 PUE 分别是多少。</w:t>
      </w:r>
    </w:p>
    <w:p>
      <w:pPr>
        <w:spacing w:before="120" w:after="0"/>
        <w:ind w:firstLine="480"/>
      </w:pPr>
      <w:r>
        <w:rPr>
          <w:rFonts w:ascii="Times New Roman" w:hAnsi="Times New Roman" w:eastAsia="仿宋"/>
          <w:b/>
          <w:sz w:val="24"/>
        </w:rPr>
        <w:t>9. 1#、2# 楼模块数不同却同为 48MW，且两栋合计与申请规模不衔接</w:t>
      </w:r>
    </w:p>
    <w:p>
      <w:pPr>
        <w:spacing w:before="0" w:after="0"/>
        <w:ind w:firstLine="480"/>
      </w:pPr>
      <w:r>
        <w:rPr>
          <w:rFonts w:ascii="Times New Roman" w:hAnsi="Times New Roman" w:eastAsia="黑体"/>
          <w:b w:val="0"/>
          <w:sz w:val="24"/>
        </w:rPr>
        <w:t>【位置】</w:t>
      </w:r>
      <w:r>
        <w:rPr>
          <w:rFonts w:ascii="Times New Roman" w:hAnsi="Times New Roman" w:eastAsia="仿宋"/>
          <w:b w:val="0"/>
          <w:sz w:val="24"/>
        </w:rPr>
        <w:t>楼栋与模块配置章节（页码稿中未见）。</w:t>
      </w:r>
    </w:p>
    <w:p>
      <w:pPr>
        <w:spacing w:before="0" w:after="0"/>
        <w:ind w:firstLine="480"/>
      </w:pPr>
      <w:r>
        <w:rPr>
          <w:rFonts w:ascii="Times New Roman" w:hAnsi="Times New Roman" w:eastAsia="黑体"/>
          <w:b w:val="0"/>
          <w:sz w:val="24"/>
        </w:rPr>
        <w:t>【原文摘录】</w:t>
      </w:r>
      <w:r>
        <w:rPr>
          <w:rFonts w:ascii="Times New Roman" w:hAnsi="Times New Roman" w:eastAsia="仿宋"/>
          <w:b w:val="0"/>
          <w:sz w:val="24"/>
        </w:rPr>
        <w:t>“1# 智算 120 模块 / 48MW；2# 同写 48MW 但 96 模块。”</w:t>
      </w:r>
    </w:p>
    <w:p>
      <w:pPr>
        <w:spacing w:before="0" w:after="0"/>
        <w:ind w:firstLine="480"/>
      </w:pPr>
      <w:r>
        <w:rPr>
          <w:rFonts w:ascii="Times New Roman" w:hAnsi="Times New Roman" w:eastAsia="黑体"/>
          <w:b w:val="0"/>
          <w:sz w:val="24"/>
        </w:rPr>
        <w:t>【问题】</w:t>
      </w:r>
      <w:r>
        <w:rPr>
          <w:rFonts w:ascii="Times New Roman" w:hAnsi="Times New Roman" w:eastAsia="仿宋"/>
          <w:b w:val="0"/>
          <w:sz w:val="24"/>
        </w:rPr>
        <w:t>1# 折算每模块 0.4MW，2# 折算每模块 0.5MW，模块功率口径不一致，稿中未见解释。同时，所给引述中可见的 1#、2# 两栋合计仅 48＋48＝96MW，既不等于整体 202.93MW，也不等于一期 136MW，其余楼栋的编号、模块数和功率稿中未见。该差异将直接影响机柜数量、配电与制冷配置以及一期边界的划分。</w:t>
      </w:r>
    </w:p>
    <w:p>
      <w:pPr>
        <w:spacing w:before="0" w:after="0"/>
        <w:ind w:firstLine="480"/>
      </w:pPr>
      <w:r>
        <w:rPr>
          <w:rFonts w:ascii="Times New Roman" w:hAnsi="Times New Roman" w:eastAsia="黑体"/>
          <w:b w:val="0"/>
          <w:sz w:val="24"/>
        </w:rPr>
        <w:t>【现场追问】</w:t>
      </w:r>
      <w:r>
        <w:rPr>
          <w:rFonts w:ascii="Times New Roman" w:hAnsi="Times New Roman" w:eastAsia="仿宋"/>
          <w:b w:val="0"/>
          <w:sz w:val="24"/>
        </w:rPr>
        <w:t>两栋楼的模块定义和单模块机柜数是否相同？若不同，请提供分栋设备表；若相同，请指出 MW 数或模块数何处有误。除 1#、2# 外还有哪些楼栋，各自功率是多少，如何加总到本次申请规模？</w:t>
      </w:r>
    </w:p>
    <w:p>
      <w:pPr>
        <w:spacing w:before="120" w:after="0"/>
        <w:ind w:firstLine="480"/>
      </w:pPr>
      <w:r>
        <w:rPr>
          <w:rFonts w:ascii="Times New Roman" w:hAnsi="Times New Roman" w:eastAsia="仿宋"/>
          <w:b/>
          <w:sz w:val="24"/>
        </w:rPr>
        <w:t>10. 公司规划机架口径与本项目机柜口径未作衔接</w:t>
      </w:r>
    </w:p>
    <w:p>
      <w:pPr>
        <w:spacing w:before="0" w:after="0"/>
        <w:ind w:firstLine="480"/>
      </w:pPr>
      <w:r>
        <w:rPr>
          <w:rFonts w:ascii="Times New Roman" w:hAnsi="Times New Roman" w:eastAsia="黑体"/>
          <w:b w:val="0"/>
          <w:sz w:val="24"/>
        </w:rPr>
        <w:t>【位置】</w:t>
      </w:r>
      <w:r>
        <w:rPr>
          <w:rFonts w:ascii="Times New Roman" w:hAnsi="Times New Roman" w:eastAsia="仿宋"/>
          <w:b w:val="0"/>
          <w:sz w:val="24"/>
        </w:rPr>
        <w:t>公司介绍及项目建设内容章节（页码稿中未见）。</w:t>
      </w:r>
    </w:p>
    <w:p>
      <w:pPr>
        <w:spacing w:before="0" w:after="0"/>
        <w:ind w:firstLine="480"/>
      </w:pPr>
      <w:r>
        <w:rPr>
          <w:rFonts w:ascii="Times New Roman" w:hAnsi="Times New Roman" w:eastAsia="黑体"/>
          <w:b w:val="0"/>
          <w:sz w:val="24"/>
        </w:rPr>
        <w:t>【原文摘录】</w:t>
      </w:r>
      <w:r>
        <w:rPr>
          <w:rFonts w:ascii="Times New Roman" w:hAnsi="Times New Roman" w:eastAsia="仿宋"/>
          <w:b w:val="0"/>
          <w:sz w:val="24"/>
        </w:rPr>
        <w:t>“公司介绍：规划 6kW 机架 20000 个。”“480 个 14.4kW 风冷 + 7056 个 27.78kW 冷板液冷……折合标准机柜约 8.12 万个。”</w:t>
      </w:r>
    </w:p>
    <w:p>
      <w:pPr>
        <w:spacing w:before="0" w:after="0"/>
        <w:ind w:firstLine="480"/>
      </w:pPr>
      <w:r>
        <w:rPr>
          <w:rFonts w:ascii="Times New Roman" w:hAnsi="Times New Roman" w:eastAsia="黑体"/>
          <w:b w:val="0"/>
          <w:sz w:val="24"/>
        </w:rPr>
        <w:t>【问题】</w:t>
      </w:r>
      <w:r>
        <w:rPr>
          <w:rFonts w:ascii="Times New Roman" w:hAnsi="Times New Roman" w:eastAsia="仿宋"/>
          <w:b w:val="0"/>
          <w:sz w:val="24"/>
        </w:rPr>
        <w:t>公司介绍口径按 20000×6kW 折算为 120MW，项目明细约 202.93MW，二者相差约 82.93MW。“6kW 机架”“实际机柜”“标准机柜”三个概念之间的换算关系，稿中未作说明，易造成规模统计口径混淆。</w:t>
      </w:r>
    </w:p>
    <w:p>
      <w:pPr>
        <w:spacing w:before="0" w:after="0"/>
        <w:ind w:firstLine="480"/>
      </w:pPr>
      <w:r>
        <w:rPr>
          <w:rFonts w:ascii="Times New Roman" w:hAnsi="Times New Roman" w:eastAsia="黑体"/>
          <w:b w:val="0"/>
          <w:sz w:val="24"/>
        </w:rPr>
        <w:t>【现场追问】</w:t>
      </w:r>
      <w:r>
        <w:rPr>
          <w:rFonts w:ascii="Times New Roman" w:hAnsi="Times New Roman" w:eastAsia="仿宋"/>
          <w:b w:val="0"/>
          <w:sz w:val="24"/>
        </w:rPr>
        <w:t>20000 个 6kW 机架属于本项目、公司其他项目还是旧版方案？请统一提供实际机柜数、标准机柜数（2.5kW 折算）、平均单机柜功率与 IT 功率之间的换算表，并注明各口径的适用范围。</w:t>
      </w:r>
    </w:p>
    <w:p>
      <w:pPr>
        <w:spacing w:before="120" w:after="0"/>
        <w:ind w:firstLine="480"/>
      </w:pPr>
      <w:r>
        <w:rPr>
          <w:rFonts w:ascii="Times New Roman" w:hAnsi="Times New Roman" w:eastAsia="仿宋"/>
          <w:b/>
          <w:sz w:val="24"/>
        </w:rPr>
        <w:t>11. 液冷机房标注“腾讯自研 N+X 2.0”，与申报主体关系不明，存在套版风险</w:t>
      </w:r>
    </w:p>
    <w:p>
      <w:pPr>
        <w:spacing w:before="0" w:after="0"/>
        <w:ind w:firstLine="480"/>
      </w:pPr>
      <w:r>
        <w:rPr>
          <w:rFonts w:ascii="Times New Roman" w:hAnsi="Times New Roman" w:eastAsia="黑体"/>
          <w:b w:val="0"/>
          <w:sz w:val="24"/>
        </w:rPr>
        <w:t>【位置】</w:t>
      </w:r>
      <w:r>
        <w:rPr>
          <w:rFonts w:ascii="Times New Roman" w:hAnsi="Times New Roman" w:eastAsia="仿宋"/>
          <w:b w:val="0"/>
          <w:sz w:val="24"/>
        </w:rPr>
        <w:t>液冷机房章节（页码稿中未见）。</w:t>
      </w:r>
    </w:p>
    <w:p>
      <w:pPr>
        <w:spacing w:before="0" w:after="0"/>
        <w:ind w:firstLine="480"/>
      </w:pPr>
      <w:r>
        <w:rPr>
          <w:rFonts w:ascii="Times New Roman" w:hAnsi="Times New Roman" w:eastAsia="黑体"/>
          <w:b w:val="0"/>
          <w:sz w:val="24"/>
        </w:rPr>
        <w:t>【原文摘录】</w:t>
      </w:r>
      <w:r>
        <w:rPr>
          <w:rFonts w:ascii="Times New Roman" w:hAnsi="Times New Roman" w:eastAsia="仿宋"/>
          <w:b w:val="0"/>
          <w:sz w:val="24"/>
        </w:rPr>
        <w:t>“液冷机房写‘腾讯自研 N+X 2.0’。”</w:t>
      </w:r>
    </w:p>
    <w:p>
      <w:pPr>
        <w:spacing w:before="0" w:after="0"/>
        <w:ind w:firstLine="480"/>
      </w:pPr>
      <w:r>
        <w:rPr>
          <w:rFonts w:ascii="Times New Roman" w:hAnsi="Times New Roman" w:eastAsia="黑体"/>
          <w:b w:val="0"/>
          <w:sz w:val="24"/>
        </w:rPr>
        <w:t>【问题】</w:t>
      </w:r>
      <w:r>
        <w:rPr>
          <w:rFonts w:ascii="Times New Roman" w:hAnsi="Times New Roman" w:eastAsia="仿宋"/>
          <w:b w:val="0"/>
          <w:sz w:val="24"/>
        </w:rPr>
        <w:t>本项目申报、投资及运营主体均非腾讯，所给引述亦未见腾讯作为客户、供货方或技术授权方的任何依据，也未说明该技术方案是否确为本期建设内容。该表述如系复制其他项目文本，将削弱技术方案部分的整体证据效力。</w:t>
      </w:r>
    </w:p>
    <w:p>
      <w:pPr>
        <w:spacing w:before="0" w:after="0"/>
        <w:ind w:firstLine="480"/>
      </w:pPr>
      <w:r>
        <w:rPr>
          <w:rFonts w:ascii="Times New Roman" w:hAnsi="Times New Roman" w:eastAsia="黑体"/>
          <w:b w:val="0"/>
          <w:sz w:val="24"/>
        </w:rPr>
        <w:t>【现场追问】</w:t>
      </w:r>
      <w:r>
        <w:rPr>
          <w:rFonts w:ascii="Times New Roman" w:hAnsi="Times New Roman" w:eastAsia="仿宋"/>
          <w:b w:val="0"/>
          <w:sz w:val="24"/>
        </w:rPr>
        <w:t>该表述来源于已确定的设备选型、客户技术规范还是外部案例？若属本项目方案，请出示技术来源、授权或采购关系及本期设备清单；若不属于，请予删除，并不得作为本项目技术先进性的证明。</w:t>
      </w:r>
    </w:p>
    <w:p>
      <w:pPr>
        <w:spacing w:before="120" w:after="0"/>
        <w:ind w:firstLine="480"/>
      </w:pPr>
      <w:r>
        <w:rPr>
          <w:rFonts w:ascii="Times New Roman" w:hAnsi="Times New Roman" w:eastAsia="仿宋"/>
          <w:b/>
          <w:sz w:val="24"/>
        </w:rPr>
        <w:t>12. 国产芯片与本期建设内容的对应关系稿中未见</w:t>
      </w:r>
    </w:p>
    <w:p>
      <w:pPr>
        <w:spacing w:before="0" w:after="0"/>
        <w:ind w:firstLine="480"/>
      </w:pPr>
      <w:r>
        <w:rPr>
          <w:rFonts w:ascii="Times New Roman" w:hAnsi="Times New Roman" w:eastAsia="黑体"/>
          <w:b w:val="0"/>
          <w:sz w:val="24"/>
        </w:rPr>
        <w:t>【位置】</w:t>
      </w:r>
      <w:r>
        <w:rPr>
          <w:rFonts w:ascii="Times New Roman" w:hAnsi="Times New Roman" w:eastAsia="仿宋"/>
          <w:b w:val="0"/>
          <w:sz w:val="24"/>
        </w:rPr>
        <w:t>算力及设备方案章节（具体章节及页码稿中未见）。</w:t>
      </w:r>
    </w:p>
    <w:p>
      <w:pPr>
        <w:spacing w:before="0" w:after="0"/>
        <w:ind w:firstLine="480"/>
      </w:pPr>
      <w:r>
        <w:rPr>
          <w:rFonts w:ascii="Times New Roman" w:hAnsi="Times New Roman" w:eastAsia="黑体"/>
          <w:b w:val="0"/>
          <w:sz w:val="24"/>
        </w:rPr>
        <w:t>【原文摘录】</w:t>
      </w:r>
      <w:r>
        <w:rPr>
          <w:rFonts w:ascii="Times New Roman" w:hAnsi="Times New Roman" w:eastAsia="仿宋"/>
          <w:b w:val="0"/>
          <w:sz w:val="24"/>
        </w:rPr>
        <w:t>所给腾龙申报材料引述中，国产芯片型号、数量、算力测算及采购主体均稿中未见。</w:t>
      </w:r>
    </w:p>
    <w:p>
      <w:pPr>
        <w:spacing w:before="0" w:after="0"/>
        <w:ind w:firstLine="480"/>
      </w:pPr>
      <w:r>
        <w:rPr>
          <w:rFonts w:ascii="Times New Roman" w:hAnsi="Times New Roman" w:eastAsia="黑体"/>
          <w:b w:val="0"/>
          <w:sz w:val="24"/>
        </w:rPr>
        <w:t>【问题】</w:t>
      </w:r>
      <w:r>
        <w:rPr>
          <w:rFonts w:ascii="Times New Roman" w:hAnsi="Times New Roman" w:eastAsia="仿宋"/>
          <w:b w:val="0"/>
          <w:sz w:val="24"/>
        </w:rPr>
        <w:t>现有引述仅有高功率风冷与液冷机柜配置，无法判断国产化承诺是否存在、是否落实到本期设备，也无法据此核验算力规模。若以算力指标支撑项目必要性，则该指标目前缺乏设备侧依据。</w:t>
      </w:r>
    </w:p>
    <w:p>
      <w:pPr>
        <w:spacing w:before="0" w:after="0"/>
        <w:ind w:firstLine="480"/>
      </w:pPr>
      <w:r>
        <w:rPr>
          <w:rFonts w:ascii="Times New Roman" w:hAnsi="Times New Roman" w:eastAsia="黑体"/>
          <w:b w:val="0"/>
          <w:sz w:val="24"/>
        </w:rPr>
        <w:t>【现场追问】</w:t>
      </w:r>
      <w:r>
        <w:rPr>
          <w:rFonts w:ascii="Times New Roman" w:hAnsi="Times New Roman" w:eastAsia="仿宋"/>
          <w:b w:val="0"/>
          <w:sz w:val="24"/>
        </w:rPr>
        <w:t>若窗口材料主张国产化，请列明芯片型号、数量、精度口径、单卡及整机算力、采购主体和对应机柜位置；若本项目不采购服务器，请明确算力内容仅为客户适配条件，不得作为本期建设量和收益依据。</w:t>
      </w:r>
    </w:p>
    <w:p>
      <w:pPr>
        <w:spacing w:before="160" w:after="0"/>
        <w:ind w:firstLine="560"/>
      </w:pPr>
      <w:r>
        <w:rPr>
          <w:rFonts w:ascii="Times New Roman" w:hAnsi="Times New Roman" w:eastAsia="楷体"/>
          <w:b/>
          <w:sz w:val="28"/>
        </w:rPr>
        <w:t>（三）低风险问题</w:t>
      </w:r>
    </w:p>
    <w:p>
      <w:pPr>
        <w:spacing w:before="120" w:after="0"/>
        <w:ind w:firstLine="480"/>
      </w:pPr>
      <w:r>
        <w:rPr>
          <w:rFonts w:ascii="Times New Roman" w:hAnsi="Times New Roman" w:eastAsia="仿宋"/>
          <w:b/>
          <w:sz w:val="24"/>
        </w:rPr>
        <w:t>13. 所引政策依据的规划期已止于 2025 年</w:t>
      </w:r>
    </w:p>
    <w:p>
      <w:pPr>
        <w:spacing w:before="0" w:after="0"/>
        <w:ind w:firstLine="480"/>
      </w:pPr>
      <w:r>
        <w:rPr>
          <w:rFonts w:ascii="Times New Roman" w:hAnsi="Times New Roman" w:eastAsia="黑体"/>
          <w:b w:val="0"/>
          <w:sz w:val="24"/>
        </w:rPr>
        <w:t>【位置】</w:t>
      </w:r>
      <w:r>
        <w:rPr>
          <w:rFonts w:ascii="Times New Roman" w:hAnsi="Times New Roman" w:eastAsia="仿宋"/>
          <w:b w:val="0"/>
          <w:sz w:val="24"/>
        </w:rPr>
        <w:t>政策依据章节（页码稿中未见）。</w:t>
      </w:r>
    </w:p>
    <w:p>
      <w:pPr>
        <w:spacing w:before="0" w:after="0"/>
        <w:ind w:firstLine="480"/>
      </w:pPr>
      <w:r>
        <w:rPr>
          <w:rFonts w:ascii="Times New Roman" w:hAnsi="Times New Roman" w:eastAsia="黑体"/>
          <w:b w:val="0"/>
          <w:sz w:val="24"/>
        </w:rPr>
        <w:t>【原文摘录】</w:t>
      </w:r>
      <w:r>
        <w:rPr>
          <w:rFonts w:ascii="Times New Roman" w:hAnsi="Times New Roman" w:eastAsia="仿宋"/>
          <w:b w:val="0"/>
          <w:sz w:val="24"/>
        </w:rPr>
        <w:t>“政策引用粤工信信软〔2020〕73 号（2021—2025）。”</w:t>
      </w:r>
    </w:p>
    <w:p>
      <w:pPr>
        <w:spacing w:before="0" w:after="0"/>
        <w:ind w:firstLine="480"/>
      </w:pPr>
      <w:r>
        <w:rPr>
          <w:rFonts w:ascii="Times New Roman" w:hAnsi="Times New Roman" w:eastAsia="黑体"/>
          <w:b w:val="0"/>
          <w:sz w:val="24"/>
        </w:rPr>
        <w:t>【问题】</w:t>
      </w:r>
      <w:r>
        <w:rPr>
          <w:rFonts w:ascii="Times New Roman" w:hAnsi="Times New Roman" w:eastAsia="仿宋"/>
          <w:b w:val="0"/>
          <w:sz w:val="24"/>
        </w:rPr>
        <w:t>本次评审时间为 2026 年，所引文件对应规划期为 2021—2025 年，稿中未见该文件在 2026 年仍然适用的说明，也未见更新后的依据。该文件不足以单独支撑当前窗口结论。此项为引用时效问题，不涉及项目实体条件。</w:t>
      </w:r>
    </w:p>
    <w:p>
      <w:pPr>
        <w:spacing w:before="0" w:after="0"/>
        <w:ind w:firstLine="480"/>
      </w:pPr>
      <w:r>
        <w:rPr>
          <w:rFonts w:ascii="Times New Roman" w:hAnsi="Times New Roman" w:eastAsia="黑体"/>
          <w:b w:val="0"/>
          <w:sz w:val="24"/>
        </w:rPr>
        <w:t>【现场追问】</w:t>
      </w:r>
      <w:r>
        <w:rPr>
          <w:rFonts w:ascii="Times New Roman" w:hAnsi="Times New Roman" w:eastAsia="仿宋"/>
          <w:b w:val="0"/>
          <w:sz w:val="24"/>
        </w:rPr>
        <w:t>请说明该文件在 2026 年引用的效力和用途，并补充截至申报时仍在执行的逐项依据；若无更新依据，请在文本中明确相关内容仅为历史规划背景，不作为现行准入结论。</w:t>
      </w:r>
    </w:p>
    <w:p>
      <w:pPr>
        <w:spacing w:before="240" w:after="80"/>
        <w:ind w:firstLine="600"/>
      </w:pPr>
      <w:r>
        <w:rPr>
          <w:rFonts w:ascii="Times New Roman" w:hAnsi="Times New Roman" w:eastAsia="黑体"/>
          <w:b w:val="0"/>
          <w:sz w:val="30"/>
        </w:rPr>
        <w:t>三、审查意见</w:t>
      </w:r>
    </w:p>
    <w:p>
      <w:pPr>
        <w:spacing w:before="160" w:after="0"/>
        <w:ind w:firstLine="560"/>
      </w:pPr>
      <w:r>
        <w:rPr>
          <w:rFonts w:ascii="Times New Roman" w:hAnsi="Times New Roman" w:eastAsia="楷体"/>
          <w:b/>
          <w:sz w:val="28"/>
        </w:rPr>
        <w:t>（一）总体结论</w:t>
      </w:r>
    </w:p>
    <w:p>
      <w:pPr>
        <w:spacing w:before="0" w:after="0"/>
        <w:ind w:firstLine="480"/>
      </w:pPr>
      <w:r>
        <w:rPr>
          <w:rFonts w:ascii="Times New Roman" w:hAnsi="Times New Roman" w:eastAsia="仿宋"/>
          <w:b w:val="0"/>
          <w:sz w:val="24"/>
        </w:rPr>
        <w:t>一、腾龙湾区数据中心项目现报送稿不具备出具肯定性窗口意见的条件。本轮评审形成的是问题清单和整改要求，不构成对项目建设规模、能耗指标、能效水平、绿电比例、能耗替代方式、用地与环境可行性及财务可行性的任何肯定性结论。</w:t>
      </w:r>
    </w:p>
    <w:p>
      <w:pPr>
        <w:spacing w:before="0" w:after="0"/>
        <w:ind w:firstLine="480"/>
      </w:pPr>
      <w:r>
        <w:rPr>
          <w:rFonts w:ascii="Times New Roman" w:hAnsi="Times New Roman" w:eastAsia="仿宋"/>
          <w:b w:val="0"/>
          <w:sz w:val="24"/>
        </w:rPr>
        <w:t>二、本次申请口径尚未唯一。申报稿同时存在整体 202MW、机柜逐项算术 202.92768MW 与一期 136MW 三个数字。经复核，机柜算术与整体口径可以互相印证，年电量、年综合能耗和 PUE 亦均按整体满载口径测算，但一期 136MW 缺少与之对应的楼栋、机柜、投资、用地和电量支撑。在申请人书面冻结唯一申请值之前，不宜将其中任何一个数字作为审查或统计口径。</w:t>
      </w:r>
    </w:p>
    <w:p>
      <w:pPr>
        <w:spacing w:before="0" w:after="0"/>
        <w:ind w:firstLine="480"/>
      </w:pPr>
      <w:r>
        <w:rPr>
          <w:rFonts w:ascii="Times New Roman" w:hAnsi="Times New Roman" w:eastAsia="仿宋"/>
          <w:b w:val="0"/>
          <w:sz w:val="24"/>
        </w:rPr>
        <w:t>三、下列事项本轮不予确认：本项目的申请规模及其对应投资额；年综合能耗量及其折标边界；设计 PUE 1.173 作为投运年度加权值；绿电 100% 或 20% 的任一比例；以购买绿证充抵能耗的替代安排；选址与敏感点的环境相容性；投资、建设、运营三主体的责任与资金闭环。</w:t>
      </w:r>
    </w:p>
    <w:p>
      <w:pPr>
        <w:spacing w:before="160" w:after="0"/>
        <w:ind w:firstLine="560"/>
      </w:pPr>
      <w:r>
        <w:rPr>
          <w:rFonts w:ascii="Times New Roman" w:hAnsi="Times New Roman" w:eastAsia="楷体"/>
          <w:b/>
          <w:sz w:val="28"/>
        </w:rPr>
        <w:t>（二）“两高”及能耗审查意见</w:t>
      </w:r>
    </w:p>
    <w:p>
      <w:pPr>
        <w:spacing w:before="0" w:after="0"/>
        <w:ind w:firstLine="480"/>
      </w:pPr>
      <w:r>
        <w:rPr>
          <w:rFonts w:ascii="Times New Roman" w:hAnsi="Times New Roman" w:eastAsia="仿宋"/>
          <w:b w:val="0"/>
          <w:sz w:val="24"/>
        </w:rPr>
        <w:t>一、能耗强度问题应正面回应。申报稿自述单位工业增加值能耗 4.569 吨标准煤/万元，高于其所引佛山市规模以上工业口径 2.42 吨标准煤/万元，约为后者的 1.89 倍。现稿未就该差距提出实质性节能措施，仅以购买绿证作为替代手段，不足以支撑能耗审查结论。</w:t>
      </w:r>
    </w:p>
    <w:p>
      <w:pPr>
        <w:spacing w:before="0" w:after="0"/>
        <w:ind w:firstLine="480"/>
      </w:pPr>
      <w:r>
        <w:rPr>
          <w:rFonts w:ascii="Times New Roman" w:hAnsi="Times New Roman" w:eastAsia="仿宋"/>
          <w:b w:val="0"/>
          <w:sz w:val="24"/>
        </w:rPr>
        <w:t>二、能耗数据的边界必须与申请规模一致。当量值 256355.86 吨标准煤和等价值 591746.09 吨标准煤，经复核均由年总电量 20.8589 亿千瓦时折算而来，对应的是整体 202MW 满载口径。若本次申请为一期 136MW，上述两组数据均须按一期边界重新测算，并同步重列 IT 电量、辅助电量和总电量。</w:t>
      </w:r>
    </w:p>
    <w:p>
      <w:pPr>
        <w:spacing w:before="0" w:after="0"/>
        <w:ind w:firstLine="480"/>
      </w:pPr>
      <w:r>
        <w:rPr>
          <w:rFonts w:ascii="Times New Roman" w:hAnsi="Times New Roman" w:eastAsia="仿宋"/>
          <w:b w:val="0"/>
          <w:sz w:val="24"/>
        </w:rPr>
        <w:t>三、能耗替代不得以绿证充抵。本轮明确要求：绿电承诺应以项目现场可计量、可结算的物理电量为准，购买绿证不能替代年度绿电比例，也不能作为能耗替代量的证明。请申请人分列物理结算电量、绿证数量与环境权益归属，并说明各自的年度、计量点、交易主体和注销安排。</w:t>
      </w:r>
    </w:p>
    <w:p>
      <w:pPr>
        <w:spacing w:before="0" w:after="0"/>
        <w:ind w:firstLine="480"/>
      </w:pPr>
      <w:r>
        <w:rPr>
          <w:rFonts w:ascii="Times New Roman" w:hAnsi="Times New Roman" w:eastAsia="仿宋"/>
          <w:b w:val="0"/>
          <w:sz w:val="24"/>
        </w:rPr>
        <w:t>四、PUE 应按运营年加权值考核。设计 PUE 1.173 系按负荷率 1.0 全年满载测算，不能代表投运年度实际水平。请补充逐月负荷曲线、部分负载效率数据、液冷实际投建比例及年加权计算过程，分别给出投运首年和达产年的加权 PUE。</w:t>
      </w:r>
    </w:p>
    <w:p>
      <w:pPr>
        <w:spacing w:before="0" w:after="0"/>
        <w:ind w:firstLine="480"/>
      </w:pPr>
      <w:r>
        <w:rPr>
          <w:rFonts w:ascii="Times New Roman" w:hAnsi="Times New Roman" w:eastAsia="仿宋"/>
          <w:b w:val="0"/>
          <w:sz w:val="24"/>
        </w:rPr>
        <w:t>五、在能耗量、折标边界、年加权 PUE、绿电物理电量和替代来源五项证据齐备之前，本轮不对本项目的能耗和“两高”相关内容作出肯定性判断。</w:t>
      </w:r>
    </w:p>
    <w:p>
      <w:pPr>
        <w:spacing w:before="160" w:after="0"/>
        <w:ind w:firstLine="560"/>
      </w:pPr>
      <w:r>
        <w:rPr>
          <w:rFonts w:ascii="Times New Roman" w:hAnsi="Times New Roman" w:eastAsia="楷体"/>
          <w:b/>
          <w:sz w:val="28"/>
        </w:rPr>
        <w:t>（三）窗口指导意见与整改要求</w:t>
      </w:r>
    </w:p>
    <w:p>
      <w:pPr>
        <w:spacing w:before="0" w:after="0"/>
        <w:ind w:firstLine="480"/>
      </w:pPr>
      <w:r>
        <w:rPr>
          <w:rFonts w:ascii="Times New Roman" w:hAnsi="Times New Roman" w:eastAsia="仿宋"/>
          <w:b w:val="0"/>
          <w:sz w:val="24"/>
        </w:rPr>
        <w:t>综合上述，建议本项目退回补正，补正齐备后另行安排审查。整改要求如下：</w:t>
      </w:r>
    </w:p>
    <w:p>
      <w:pPr>
        <w:spacing w:before="0" w:after="0"/>
        <w:ind w:firstLine="480"/>
      </w:pPr>
      <w:r>
        <w:rPr>
          <w:rFonts w:ascii="Times New Roman" w:hAnsi="Times New Roman" w:eastAsia="仿宋"/>
          <w:b w:val="0"/>
          <w:sz w:val="24"/>
        </w:rPr>
        <w:t>一、冻结唯一申请口径。请以书面形式确认本次申请为整体 202MW 或一期 136MW，并按该值重排机柜清单、楼栋与模块、投资额、用地面积、变电容量、年用电量、能耗量和投产计划；申请人未作确认前，本项目不进入下一环节。</w:t>
      </w:r>
    </w:p>
    <w:p>
      <w:pPr>
        <w:spacing w:before="0" w:after="0"/>
        <w:ind w:firstLine="480"/>
      </w:pPr>
      <w:r>
        <w:rPr>
          <w:rFonts w:ascii="Times New Roman" w:hAnsi="Times New Roman" w:eastAsia="仿宋"/>
          <w:b w:val="0"/>
          <w:sz w:val="24"/>
        </w:rPr>
        <w:t>二、补齐需求闭环证据。提交同址已签约客户清单与意向客户清单，逐项列明客户、合同性质、服务地址、IT 功率、机架数、上架时间及退出条款，并将合同功率合计数与申请规模对应；不得以意向量表述为已锁定消纳量。</w:t>
      </w:r>
    </w:p>
    <w:p>
      <w:pPr>
        <w:spacing w:before="0" w:after="0"/>
        <w:ind w:firstLine="480"/>
      </w:pPr>
      <w:r>
        <w:rPr>
          <w:rFonts w:ascii="Times New Roman" w:hAnsi="Times New Roman" w:eastAsia="仿宋"/>
          <w:b w:val="0"/>
          <w:sz w:val="24"/>
        </w:rPr>
        <w:t>三、重做能耗与能效测算表。按唯一申请口径重列 IT 电量、辅助电量、总电量、当量值与等价值能耗量、单位工业增加值能耗，并附逐月负荷率和年加权 PUE 计算过程。</w:t>
      </w:r>
    </w:p>
    <w:p>
      <w:pPr>
        <w:spacing w:before="0" w:after="0"/>
        <w:ind w:firstLine="480"/>
      </w:pPr>
      <w:r>
        <w:rPr>
          <w:rFonts w:ascii="Times New Roman" w:hAnsi="Times New Roman" w:eastAsia="仿宋"/>
          <w:b w:val="0"/>
          <w:sz w:val="24"/>
        </w:rPr>
        <w:t>四、落实可核验的绿电权益。提交对应年度、对应电量、对应计量点的电力交易合同或具备约束力的供电承诺，分列物理电量、绿证和环境权益，并明确权益归属与注销主体；同时消除结论章 100% 与背景章“争取 20%”之间的冲突表述。</w:t>
      </w:r>
    </w:p>
    <w:p>
      <w:pPr>
        <w:spacing w:before="0" w:after="0"/>
        <w:ind w:firstLine="480"/>
      </w:pPr>
      <w:r>
        <w:rPr>
          <w:rFonts w:ascii="Times New Roman" w:hAnsi="Times New Roman" w:eastAsia="仿宋"/>
          <w:b w:val="0"/>
          <w:sz w:val="24"/>
        </w:rPr>
        <w:t>五、说明能耗替代的来源与依据。列明替代量、来源项目、来源年度、落实凭证及其可用性；以购买绿证作为替代手段的，不予采纳。</w:t>
      </w:r>
    </w:p>
    <w:p>
      <w:pPr>
        <w:spacing w:before="0" w:after="0"/>
        <w:ind w:firstLine="480"/>
      </w:pPr>
      <w:r>
        <w:rPr>
          <w:rFonts w:ascii="Times New Roman" w:hAnsi="Times New Roman" w:eastAsia="仿宋"/>
          <w:b w:val="0"/>
          <w:sz w:val="24"/>
        </w:rPr>
        <w:t>六、补充敏感点专项结论。在总平面图上标注居住区、教学区、操场、柴发机组、排气口和 160 立方米埋地油罐的最近距离，并提交噪声、废气、防渗、防火、危险化学品管理和事故风险的专项结论；不满足约束的，提出总图或规模调整方案。</w:t>
      </w:r>
    </w:p>
    <w:p>
      <w:pPr>
        <w:spacing w:before="0" w:after="0"/>
        <w:ind w:firstLine="480"/>
      </w:pPr>
      <w:r>
        <w:rPr>
          <w:rFonts w:ascii="Times New Roman" w:hAnsi="Times New Roman" w:eastAsia="仿宋"/>
          <w:b w:val="0"/>
          <w:sz w:val="24"/>
        </w:rPr>
        <w:t>七、澄清项目性质与既有资产。说明 1.34 亿元已转固主体工程的内容、位置、权属及其与本项目的关系，明确是否计入本次投资额和申请规模，并据实修正“新建”的表述。</w:t>
      </w:r>
    </w:p>
    <w:p>
      <w:pPr>
        <w:spacing w:before="0" w:after="0"/>
        <w:ind w:firstLine="480"/>
      </w:pPr>
      <w:r>
        <w:rPr>
          <w:rFonts w:ascii="Times New Roman" w:hAnsi="Times New Roman" w:eastAsia="仿宋"/>
          <w:b w:val="0"/>
          <w:sz w:val="24"/>
        </w:rPr>
        <w:t>八、闭合主体权责与资金链。以股权结构、投融资协议、建设合同和资金流向，说明申请、投资、建设、运营、资产持有和能耗责任的承担主体，并落实资本金来源；对近三年营业收入为零的情况说明出资能力。</w:t>
      </w:r>
    </w:p>
    <w:p>
      <w:pPr>
        <w:spacing w:before="0" w:after="0"/>
        <w:ind w:firstLine="480"/>
      </w:pPr>
      <w:r>
        <w:rPr>
          <w:rFonts w:ascii="Times New Roman" w:hAnsi="Times New Roman" w:eastAsia="仿宋"/>
          <w:b w:val="0"/>
          <w:sz w:val="24"/>
        </w:rPr>
        <w:t>九、消除技术与设备口径瑕疵。统一实际机柜、标准机柜与 IT 功率的换算关系，说明 1#、2# 模块功率差异及其余楼栋构成；核实“腾讯自研 N+X 2.0”的技术来源与授权关系，不能证明的予以删除；国产芯片及算力内容须与本期采购范围对应。</w:t>
      </w:r>
    </w:p>
    <w:p>
      <w:pPr>
        <w:spacing w:before="0" w:after="0"/>
        <w:ind w:firstLine="480"/>
      </w:pPr>
      <w:r>
        <w:rPr>
          <w:rFonts w:ascii="Times New Roman" w:hAnsi="Times New Roman" w:eastAsia="仿宋"/>
          <w:b w:val="0"/>
          <w:sz w:val="24"/>
        </w:rPr>
        <w:t>十、更新政策依据。补充截至申报时仍在执行的逐项依据及适用条款；粤工信信软〔2020〕73 号规划期已止于 2025 年，相关内容仅可作为历史背景表述。</w:t>
      </w:r>
    </w:p>
    <w:p>
      <w:pPr>
        <w:spacing w:before="0" w:after="0"/>
        <w:ind w:firstLine="480"/>
      </w:pPr>
      <w:r>
        <w:rPr>
          <w:rFonts w:ascii="Times New Roman" w:hAnsi="Times New Roman" w:eastAsia="仿宋"/>
          <w:b w:val="0"/>
          <w:sz w:val="24"/>
        </w:rPr>
        <w:t>十一、本件不构成对项目的任何肯定性评价，亦不得作为项目开工、用地、用能、供电和融资的依据。</w:t>
      </w:r>
    </w:p>
    <w:p>
      <w:pPr>
        <w:spacing w:before="240" w:after="80"/>
        <w:ind w:firstLine="600"/>
      </w:pPr>
      <w:r>
        <w:rPr>
          <w:rFonts w:ascii="Times New Roman" w:hAnsi="Times New Roman" w:eastAsia="黑体"/>
          <w:b w:val="0"/>
          <w:sz w:val="30"/>
        </w:rPr>
        <w:t>附件：现场口播提问卡（六问）</w:t>
      </w:r>
    </w:p>
    <w:p>
      <w:pPr>
        <w:spacing w:before="0" w:after="0"/>
        <w:ind w:firstLine="480"/>
      </w:pPr>
      <w:r>
        <w:rPr>
          <w:rFonts w:ascii="Times New Roman" w:hAnsi="Times New Roman" w:eastAsia="仿宋"/>
          <w:b w:val="0"/>
          <w:sz w:val="24"/>
        </w:rPr>
        <w:t>本附件仅供评审现场提问使用，不作为正式意见的组成部分。</w:t>
      </w:r>
    </w:p>
    <w:p>
      <w:pPr>
        <w:spacing w:before="0" w:after="0"/>
        <w:ind w:firstLine="480"/>
      </w:pPr>
      <w:r>
        <w:rPr>
          <w:rFonts w:ascii="Times New Roman" w:hAnsi="Times New Roman" w:eastAsia="仿宋"/>
          <w:b w:val="0"/>
          <w:sz w:val="24"/>
        </w:rPr>
        <w:t>问题一，先锁本次申请边界。请只回答一个数字：本次窗口申请是整体 202MW 还是一期 136MW？机柜逐项相加为 202.92768MW。若答 136MW，则追问一期对应哪些楼栋、模块、机柜、投资、用地和年电量，并追问为何年电量 17.7765 亿千瓦时按 8760 小时折算恰为 202.93MW；若答 202MW，则追问一期 136MW 为何仍列入本次核心口径。</w:t>
      </w:r>
    </w:p>
    <w:p>
      <w:pPr>
        <w:spacing w:before="0" w:after="0"/>
        <w:ind w:firstLine="480"/>
      </w:pPr>
      <w:r>
        <w:rPr>
          <w:rFonts w:ascii="Times New Roman" w:hAnsi="Times New Roman" w:eastAsia="仿宋"/>
          <w:b w:val="0"/>
          <w:sz w:val="24"/>
        </w:rPr>
        <w:t>问题二，需求是否真实落在西樵。所给稿中未见任何已签约或意向客户清单，却要建设约 8.12 万个标准机柜。请说明同址已签约多少 MW、意向多少 MW、何时上架。若答客户信息保密，则追问能否由窗口核验脱敏合同的地址、功率、期限和退出条款；若答暂无客户，则追问规模必要性的依据。</w:t>
      </w:r>
    </w:p>
    <w:p>
      <w:pPr>
        <w:spacing w:before="0" w:after="0"/>
        <w:ind w:firstLine="480"/>
      </w:pPr>
      <w:r>
        <w:rPr>
          <w:rFonts w:ascii="Times New Roman" w:hAnsi="Times New Roman" w:eastAsia="仿宋"/>
          <w:b w:val="0"/>
          <w:sz w:val="24"/>
        </w:rPr>
        <w:t>问题三，PUE 是不是全年值。总电量 20.8589 亿千瓦时除以 IT 电量 17.7765 亿千瓦时约为 1.1734，与设计值一致；但该 IT 电量对应负荷率 1.0 全年满载。若答按满载设计，则追问为何可将设计点作为投运年度加权值，部分负载效率证据在哪里；若答已考虑爬坡，则追问逐月负荷表在何处。</w:t>
      </w:r>
    </w:p>
    <w:p>
      <w:pPr>
        <w:spacing w:before="0" w:after="0"/>
        <w:ind w:firstLine="480"/>
      </w:pPr>
      <w:r>
        <w:rPr>
          <w:rFonts w:ascii="Times New Roman" w:hAnsi="Times New Roman" w:eastAsia="仿宋"/>
          <w:b w:val="0"/>
          <w:sz w:val="24"/>
        </w:rPr>
        <w:t>问题四，两高替代和绿电不得混为一项。稿中既以购买绿证作能耗替代，又在结论章承诺绿电 100%，背景章另称争取 20%，且能耗强度 4.569 吨标准煤/万元高于所引 2.42。若答绿证即可替代，则追问替代量、年度、来源和依据，并说明为何可不落实现场物理电量；若答全量绿电，则追问已签合同、计量点及权益注销主体。</w:t>
      </w:r>
    </w:p>
    <w:p>
      <w:pPr>
        <w:spacing w:before="0" w:after="0"/>
        <w:ind w:firstLine="480"/>
      </w:pPr>
      <w:r>
        <w:rPr>
          <w:rFonts w:ascii="Times New Roman" w:hAnsi="Times New Roman" w:eastAsia="仿宋"/>
          <w:b w:val="0"/>
          <w:sz w:val="24"/>
        </w:rPr>
        <w:t>问题五，学校、住宅和油罐如何落到总图。项目东侧有多层居住，西侧邻太平中学操场，并设置 160 立方米埋地油罐。请提供最近距离及噪声、废气、防渗、防火结论。若答环评后补，则追问在敏感点约束尚未判定前，窗口凭什么先行确认总图和规模。</w:t>
      </w:r>
    </w:p>
    <w:p>
      <w:pPr>
        <w:spacing w:before="0" w:after="0"/>
        <w:ind w:firstLine="480"/>
      </w:pPr>
      <w:r>
        <w:rPr>
          <w:rFonts w:ascii="Times New Roman" w:hAnsi="Times New Roman" w:eastAsia="仿宋"/>
          <w:b w:val="0"/>
          <w:sz w:val="24"/>
        </w:rPr>
        <w:t>问题六，谁投资、谁负责，为何仍称新建。广东腾龙申报、腾龙发展参与投资、鹏城金云运营，发展公司 2024 年已有 1.34 亿元主体工程转固且三年营业收入为零。若答转固与本项目无关，则追问该资产的具体项目和地址；若答有关，则追问为何仍写新建、是否计入本次投资额、资金从何而来。</w:t>
      </w:r>
    </w:p>
    <w:sectPr w:rsidR="00FC693F" w:rsidRPr="0006063C" w:rsidSect="00034616">
      <w:footerReference w:type="default" r:id="rId9"/>
      <w:pgSz w:w="12240" w:h="15840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仿宋"/>
        <w:b w:val="0"/>
        <w:sz w:val="21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560" w:after="0"/>
    </w:pPr>
    <w:rPr>
      <w:rFonts w:ascii="Times New Roman" w:hAnsi="Times New Roman" w:eastAsia="仿宋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