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宋体" w:hAnsi="宋体" w:eastAsia="宋体"/>
          <w:b/>
          <w:sz w:val="28"/>
        </w:rPr>
        <w:t>南航大兴维修基地 · 零碳园区/工厂包装 · 收资清单</w:t>
      </w:r>
    </w:p>
    <w:p>
      <w:pPr>
        <w:spacing w:before="0" w:after="40" w:lineRule="auto" w:line="240"/>
        <w:jc w:val="center"/>
      </w:pPr>
      <w:r>
        <w:rPr>
          <w:rFonts w:ascii="仿宋" w:hAnsi="仿宋" w:eastAsia="仿宋"/>
          <w:b w:val="0"/>
          <w:sz w:val="16"/>
        </w:rPr>
        <w:t>提供方：南网能源 ｜ 接收方：中国南方航空（大兴维修基地对接人） ｜ 用途：评估并包装「零碳园区/零碳工厂」所需材料与数据 ｜ 2026-09-08</w:t>
      </w:r>
    </w:p>
    <w:p>
      <w:pPr>
        <w:spacing w:before="20" w:after="40" w:lineRule="auto" w:line="240"/>
        <w:jc w:val="left"/>
        <w:shd w:val="clear" w:fill="EFEFEF"/>
      </w:pPr>
      <w:r>
        <w:rPr>
          <w:rFonts w:ascii="仿宋" w:hAnsi="仿宋" w:eastAsia="仿宋"/>
          <w:b/>
          <w:sz w:val="18"/>
        </w:rPr>
        <w:t>结论先行：</w:t>
      </w:r>
      <w:r>
        <w:rPr>
          <w:rFonts w:ascii="仿宋" w:hAnsi="仿宋" w:eastAsia="仿宋"/>
          <w:b/>
          <w:sz w:val="18"/>
        </w:rPr>
        <w:t>请先交必收项（A1–A6）。缺分项用电、电价、光伏实发、用电主体，无法做能碳基线与路径比选。本文是收资清单，不是收支报价。</w:t>
      </w:r>
    </w:p>
    <w:p>
      <w:pPr>
        <w:spacing w:before="20" w:after="20" w:lineRule="auto" w:line="240"/>
        <w:jc w:val="left"/>
      </w:pPr>
      <w:r>
        <w:rPr>
          <w:rFonts w:ascii="仿宋" w:hAnsi="仿宋" w:eastAsia="仿宋"/>
          <w:b/>
          <w:sz w:val="16"/>
        </w:rPr>
        <w:t>公开已知（仅作对表，勿代替贵方书面）：</w:t>
      </w:r>
      <w:r>
        <w:rPr>
          <w:rFonts w:ascii="仿宋" w:hAnsi="仿宋" w:eastAsia="仿宋"/>
          <w:b w:val="0"/>
          <w:sz w:val="16"/>
        </w:rPr>
        <w:t>基地总建设规模约108.69万㎡；一期约87.87万㎡、31个单体；维修区约20万㎡；1号机库跨度约405m。光伏/充电为2019年公开预期，须以贵方台账为准。勿把大兴机场100%绿电、机场光伏成绩直接填作本维修基地成绩。</w:t>
      </w:r>
    </w:p>
    <w:p>
      <w:pPr>
        <w:spacing w:before="40" w:after="20" w:lineRule="auto" w:line="240"/>
        <w:jc w:val="left"/>
      </w:pPr>
      <w:r>
        <w:rPr>
          <w:rFonts w:ascii="宋体" w:hAnsi="宋体" w:eastAsia="宋体"/>
          <w:b/>
          <w:sz w:val="19"/>
        </w:rPr>
        <w:t>表A · 必收项（A1–A6）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624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type="dxa" w:w="1644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请提供</w:t>
            </w:r>
          </w:p>
        </w:tc>
        <w:tc>
          <w:tcPr>
            <w:tcW w:type="dxa" w:w="2041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用途</w:t>
            </w:r>
          </w:p>
        </w:tc>
        <w:tc>
          <w:tcPr>
            <w:tcW w:type="dxa" w:w="4195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建议格式/范围</w:t>
            </w:r>
          </w:p>
        </w:tc>
        <w:tc>
          <w:tcPr>
            <w:tcW w:type="dxa" w:w="1814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缺了会怎样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A1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用电主体与户号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确认法人、结算界面、是否可做单用户直连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公司全称、统一社会信用代码、供电户号、电压等级、是否两部制；最近电费单首页复印件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主责与交易路径无法定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A2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近12–36个月分项用电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摸清机库/航材/办公/充电电耗结构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月度表至少拆机库环控、机库工艺/设备、航材库、办公、充电桩、其他；单位kWh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节电与光伏情景无法量化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A3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到户电价与容量费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算节电与光伏节省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目录电价或代理购电均价、容（需）量电费、功率因数考核；近12个月电费明细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收入侧公式落不了数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A4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现有光伏台账与实发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核对公开「≥27万kWh/年」预期与现状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各电站装机kW、并网时间、近12–36月实发kWh、自发自用/上网比例、产权与运维方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无法判断扩容必要性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A5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机库暖通与照明现状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锁定最大改造头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冷热源形式、装机、控制方式、设定温湿度、年运行策略；照明类型与控制方式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机库提效范围说不清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A6</w:t>
            </w:r>
          </w:p>
        </w:tc>
        <w:tc>
          <w:tcPr>
            <w:tcW w:type="dxa" w:w="164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建筑与屋面条件</w:t>
            </w:r>
          </w:p>
        </w:tc>
        <w:tc>
          <w:tcPr>
            <w:tcW w:type="dxa" w:w="204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判断光伏扩容可行性</w:t>
            </w:r>
          </w:p>
        </w:tc>
        <w:tc>
          <w:tcPr>
            <w:tcW w:type="dxa" w:w="4195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机库及可利用屋面平面图、结构荷载结论、民航净空/限高/电磁约束说明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扩容只能停在口头</w:t>
            </w:r>
          </w:p>
        </w:tc>
      </w:tr>
    </w:tbl>
    <w:p>
      <w:pPr>
        <w:spacing w:before="60" w:after="20" w:lineRule="auto" w:line="240"/>
        <w:jc w:val="left"/>
      </w:pPr>
      <w:r>
        <w:rPr>
          <w:rFonts w:ascii="宋体" w:hAnsi="宋体" w:eastAsia="宋体"/>
          <w:b/>
          <w:sz w:val="19"/>
        </w:rPr>
        <w:t>表B · 加分项（B1–B7）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624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请提供</w:t>
            </w:r>
          </w:p>
        </w:tc>
        <w:tc>
          <w:tcPr>
            <w:tcW w:type="dxa" w:w="2211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用途</w:t>
            </w:r>
          </w:p>
        </w:tc>
        <w:tc>
          <w:tcPr>
            <w:tcW w:type="dxa" w:w="4762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建议格式/范围</w:t>
            </w:r>
          </w:p>
        </w:tc>
        <w:tc>
          <w:tcPr>
            <w:tcW w:type="dxa" w:w="907"/>
            <w:vAlign w:val="center"/>
            <w:shd w:val="clear" w:fill="D9D9D9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优先级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B1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工艺用能清单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分清可调/不可调负荷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空压、航电测试、复合材料相关温湿、特种设备；额定功率与典型工况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B2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充电桩运行数据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评估柔性负荷与对内成本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一期/远期数量、实际投运、近12月充电量kWh、是否对外经营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B3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绿电/绿证合同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评估外购绿电路径（≠直连）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合同主体、电量、期限、价格或溢价；是否覆盖本维修基地户号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B4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储能与蓄冷（如有）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评估削峰与自用率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容量、策略、近12月充放；没有则书面回「无」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B5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已有节能/数字化项目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避免重复改造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合同能源管理、平台名称、改造范围、已实现节能量（有则附验收）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B6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碳排放与ESG口径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对接零碳工厂路径（13号方向）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是否已有盘查边界、第三方报告、集团披露是否含本基地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B7</w:t>
            </w:r>
          </w:p>
        </w:tc>
        <w:tc>
          <w:tcPr>
            <w:tcW w:type="dxa" w:w="1814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投资与运维界面</w:t>
            </w:r>
          </w:p>
        </w:tc>
        <w:tc>
          <w:tcPr>
            <w:tcW w:type="dxa" w:w="2211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分清谁投谁运</w:t>
            </w:r>
          </w:p>
        </w:tc>
        <w:tc>
          <w:tcPr>
            <w:tcW w:type="dxa" w:w="4762"/>
            <w:vAlign w:val="center"/>
          </w:tcPr>
          <w:p>
            <w:pPr>
              <w:spacing w:before="10" w:after="10" w:lineRule="auto" w:line="24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机库/光伏/充电/能源站产权与运维归属；可接受的合作模式意向（自投/合资/托管）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 w:lineRule="auto" w:line="24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加分</w:t>
            </w:r>
          </w:p>
        </w:tc>
      </w:tr>
    </w:tbl>
    <w:p>
      <w:pPr>
        <w:spacing w:before="60" w:after="20" w:lineRule="auto" w:line="240"/>
        <w:jc w:val="left"/>
      </w:pPr>
      <w:r>
        <w:rPr>
          <w:rFonts w:ascii="仿宋" w:hAnsi="仿宋" w:eastAsia="仿宋"/>
          <w:b/>
          <w:sz w:val="16"/>
        </w:rPr>
        <w:t>填表说明：</w:t>
      </w:r>
      <w:r>
        <w:rPr>
          <w:rFonts w:ascii="仿宋" w:hAnsi="仿宋" w:eastAsia="仿宋"/>
          <w:b w:val="0"/>
          <w:sz w:val="16"/>
        </w:rPr>
        <w:t>1）能给电子台账的不要只给截图；Excel/PDF均可，注明单位与统计口径。2）涉密可打码户名账号，保留电量、电价、装机等分析字段。3）机场公司绿电合同若主体不是本基地户号，请单独注明「不覆盖本基地」。4）暂缺项请回「无/不适用/预计提供日期」，勿留空。5）建议两周内先交A1–A6；B类可滚动补。</w:t>
      </w:r>
    </w:p>
    <w:p>
      <w:pPr>
        <w:spacing w:before="20" w:after="20" w:lineRule="auto" w:line="240"/>
        <w:jc w:val="left"/>
      </w:pPr>
      <w:r>
        <w:rPr>
          <w:rFonts w:ascii="仿宋" w:hAnsi="仿宋" w:eastAsia="仿宋"/>
          <w:b/>
          <w:sz w:val="16"/>
        </w:rPr>
        <w:t>回传：</w:t>
      </w:r>
      <w:r>
        <w:rPr>
          <w:rFonts w:ascii="仿宋" w:hAnsi="仿宋" w:eastAsia="仿宋"/>
          <w:b w:val="0"/>
          <w:sz w:val="16"/>
        </w:rPr>
        <w:t>南航大兴维修基地-收资-YYYYMMDD.zip；含勾选表、A1–A6、B类已有；收件后做缺口清单与澄清，本表不做商务报价。</w:t>
      </w:r>
    </w:p>
    <w:p>
      <w:pPr>
        <w:spacing w:before="20" w:after="20" w:lineRule="auto" w:line="240"/>
        <w:jc w:val="left"/>
      </w:pPr>
      <w:r>
        <w:rPr>
          <w:rFonts w:ascii="仿宋" w:hAnsi="仿宋" w:eastAsia="仿宋"/>
          <w:b/>
          <w:sz w:val="16"/>
        </w:rPr>
        <w:t>附件锚点（公开来源，仅作对表）：</w:t>
      </w:r>
      <w:r>
        <w:rPr>
          <w:rFonts w:ascii="仿宋" w:hAnsi="仿宋" w:eastAsia="仿宋"/>
          <w:b w:val="0"/>
          <w:sz w:val="16"/>
        </w:rPr>
        <w:t>总建面108.69万㎡；一期87.87万㎡/31个单体；维修区约20万㎡；1号机库约405m跨；光伏3项预期≥27万kWh/年（2019）；充电桩300/远期800。机场100%绿电等不计入本基地。</w:t>
      </w:r>
    </w:p>
    <w:p>
      <w:pPr>
        <w:spacing w:before="20" w:after="20" w:lineRule="auto" w:line="240"/>
        <w:jc w:val="left"/>
      </w:pPr>
      <w:r>
        <w:rPr>
          <w:rFonts w:ascii="仿宋" w:hAnsi="仿宋" w:eastAsia="仿宋"/>
          <w:b/>
          <w:sz w:val="16"/>
        </w:rPr>
        <w:t>联系口径：</w:t>
      </w:r>
      <w:r>
        <w:rPr>
          <w:rFonts w:ascii="仿宋" w:hAnsi="仿宋" w:eastAsia="仿宋"/>
          <w:b w:val="0"/>
          <w:sz w:val="16"/>
        </w:rPr>
        <w:t>本表由南网能源发出；正式对外表述经南网能源总管口径；旧「收支清单」已废止，勿混用。</w:t>
      </w:r>
    </w:p>
    <w:p>
      <w:pPr>
        <w:spacing w:before="20" w:after="0" w:lineRule="auto" w:line="240"/>
        <w:jc w:val="right"/>
      </w:pPr>
      <w:r>
        <w:rPr>
          <w:rFonts w:ascii="仿宋" w:hAnsi="仿宋" w:eastAsia="仿宋"/>
          <w:b w:val="0"/>
          <w:color w:val="808080"/>
          <w:sz w:val="15"/>
        </w:rPr>
        <w:t>标注：文秘 · Kimi K3 · Codex风</w:t>
      </w:r>
    </w:p>
    <w:sectPr w:rsidR="00FC693F" w:rsidRPr="0006063C" w:rsidSect="00034616">
      <w:pgSz w:w="11906" w:h="16838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