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560" w:after="40" w:lineRule="exact" w:line="640"/>
        <w:jc w:val="center"/>
      </w:pPr>
      <w:r>
        <w:rPr>
          <w:rFonts w:ascii="黑体" w:hAnsi="黑体" w:eastAsia="黑体" w:cs="黑体"/>
          <w:b/>
          <w:sz w:val="44"/>
        </w:rPr>
        <w:t>青海海东智算中心节能降碳与</w:t>
      </w:r>
    </w:p>
    <w:p>
      <w:pPr>
        <w:keepNext w:val="0"/>
        <w:spacing w:before="0" w:after="240" w:lineRule="exact" w:line="640"/>
        <w:jc w:val="center"/>
      </w:pPr>
      <w:r>
        <w:rPr>
          <w:rFonts w:ascii="黑体" w:hAnsi="黑体" w:eastAsia="黑体" w:cs="黑体"/>
          <w:b/>
          <w:sz w:val="44"/>
        </w:rPr>
        <w:t>综合节能大模型合作备忘录</w:t>
      </w:r>
    </w:p>
    <w:p>
      <w:pPr>
        <w:keepNext w:val="0"/>
        <w:spacing w:before="0" w:after="560" w:lineRule="exact" w:line="480"/>
        <w:jc w:val="center"/>
      </w:pPr>
      <w:r>
        <w:rPr>
          <w:rFonts w:ascii="楷体_GB2312" w:hAnsi="楷体_GB2312" w:eastAsia="楷体_GB2312" w:cs="楷体_GB2312"/>
          <w:b w:val="0"/>
          <w:sz w:val="28"/>
        </w:rPr>
        <w:t>（双方合作协商备忘录 · 原则安排 · 讨论稿）</w:t>
      </w:r>
    </w:p>
    <w:p>
      <w:pPr>
        <w:keepNext w:val="0"/>
        <w:spacing w:before="0" w:after="80" w:lineRule="exact" w:line="520"/>
        <w:jc w:val="center"/>
      </w:pPr>
      <w:r>
        <w:rPr>
          <w:rFonts w:ascii="仿宋_GB2312" w:hAnsi="仿宋_GB2312" w:eastAsia="仿宋_GB2312" w:cs="仿宋_GB2312"/>
          <w:b w:val="0"/>
          <w:sz w:val="32"/>
        </w:rPr>
        <w:t>南方电网综合能源股份有限公司</w:t>
      </w:r>
    </w:p>
    <w:p>
      <w:pPr>
        <w:keepNext w:val="0"/>
        <w:spacing w:before="0" w:after="80" w:lineRule="exact" w:line="520"/>
        <w:jc w:val="center"/>
      </w:pPr>
      <w:r>
        <w:rPr>
          <w:rFonts w:ascii="仿宋_GB2312" w:hAnsi="仿宋_GB2312" w:eastAsia="仿宋_GB2312" w:cs="仿宋_GB2312"/>
          <w:b w:val="0"/>
          <w:sz w:val="32"/>
        </w:rPr>
        <w:t>青海超算芯科技有限公司</w:t>
      </w:r>
    </w:p>
    <w:p>
      <w:pPr>
        <w:keepNext w:val="0"/>
        <w:spacing w:before="400" w:after="0" w:lineRule="exact" w:line="520"/>
        <w:jc w:val="center"/>
      </w:pPr>
      <w:r>
        <w:rPr>
          <w:rFonts w:ascii="仿宋_GB2312" w:hAnsi="仿宋_GB2312" w:eastAsia="仿宋_GB2312" w:cs="仿宋_GB2312"/>
          <w:b w:val="0"/>
          <w:sz w:val="32"/>
        </w:rPr>
        <w:t>二〇二六年九月八日</w:t>
      </w:r>
    </w:p>
    <w:p>
      <w:r>
        <w:br w:type="page"/>
      </w:r>
    </w:p>
    <w:p>
      <w:pPr>
        <w:keepNext w:val="0"/>
        <w:spacing w:before="0" w:after="0" w:lineRule="exact" w:line="560"/>
        <w:ind w:firstLine="640"/>
        <w:jc w:val="both"/>
      </w:pPr>
      <w:r>
        <w:rPr>
          <w:rFonts w:ascii="仿宋_GB2312" w:hAnsi="仿宋_GB2312" w:eastAsia="仿宋_GB2312" w:cs="仿宋_GB2312"/>
          <w:b w:val="0"/>
          <w:sz w:val="32"/>
        </w:rPr>
        <w:t>本备忘录用于明确双方围绕青海海东智算中心节能降碳场景、综合节能大模型及相关算力使用开展合作的原则安排。双方确认：本备忘录为协商文本，不构成投资承诺；不改变南网能源直投五类设备、通过闭口服务费回收的既有安排。大模型与Token合作为旁路安排，不进入五年闭口保底，不用于补足金融租赁缺口。</w:t>
      </w:r>
    </w:p>
    <w:p>
      <w:pPr>
        <w:keepNext/>
        <w:spacing w:before="280" w:after="80" w:lineRule="exact" w:line="560"/>
        <w:jc w:val="left"/>
      </w:pPr>
      <w:r>
        <w:rPr>
          <w:rFonts w:ascii="黑体" w:hAnsi="黑体" w:eastAsia="黑体" w:cs="黑体"/>
          <w:b w:val="0"/>
          <w:sz w:val="32"/>
        </w:rPr>
        <w:t>一、目的和效力</w:t>
      </w:r>
    </w:p>
    <w:p>
      <w:pPr>
        <w:keepNext w:val="0"/>
        <w:spacing w:before="0" w:after="0" w:lineRule="exact" w:line="560"/>
        <w:ind w:firstLine="640"/>
        <w:jc w:val="both"/>
      </w:pPr>
      <w:r>
        <w:rPr>
          <w:rFonts w:ascii="仿宋_GB2312" w:hAnsi="仿宋_GB2312" w:eastAsia="仿宋_GB2312" w:cs="仿宋_GB2312"/>
          <w:b w:val="0"/>
          <w:sz w:val="32"/>
        </w:rPr>
        <w:t>甲乙双方拟依托青海超算芯科技有限公司作为项目主体和算力公司，围绕综合能源及算力设施节能降碳场景，推进综合节能大模型的需求梳理、训练评测、应用审查及相关算力协同。</w:t>
      </w:r>
    </w:p>
    <w:p>
      <w:pPr>
        <w:keepNext w:val="0"/>
        <w:spacing w:before="0" w:after="0" w:lineRule="exact" w:line="560"/>
        <w:ind w:firstLine="640"/>
        <w:jc w:val="both"/>
      </w:pPr>
      <w:r>
        <w:rPr>
          <w:rFonts w:ascii="仿宋_GB2312" w:hAnsi="仿宋_GB2312" w:eastAsia="仿宋_GB2312" w:cs="仿宋_GB2312"/>
          <w:b w:val="0"/>
          <w:sz w:val="32"/>
        </w:rPr>
        <w:t>本备忘录仅用于统一合作界面、原则和边界，不构成任何一方对投资、融资、股权交易、模型采购、收入规模或收益水平的承诺。数据使用、模型开发、Token结算、成果权属、训练经费等实质性权利义务，以双方后续另行签署的专项协议为准。</w:t>
      </w:r>
    </w:p>
    <w:p>
      <w:pPr>
        <w:keepNext w:val="0"/>
        <w:spacing w:before="0" w:after="0" w:lineRule="exact" w:line="560"/>
        <w:ind w:firstLine="640"/>
        <w:jc w:val="both"/>
      </w:pPr>
      <w:r>
        <w:rPr>
          <w:rFonts w:ascii="仿宋_GB2312" w:hAnsi="仿宋_GB2312" w:eastAsia="仿宋_GB2312" w:cs="仿宋_GB2312"/>
          <w:b w:val="0"/>
          <w:sz w:val="32"/>
        </w:rPr>
        <w:t>本备忘录与五类设备投资、金融租赁或股权转让文件不一致的，以相关投资、金融租赁或股权转让文件为准；涉及南网能源数据、生产监控或生成式人工智能训练的，以南网能源现行数据安全和生产数据接入制度为准。</w:t>
      </w:r>
    </w:p>
    <w:p>
      <w:pPr>
        <w:keepNext/>
        <w:spacing w:before="280" w:after="80" w:lineRule="exact" w:line="560"/>
        <w:jc w:val="left"/>
      </w:pPr>
      <w:r>
        <w:rPr>
          <w:rFonts w:ascii="黑体" w:hAnsi="黑体" w:eastAsia="黑体" w:cs="黑体"/>
          <w:b w:val="0"/>
          <w:sz w:val="32"/>
        </w:rPr>
        <w:t>二、合作各方</w:t>
      </w:r>
    </w:p>
    <w:p>
      <w:pPr>
        <w:keepNext w:val="0"/>
        <w:spacing w:before="0" w:after="0" w:lineRule="exact" w:line="560"/>
        <w:ind w:firstLine="640"/>
        <w:jc w:val="both"/>
      </w:pPr>
      <w:r>
        <w:rPr>
          <w:rFonts w:ascii="仿宋_GB2312" w:hAnsi="仿宋_GB2312" w:eastAsia="仿宋_GB2312" w:cs="仿宋_GB2312"/>
          <w:b w:val="0"/>
          <w:sz w:val="32"/>
        </w:rPr>
        <w:t>甲方：南方电网综合能源股份有限公司（以下简称“南网能源”）。南网能源作为储能、机柜、空调、动环和电源五类设备投资方，不控股超算芯；负责提出或确认合作场景和数据安全要求，审核训练数据分类分级，对涉及其数据、业务系统或对外服务的模型与平台开展上线审查；按照相关投资及服务协议收取闭口服务费，并参与约定的租赁超额分成。</w:t>
      </w:r>
    </w:p>
    <w:p>
      <w:pPr>
        <w:keepNext w:val="0"/>
        <w:spacing w:before="0" w:after="0" w:lineRule="exact" w:line="560"/>
        <w:ind w:firstLine="640"/>
        <w:jc w:val="both"/>
      </w:pPr>
      <w:r>
        <w:rPr>
          <w:rFonts w:ascii="仿宋_GB2312" w:hAnsi="仿宋_GB2312" w:eastAsia="仿宋_GB2312" w:cs="仿宋_GB2312"/>
          <w:b w:val="0"/>
          <w:sz w:val="32"/>
        </w:rPr>
        <w:t>乙方：青海超算芯科技有限公司（以下简称“超算芯”）。超算芯作为算力公司和项目主体，负责落实主体、机房和属地条件，组织算力调度、上架、客户交付、回款及现场管理；落实境内存储、默认不出境、分区访问等要求；与南网能源另行签署专项协议。恒运入股后，项目主体和对外履约主体仍为超算芯。超算芯对内依公司治理程序落实股东决策，对外仍由超算芯向南网能源履行本备忘录及专项协议项下义务。</w:t>
      </w:r>
    </w:p>
    <w:p>
      <w:pPr>
        <w:keepNext w:val="0"/>
        <w:spacing w:before="0" w:after="0" w:lineRule="exact" w:line="560"/>
        <w:ind w:firstLine="640"/>
        <w:jc w:val="both"/>
      </w:pPr>
      <w:r>
        <w:rPr>
          <w:rFonts w:ascii="仿宋_GB2312" w:hAnsi="仿宋_GB2312" w:eastAsia="仿宋_GB2312" w:cs="仿宋_GB2312"/>
          <w:b w:val="0"/>
          <w:sz w:val="32"/>
        </w:rPr>
        <w:t>非签署方说明：广州恒运拟登记受让超算芯（项目SPV）80%股权，主导经营通过超算芯公司治理体现，具体股权受让及治理安排由股权转让文件另行约定。广州恒运不作为本备忘录签署方；本备忘录不据此在南网能源与广州恒运之间设立数据、模型开发、Token结算或其他合同关系。</w:t>
      </w:r>
    </w:p>
    <w:p>
      <w:pPr>
        <w:keepNext/>
        <w:spacing w:before="280" w:after="80" w:lineRule="exact" w:line="560"/>
        <w:jc w:val="left"/>
      </w:pPr>
      <w:r>
        <w:rPr>
          <w:rFonts w:ascii="黑体" w:hAnsi="黑体" w:eastAsia="黑体" w:cs="黑体"/>
          <w:b w:val="0"/>
          <w:sz w:val="32"/>
        </w:rPr>
        <w:t>三、合作内容</w:t>
      </w:r>
    </w:p>
    <w:p>
      <w:pPr>
        <w:keepNext/>
        <w:spacing w:before="160" w:after="40" w:lineRule="exact" w:line="560"/>
        <w:jc w:val="left"/>
      </w:pPr>
      <w:r>
        <w:rPr>
          <w:rFonts w:ascii="楷体_GB2312" w:hAnsi="楷体_GB2312" w:eastAsia="楷体_GB2312" w:cs="楷体_GB2312"/>
          <w:b w:val="0"/>
          <w:sz w:val="32"/>
        </w:rPr>
        <w:t>（一）节能降碳场景</w:t>
      </w:r>
    </w:p>
    <w:p>
      <w:pPr>
        <w:keepNext w:val="0"/>
        <w:spacing w:before="0" w:after="0" w:lineRule="exact" w:line="560"/>
        <w:ind w:firstLine="640"/>
        <w:jc w:val="both"/>
      </w:pPr>
      <w:r>
        <w:rPr>
          <w:rFonts w:ascii="仿宋_GB2312" w:hAnsi="仿宋_GB2312" w:eastAsia="仿宋_GB2312" w:cs="仿宋_GB2312"/>
          <w:b w:val="0"/>
          <w:sz w:val="32"/>
        </w:rPr>
        <w:t>双方围绕综合能源及算力设施节能降碳开展场景梳理。场景由南网能源提出或确认，具体场景清单、试点范围、数据条件、验收指标及评价方法由专项协议明确。本备忘录不承诺节能量、碳减排量、Token销量、单价或收益水平。</w:t>
      </w:r>
    </w:p>
    <w:p>
      <w:pPr>
        <w:keepNext/>
        <w:spacing w:before="160" w:after="40" w:lineRule="exact" w:line="560"/>
        <w:jc w:val="left"/>
      </w:pPr>
      <w:r>
        <w:rPr>
          <w:rFonts w:ascii="楷体_GB2312" w:hAnsi="楷体_GB2312" w:eastAsia="楷体_GB2312" w:cs="楷体_GB2312"/>
          <w:b w:val="0"/>
          <w:sz w:val="32"/>
        </w:rPr>
        <w:t>（二）综合节能大模型</w:t>
      </w:r>
    </w:p>
    <w:p>
      <w:pPr>
        <w:keepNext w:val="0"/>
        <w:spacing w:before="0" w:after="0" w:lineRule="exact" w:line="560"/>
        <w:ind w:firstLine="640"/>
        <w:jc w:val="both"/>
      </w:pPr>
      <w:r>
        <w:rPr>
          <w:rFonts w:ascii="仿宋_GB2312" w:hAnsi="仿宋_GB2312" w:eastAsia="仿宋_GB2312" w:cs="仿宋_GB2312"/>
          <w:b w:val="0"/>
          <w:sz w:val="32"/>
        </w:rPr>
        <w:t>综合节能大模型作为支持场景分析、策略生成和运营辅助的技术载体，不替代五类设备投资回收安排。模型编制、训练、评测和上线应单独立项、单独审查、单独列支。未完成分类分级、未取得书面授权、未满足脱敏或其他安全要求的数据，不得用于训练、评测或对外服务。</w:t>
      </w:r>
    </w:p>
    <w:p>
      <w:pPr>
        <w:keepNext w:val="0"/>
        <w:spacing w:before="0" w:after="0" w:lineRule="exact" w:line="560"/>
        <w:ind w:firstLine="640"/>
        <w:jc w:val="both"/>
      </w:pPr>
      <w:r>
        <w:rPr>
          <w:rFonts w:ascii="仿宋_GB2312" w:hAnsi="仿宋_GB2312" w:eastAsia="仿宋_GB2312" w:cs="仿宋_GB2312"/>
          <w:b w:val="0"/>
          <w:sz w:val="32"/>
        </w:rPr>
        <w:t>运营及大模型团队由超算芯组织。南网能源按照专项协议参与相关工作或提出场景、数据安全、训练评测和上线审查要求；该安排不形成其他主体与双方并列的签署结构。</w:t>
      </w:r>
    </w:p>
    <w:p>
      <w:pPr>
        <w:keepNext/>
        <w:spacing w:before="160" w:after="40" w:lineRule="exact" w:line="560"/>
        <w:jc w:val="left"/>
      </w:pPr>
      <w:r>
        <w:rPr>
          <w:rFonts w:ascii="楷体_GB2312" w:hAnsi="楷体_GB2312" w:eastAsia="楷体_GB2312" w:cs="楷体_GB2312"/>
          <w:b w:val="0"/>
          <w:sz w:val="32"/>
        </w:rPr>
        <w:t>（三）算力使用</w:t>
      </w:r>
    </w:p>
    <w:p>
      <w:pPr>
        <w:keepNext w:val="0"/>
        <w:spacing w:before="0" w:after="0" w:lineRule="exact" w:line="560"/>
        <w:ind w:firstLine="640"/>
        <w:jc w:val="both"/>
      </w:pPr>
      <w:r>
        <w:rPr>
          <w:rFonts w:ascii="仿宋_GB2312" w:hAnsi="仿宋_GB2312" w:eastAsia="仿宋_GB2312" w:cs="仿宋_GB2312"/>
          <w:b w:val="0"/>
          <w:sz w:val="32"/>
        </w:rPr>
        <w:t>在不影响客户租约、金融租赁资产安排和五类设备服务要求的前提下，双方可在专项协议中研究使用低谷或自留算力。算力资源范围、调度优先级、计量方式、价格及结算路径均待书面确认。Token及模型收入实行旁路核算，不进入五年闭口保底，不作为金融租赁或闭口缺口的备用补足来源。</w:t>
      </w:r>
    </w:p>
    <w:p>
      <w:pPr>
        <w:keepNext/>
        <w:spacing w:before="200" w:after="100" w:lineRule="exact" w:line="400"/>
        <w:jc w:val="center"/>
      </w:pPr>
      <w:r>
        <w:rPr>
          <w:rFonts w:ascii="黑体" w:hAnsi="黑体" w:eastAsia="黑体" w:cs="黑体"/>
          <w:b w:val="0"/>
          <w:sz w:val="24"/>
        </w:rPr>
        <w:t>表1 双方分工</w:t>
      </w:r>
    </w:p>
    <w:tbl>
      <w:tblPr>
        <w:jc w:val="center"/>
        <w:tblLayout w:type="fixed"/>
        <w:tblLook w:firstColumn="1" w:firstRow="1" w:lastColumn="0" w:lastRow="0" w:noHBand="0" w:noVBand="1" w:val="04A0"/>
        <w:tblW w:w="8844" w:type="dxa"/>
      </w:tblPr>
      <w:tblGrid>
        <w:gridCol w:w="1644"/>
        <w:gridCol w:w="2437"/>
        <w:gridCol w:w="4762"/>
      </w:tblGrid>
      <w:tr>
        <w:trPr>
          <w:cantSplit/>
          <w:tblHeader w:val="true"/>
        </w:trPr>
        <w:tc>
          <w:tcPr>
            <w:tcW w:type="dxa" w:w="1644"/>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主体</w:t>
            </w:r>
          </w:p>
        </w:tc>
        <w:tc>
          <w:tcPr>
            <w:tcW w:type="dxa" w:w="2438"/>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身份</w:t>
            </w:r>
          </w:p>
        </w:tc>
        <w:tc>
          <w:tcPr>
            <w:tcW w:type="dxa" w:w="4762"/>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主要职责</w:t>
            </w:r>
          </w:p>
        </w:tc>
      </w:tr>
      <w:tr>
        <w:trPr>
          <w:cantSplit/>
        </w:trPr>
        <w:tc>
          <w:tcPr>
            <w:tcW w:type="dxa" w:w="1644"/>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南网能源</w:t>
            </w:r>
          </w:p>
        </w:tc>
        <w:tc>
          <w:tcPr>
            <w:tcW w:type="dxa" w:w="2438"/>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五类设备投资方，不控股</w:t>
            </w:r>
          </w:p>
        </w:tc>
        <w:tc>
          <w:tcPr>
            <w:tcW w:type="dxa" w:w="476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提出或确认场景与数据安全要求；审核训练数据分类分级；对涉及南网能源数据、业务系统或对外服务的模型与平台开展上线审查；按照相关协议收取闭口服务费，并参与约定的租赁超额分成</w:t>
            </w:r>
          </w:p>
        </w:tc>
      </w:tr>
      <w:tr>
        <w:trPr>
          <w:cantSplit/>
        </w:trPr>
        <w:tc>
          <w:tcPr>
            <w:tcW w:type="dxa" w:w="1644"/>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超算芯</w:t>
            </w:r>
          </w:p>
        </w:tc>
        <w:tc>
          <w:tcPr>
            <w:tcW w:type="dxa" w:w="2438"/>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算力公司、项目主体；恒运入股后仍为该公司</w:t>
            </w:r>
          </w:p>
        </w:tc>
        <w:tc>
          <w:tcPr>
            <w:tcW w:type="dxa" w:w="476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落实主体、机房和属地条件；组织调度、上架、客户交付、回款及现场管理；落实境内存储、默认不出境和分区访问；与南网能源另签专项协议；对内落实包括恒运在内的股东决策，对外向南网能源履约</w:t>
            </w:r>
          </w:p>
        </w:tc>
      </w:tr>
      <w:tr>
        <w:trPr>
          <w:cantSplit/>
        </w:trPr>
        <w:tc>
          <w:tcPr>
            <w:tcW w:type="dxa" w:w="1644"/>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运营及大模型团队</w:t>
            </w:r>
          </w:p>
        </w:tc>
        <w:tc>
          <w:tcPr>
            <w:tcW w:type="dxa" w:w="2438"/>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由超算芯组织</w:t>
            </w:r>
          </w:p>
        </w:tc>
        <w:tc>
          <w:tcPr>
            <w:tcW w:type="dxa" w:w="4762"/>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承担运营、模型编制、训练和评测等具体工作；南网能源按专项协议参与或提出要求；不另设并列签署主体</w:t>
            </w:r>
          </w:p>
        </w:tc>
      </w:tr>
    </w:tbl>
    <w:p>
      <w:pPr>
        <w:keepNext/>
        <w:spacing w:before="280" w:after="80" w:lineRule="exact" w:line="560"/>
        <w:jc w:val="left"/>
      </w:pPr>
      <w:r>
        <w:rPr>
          <w:rFonts w:ascii="黑体" w:hAnsi="黑体" w:eastAsia="黑体" w:cs="黑体"/>
          <w:b w:val="0"/>
          <w:sz w:val="32"/>
        </w:rPr>
        <w:t>四、闭口服务与金融租赁边界</w:t>
      </w:r>
    </w:p>
    <w:p>
      <w:pPr>
        <w:keepNext w:val="0"/>
        <w:spacing w:before="0" w:after="0" w:lineRule="exact" w:line="560"/>
        <w:ind w:firstLine="640"/>
        <w:jc w:val="both"/>
      </w:pPr>
      <w:r>
        <w:rPr>
          <w:rFonts w:ascii="仿宋_GB2312" w:hAnsi="仿宋_GB2312" w:eastAsia="仿宋_GB2312" w:cs="仿宋_GB2312"/>
          <w:b w:val="0"/>
          <w:sz w:val="32"/>
        </w:rPr>
        <w:t>南网能源直投五类设备并通过闭口服务费回收的安排不因本备忘录而改变。底座运维、运营费用是否随闭口服务费另行核定，由相关协议明确。大模型、Token及其他旁路合作不改变金融租赁责任主体及风险承担。</w:t>
      </w:r>
    </w:p>
    <w:p>
      <w:pPr>
        <w:keepNext w:val="0"/>
        <w:spacing w:before="0" w:after="0" w:lineRule="exact" w:line="560"/>
        <w:ind w:firstLine="640"/>
        <w:jc w:val="both"/>
      </w:pPr>
      <w:r>
        <w:rPr>
          <w:rFonts w:ascii="仿宋_GB2312" w:hAnsi="仿宋_GB2312" w:eastAsia="仿宋_GB2312" w:cs="仿宋_GB2312"/>
          <w:b w:val="0"/>
          <w:sz w:val="32"/>
        </w:rPr>
        <w:t>南网能源不为超算芯或项目SPV的金融租赁债务提供担保、增信、差额补足或回购，不以节能收益、Token收入、模型收入或成果价值弥补金融租赁或闭口缺口。</w:t>
      </w:r>
    </w:p>
    <w:p>
      <w:pPr>
        <w:keepNext/>
        <w:spacing w:before="200" w:after="100" w:lineRule="exact" w:line="400"/>
        <w:jc w:val="center"/>
      </w:pPr>
      <w:r>
        <w:rPr>
          <w:rFonts w:ascii="黑体" w:hAnsi="黑体" w:eastAsia="黑体" w:cs="黑体"/>
          <w:b w:val="0"/>
          <w:sz w:val="24"/>
        </w:rPr>
        <w:t>表2 闭口服务与金融租赁边界</w:t>
      </w:r>
    </w:p>
    <w:tbl>
      <w:tblPr>
        <w:jc w:val="center"/>
        <w:tblLayout w:type="fixed"/>
        <w:tblLook w:firstColumn="1" w:firstRow="1" w:lastColumn="0" w:lastRow="0" w:noHBand="0" w:noVBand="1" w:val="04A0"/>
        <w:tblW w:w="8844" w:type="dxa"/>
      </w:tblPr>
      <w:tblGrid>
        <w:gridCol w:w="2551"/>
        <w:gridCol w:w="2211"/>
        <w:gridCol w:w="4081"/>
      </w:tblGrid>
      <w:tr>
        <w:trPr>
          <w:cantSplit/>
          <w:tblHeader w:val="true"/>
        </w:trPr>
        <w:tc>
          <w:tcPr>
            <w:tcW w:type="dxa" w:w="2551"/>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项目</w:t>
            </w:r>
          </w:p>
        </w:tc>
        <w:tc>
          <w:tcPr>
            <w:tcW w:type="dxa" w:w="2211"/>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是否进入闭口/保底</w:t>
            </w:r>
          </w:p>
        </w:tc>
        <w:tc>
          <w:tcPr>
            <w:tcW w:type="dxa" w:w="4082"/>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原则口径</w:t>
            </w:r>
          </w:p>
        </w:tc>
      </w:tr>
      <w:tr>
        <w:trPr>
          <w:cantSplit/>
        </w:trPr>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五类设备可用性服务费</w:t>
            </w:r>
          </w:p>
        </w:tc>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进入</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南网能源直投五类设备并按相关协议通过闭口服务费回收；具体闭口年费及结算条件待书面确认</w:t>
            </w:r>
          </w:p>
        </w:tc>
      </w:tr>
      <w:tr>
        <w:trPr>
          <w:cantSplit/>
        </w:trPr>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底座运维费用</w:t>
            </w:r>
          </w:p>
        </w:tc>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可随闭口另核</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服务范围、计费口径和验收条件由相关协议明确</w:t>
            </w:r>
          </w:p>
        </w:tc>
      </w:tr>
      <w:tr>
        <w:trPr>
          <w:cantSplit/>
        </w:trPr>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运营团队日常费用</w:t>
            </w:r>
          </w:p>
        </w:tc>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可随闭口另核</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是否纳入、纳入范围及核定方式由相关协议明确，不另行推定保底分成</w:t>
            </w:r>
          </w:p>
        </w:tc>
      </w:tr>
      <w:tr>
        <w:trPr>
          <w:cantSplit/>
        </w:trPr>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大模型编制、训练、评测经费</w:t>
            </w:r>
          </w:p>
        </w:tc>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不进入</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由专项协议列支，不挤占拟用于五类设备的7,500万元控制数；该数仅为现阶段设备款工作口径，不作为已确认合同额</w:t>
            </w:r>
          </w:p>
        </w:tc>
      </w:tr>
      <w:tr>
        <w:trPr>
          <w:cantSplit/>
        </w:trPr>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Token和模型分成</w:t>
            </w:r>
          </w:p>
        </w:tc>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不进入</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作为旁路合作另行约定，不纳入五年闭口保底，不作为金融租赁缺口补足来源</w:t>
            </w:r>
          </w:p>
        </w:tc>
      </w:tr>
      <w:tr>
        <w:trPr>
          <w:cantSplit/>
        </w:trPr>
        <w:tc>
          <w:tcPr>
            <w:tcW w:type="dxa" w:w="2551"/>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金融租赁租金及缺口</w:t>
            </w:r>
          </w:p>
        </w:tc>
        <w:tc>
          <w:tcPr>
            <w:tcW w:type="dxa" w:w="2211"/>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不适用</w:t>
            </w:r>
          </w:p>
        </w:tc>
        <w:tc>
          <w:tcPr>
            <w:tcW w:type="dxa" w:w="4082"/>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本合作不顶、不补、不担保；金融租赁责任以相关金融租赁文件为准</w:t>
            </w:r>
          </w:p>
        </w:tc>
      </w:tr>
    </w:tbl>
    <w:p>
      <w:pPr>
        <w:keepNext/>
        <w:spacing w:before="280" w:after="80" w:lineRule="exact" w:line="560"/>
        <w:jc w:val="left"/>
      </w:pPr>
      <w:r>
        <w:rPr>
          <w:rFonts w:ascii="黑体" w:hAnsi="黑体" w:eastAsia="黑体" w:cs="黑体"/>
          <w:b w:val="0"/>
          <w:sz w:val="32"/>
        </w:rPr>
        <w:t>五、数据与信息安全</w:t>
      </w:r>
    </w:p>
    <w:p>
      <w:pPr>
        <w:keepNext w:val="0"/>
        <w:spacing w:before="0" w:after="0" w:lineRule="exact" w:line="560"/>
        <w:ind w:firstLine="640"/>
        <w:jc w:val="both"/>
      </w:pPr>
      <w:r>
        <w:rPr>
          <w:rFonts w:ascii="仿宋_GB2312" w:hAnsi="仿宋_GB2312" w:eastAsia="仿宋_GB2312" w:cs="仿宋_GB2312"/>
          <w:b w:val="0"/>
          <w:sz w:val="32"/>
        </w:rPr>
        <w:t>双方在本合作中沿用南网能源《数据安全管理细则（2026版）》（Q/CSG-E2153001-2026）和《生产数据接入及质量管理业务指导书》（Q/CSG-E2154002-2026）。涉及南网能源数据、业务系统、生产监控或生成式人工智能训练时，超算芯及其分包单位应按照南网能源适用制度落实相关要求，并接受南网能源审查。</w:t>
      </w:r>
    </w:p>
    <w:p>
      <w:pPr>
        <w:keepNext w:val="0"/>
        <w:spacing w:before="0" w:after="0" w:lineRule="exact" w:line="560"/>
        <w:ind w:firstLine="640"/>
        <w:jc w:val="both"/>
      </w:pPr>
      <w:r>
        <w:rPr>
          <w:rFonts w:ascii="仿宋_GB2312" w:hAnsi="仿宋_GB2312" w:eastAsia="仿宋_GB2312" w:cs="仿宋_GB2312"/>
          <w:b w:val="0"/>
          <w:sz w:val="32"/>
        </w:rPr>
        <w:t>超算芯对其组织的运营及大模型团队、受托处理方和其他分包单位承担统一管理责任。未经南网能源书面授权，不得擅自扩大数据范围、变更使用目的、向其他主体提供数据或将数据用于模型训练、评测和对外服务。</w:t>
      </w:r>
    </w:p>
    <w:p>
      <w:pPr>
        <w:keepNext/>
        <w:spacing w:before="200" w:after="100" w:lineRule="exact" w:line="400"/>
        <w:jc w:val="center"/>
      </w:pPr>
      <w:r>
        <w:rPr>
          <w:rFonts w:ascii="黑体" w:hAnsi="黑体" w:eastAsia="黑体" w:cs="黑体"/>
          <w:b w:val="0"/>
          <w:sz w:val="24"/>
        </w:rPr>
        <w:t>表3 数据与信息安全要求</w:t>
      </w:r>
    </w:p>
    <w:tbl>
      <w:tblPr>
        <w:jc w:val="center"/>
        <w:tblLayout w:type="fixed"/>
        <w:tblLook w:firstColumn="1" w:firstRow="1" w:lastColumn="0" w:lastRow="0" w:noHBand="0" w:noVBand="1" w:val="04A0"/>
        <w:tblW w:w="8844" w:type="dxa"/>
      </w:tblPr>
      <w:tblGrid>
        <w:gridCol w:w="2211"/>
        <w:gridCol w:w="4081"/>
        <w:gridCol w:w="2551"/>
      </w:tblGrid>
      <w:tr>
        <w:trPr>
          <w:cantSplit/>
          <w:tblHeader w:val="true"/>
        </w:trPr>
        <w:tc>
          <w:tcPr>
            <w:tcW w:type="dxa" w:w="2211"/>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要求</w:t>
            </w:r>
          </w:p>
        </w:tc>
        <w:tc>
          <w:tcPr>
            <w:tcW w:type="dxa" w:w="4082"/>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超算芯及其分包单位执行要点</w:t>
            </w:r>
          </w:p>
        </w:tc>
        <w:tc>
          <w:tcPr>
            <w:tcW w:type="dxa" w:w="2551"/>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制度依据</w:t>
            </w:r>
          </w:p>
        </w:tc>
      </w:tr>
      <w:tr>
        <w:trPr>
          <w:cantSplit/>
        </w:trPr>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分类分级</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在接入、训练和评测前完成数据分类分级；未完成分类分级的数据不得使用</w:t>
            </w:r>
          </w:p>
        </w:tc>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Q/CSG-E2153001-2026</w:t>
            </w:r>
          </w:p>
        </w:tc>
      </w:tr>
      <w:tr>
        <w:trPr>
          <w:cantSplit/>
        </w:trPr>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“三同步”和一票否决</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安全要求与业务同步规划、同步建设、同步使用；未通过安全审查的，不得上线或接入</w:t>
            </w:r>
          </w:p>
        </w:tc>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Q/CSG-E2153001-2026</w:t>
            </w:r>
          </w:p>
        </w:tc>
      </w:tr>
      <w:tr>
        <w:trPr>
          <w:cantSplit/>
        </w:trPr>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生成式人工智能单独管理</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对训练、评测、发布和对外服务单独管理，不并入默认业务系统或一般数据授权</w:t>
            </w:r>
          </w:p>
        </w:tc>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Q/CSG-E2153001-2026</w:t>
            </w:r>
          </w:p>
        </w:tc>
      </w:tr>
      <w:tr>
        <w:trPr>
          <w:cantSplit/>
        </w:trPr>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目的限制和最小必要</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仅在书面授权的目的、范围和期限内使用数据，控制字段、样本和人员范围</w:t>
            </w:r>
          </w:p>
        </w:tc>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Q/CSG-E2153001-2026</w:t>
            </w:r>
          </w:p>
        </w:tc>
      </w:tr>
      <w:tr>
        <w:trPr>
          <w:cantSplit/>
        </w:trPr>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访问控制</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按岗位和任务授权，实行分区访问和最小权限，及时调整或收回权限</w:t>
            </w:r>
          </w:p>
        </w:tc>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Q/CSG-E2153001-2026</w:t>
            </w:r>
          </w:p>
        </w:tc>
      </w:tr>
      <w:tr>
        <w:trPr>
          <w:cantSplit/>
        </w:trPr>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加密、备份和销毁</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按适用制度落实传输与存储保护、备份恢复、到期返还或销毁</w:t>
            </w:r>
          </w:p>
        </w:tc>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Q/CSG-E2153001-2026</w:t>
            </w:r>
          </w:p>
        </w:tc>
      </w:tr>
      <w:tr>
        <w:trPr>
          <w:cantSplit/>
        </w:trPr>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境内存储、默认不出境</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数据原则上在境内存储，默认不出境；确需出境的，另行履行法定和南网能源内部程序</w:t>
            </w:r>
          </w:p>
        </w:tc>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Q/CSG-E2153001-2026</w:t>
            </w:r>
          </w:p>
        </w:tc>
      </w:tr>
      <w:tr>
        <w:trPr>
          <w:cantSplit/>
        </w:trPr>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留痕审计和事件处置</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对访问、训练、导出、共享和销毁留痕；发生安全事件时立即采取措施并报告南网能源</w:t>
            </w:r>
          </w:p>
        </w:tc>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Q/CSG-E2153001-2026</w:t>
            </w:r>
          </w:p>
        </w:tc>
      </w:tr>
      <w:tr>
        <w:trPr>
          <w:cantSplit/>
        </w:trPr>
        <w:tc>
          <w:tcPr>
            <w:tcW w:type="dxa" w:w="221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启成接入必要性评估</w:t>
            </w:r>
          </w:p>
        </w:tc>
        <w:tc>
          <w:tcPr>
            <w:tcW w:type="dxa" w:w="4082"/>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启成平台不是默认训练库，不得默认开放；确需接入或使用的，须完成必要性评估、分类分级、书面授权和上线审查</w:t>
            </w:r>
          </w:p>
        </w:tc>
        <w:tc>
          <w:tcPr>
            <w:tcW w:type="dxa" w:w="255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Q/CSG-E2153001-2026、Q/CSG-E2154002-2026</w:t>
            </w:r>
          </w:p>
        </w:tc>
      </w:tr>
      <w:tr>
        <w:trPr>
          <w:cantSplit/>
        </w:trPr>
        <w:tc>
          <w:tcPr>
            <w:tcW w:type="dxa" w:w="2211"/>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数据质量闭环</w:t>
            </w:r>
          </w:p>
        </w:tc>
        <w:tc>
          <w:tcPr>
            <w:tcW w:type="dxa" w:w="4082"/>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建立数据接入、校验、问题反馈、整改和追溯闭环，确保数据质量可检查、可纠正</w:t>
            </w:r>
          </w:p>
        </w:tc>
        <w:tc>
          <w:tcPr>
            <w:tcW w:type="dxa" w:w="2551"/>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Q/CSG-E2154002-2026</w:t>
            </w:r>
          </w:p>
        </w:tc>
      </w:tr>
    </w:tbl>
    <w:p>
      <w:pPr>
        <w:keepNext/>
        <w:spacing w:before="280" w:after="80" w:lineRule="exact" w:line="560"/>
        <w:jc w:val="left"/>
      </w:pPr>
      <w:r>
        <w:rPr>
          <w:rFonts w:ascii="黑体" w:hAnsi="黑体" w:eastAsia="黑体" w:cs="黑体"/>
          <w:b w:val="0"/>
          <w:sz w:val="32"/>
        </w:rPr>
        <w:t>六、专项协议安排</w:t>
      </w:r>
    </w:p>
    <w:p>
      <w:pPr>
        <w:keepNext w:val="0"/>
        <w:spacing w:before="0" w:after="0" w:lineRule="exact" w:line="560"/>
        <w:ind w:firstLine="640"/>
        <w:jc w:val="both"/>
      </w:pPr>
      <w:r>
        <w:rPr>
          <w:rFonts w:ascii="仿宋_GB2312" w:hAnsi="仿宋_GB2312" w:eastAsia="仿宋_GB2312" w:cs="仿宋_GB2312"/>
          <w:b w:val="0"/>
          <w:sz w:val="32"/>
        </w:rPr>
        <w:t>双方根据合作推进情况，另行协商签署下列专项协议：</w:t>
      </w:r>
    </w:p>
    <w:p>
      <w:pPr>
        <w:keepNext w:val="0"/>
        <w:spacing w:before="0" w:after="0" w:lineRule="exact" w:line="560"/>
        <w:ind w:firstLine="640"/>
        <w:jc w:val="both"/>
      </w:pPr>
      <w:r>
        <w:rPr>
          <w:rFonts w:ascii="仿宋_GB2312" w:hAnsi="仿宋_GB2312" w:eastAsia="仿宋_GB2312" w:cs="仿宋_GB2312"/>
          <w:b w:val="0"/>
          <w:sz w:val="32"/>
        </w:rPr>
        <w:t>1. 数据合作协议。明确数据清单、分类分级、授权范围、处理目的、存储位置、访问权限、审计要求、保存期限、返还销毁和违约责任。</w:t>
      </w:r>
    </w:p>
    <w:p>
      <w:pPr>
        <w:keepNext w:val="0"/>
        <w:spacing w:before="0" w:after="0" w:lineRule="exact" w:line="560"/>
        <w:ind w:firstLine="640"/>
        <w:jc w:val="both"/>
      </w:pPr>
      <w:r>
        <w:rPr>
          <w:rFonts w:ascii="仿宋_GB2312" w:hAnsi="仿宋_GB2312" w:eastAsia="仿宋_GB2312" w:cs="仿宋_GB2312"/>
          <w:b w:val="0"/>
          <w:sz w:val="32"/>
        </w:rPr>
        <w:t>2. 模型开发协议。明确场景目标、技术路线、训练评测、验收标准、上线审查、模型权属、成果使用范围、知识产权和训练经费。</w:t>
      </w:r>
    </w:p>
    <w:p>
      <w:pPr>
        <w:keepNext w:val="0"/>
        <w:spacing w:before="0" w:after="0" w:lineRule="exact" w:line="560"/>
        <w:ind w:firstLine="640"/>
        <w:jc w:val="both"/>
      </w:pPr>
      <w:r>
        <w:rPr>
          <w:rFonts w:ascii="仿宋_GB2312" w:hAnsi="仿宋_GB2312" w:eastAsia="仿宋_GB2312" w:cs="仿宋_GB2312"/>
          <w:b w:val="0"/>
          <w:sz w:val="32"/>
        </w:rPr>
        <w:t>3. Token及收益分成协议。明确算力范围、计量计价、结算路径、税费承担、对账机制和分成安排，并与闭口服务费、金融租赁及股权分红分别核算。</w:t>
      </w:r>
    </w:p>
    <w:p>
      <w:pPr>
        <w:keepNext w:val="0"/>
        <w:spacing w:before="0" w:after="0" w:lineRule="exact" w:line="560"/>
        <w:ind w:firstLine="640"/>
        <w:jc w:val="both"/>
      </w:pPr>
      <w:r>
        <w:rPr>
          <w:rFonts w:ascii="仿宋_GB2312" w:hAnsi="仿宋_GB2312" w:eastAsia="仿宋_GB2312" w:cs="仿宋_GB2312"/>
          <w:b w:val="0"/>
          <w:sz w:val="32"/>
        </w:rPr>
        <w:t>未经双方专项协议书面确认，任何一方不得将待确认事项解释为对方已经同意的金额、比例、授权、采购义务或收益承诺。</w:t>
      </w:r>
    </w:p>
    <w:p>
      <w:pPr>
        <w:keepNext/>
        <w:spacing w:before="200" w:after="100" w:lineRule="exact" w:line="400"/>
        <w:jc w:val="center"/>
      </w:pPr>
      <w:r>
        <w:rPr>
          <w:rFonts w:ascii="黑体" w:hAnsi="黑体" w:eastAsia="黑体" w:cs="黑体"/>
          <w:b w:val="0"/>
          <w:sz w:val="24"/>
        </w:rPr>
        <w:t>表4 待书面确认事项</w:t>
      </w:r>
    </w:p>
    <w:tbl>
      <w:tblPr>
        <w:jc w:val="center"/>
        <w:tblLayout w:type="fixed"/>
        <w:tblLook w:firstColumn="1" w:firstRow="1" w:lastColumn="0" w:lastRow="0" w:noHBand="0" w:noVBand="1" w:val="04A0"/>
        <w:tblW w:w="8844" w:type="dxa"/>
      </w:tblPr>
      <w:tblGrid>
        <w:gridCol w:w="737"/>
        <w:gridCol w:w="2721"/>
        <w:gridCol w:w="1587"/>
        <w:gridCol w:w="3798"/>
      </w:tblGrid>
      <w:tr>
        <w:trPr>
          <w:cantSplit/>
          <w:tblHeader w:val="true"/>
        </w:trPr>
        <w:tc>
          <w:tcPr>
            <w:tcW w:type="dxa" w:w="737"/>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序号</w:t>
            </w:r>
          </w:p>
        </w:tc>
        <w:tc>
          <w:tcPr>
            <w:tcW w:type="dxa" w:w="2721"/>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事项</w:t>
            </w:r>
          </w:p>
        </w:tc>
        <w:tc>
          <w:tcPr>
            <w:tcW w:type="dxa" w:w="1587"/>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本稿状态</w:t>
            </w:r>
          </w:p>
        </w:tc>
        <w:tc>
          <w:tcPr>
            <w:tcW w:type="dxa" w:w="3798"/>
            <w:vAlign w:val="center"/>
            <w:tcMar>
              <w:top w:w="70" w:type="dxa"/>
              <w:start w:w="80" w:type="dxa"/>
              <w:bottom w:w="70" w:type="dxa"/>
              <w:end w:w="80" w:type="dxa"/>
            </w:tcMa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spacing w:before="20" w:after="20" w:lineRule="exact" w:line="320"/>
              <w:jc w:val="center"/>
            </w:pPr>
            <w:r/>
            <w:r>
              <w:rPr>
                <w:rFonts w:ascii="黑体" w:hAnsi="黑体" w:eastAsia="黑体" w:cs="黑体"/>
                <w:b/>
                <w:sz w:val="21"/>
              </w:rPr>
              <w:t>说明</w:t>
            </w:r>
          </w:p>
        </w:tc>
      </w:tr>
      <w:tr>
        <w:trPr>
          <w:cantSplit/>
        </w:trPr>
        <w:tc>
          <w:tcPr>
            <w:tcW w:type="dxa" w:w="737"/>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1</w:t>
            </w:r>
          </w:p>
        </w:tc>
        <w:tc>
          <w:tcPr>
            <w:tcW w:type="dxa" w:w="272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广州恒运全称、统一社会信用代码</w:t>
            </w:r>
          </w:p>
        </w:tc>
        <w:tc>
          <w:tcPr>
            <w:tcW w:type="dxa" w:w="1587"/>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待书面确认</w:t>
            </w:r>
          </w:p>
        </w:tc>
        <w:tc>
          <w:tcPr>
            <w:tcW w:type="dxa" w:w="3798"/>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仅用于股权旁注和后续股权文件，本稿不编造全称或代码</w:t>
            </w:r>
          </w:p>
        </w:tc>
      </w:tr>
      <w:tr>
        <w:trPr>
          <w:cantSplit/>
        </w:trPr>
        <w:tc>
          <w:tcPr>
            <w:tcW w:type="dxa" w:w="737"/>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2</w:t>
            </w:r>
          </w:p>
        </w:tc>
        <w:tc>
          <w:tcPr>
            <w:tcW w:type="dxa" w:w="272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场景清单、试点范围及验收标准</w:t>
            </w:r>
          </w:p>
        </w:tc>
        <w:tc>
          <w:tcPr>
            <w:tcW w:type="dxa" w:w="1587"/>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待书面确认</w:t>
            </w:r>
          </w:p>
        </w:tc>
        <w:tc>
          <w:tcPr>
            <w:tcW w:type="dxa" w:w="3798"/>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场景由南网能源提出或确认，具体内容由专项协议明确</w:t>
            </w:r>
          </w:p>
        </w:tc>
      </w:tr>
      <w:tr>
        <w:trPr>
          <w:cantSplit/>
        </w:trPr>
        <w:tc>
          <w:tcPr>
            <w:tcW w:type="dxa" w:w="737"/>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3</w:t>
            </w:r>
          </w:p>
        </w:tc>
        <w:tc>
          <w:tcPr>
            <w:tcW w:type="dxa" w:w="272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训练数据清单及分类分级</w:t>
            </w:r>
          </w:p>
        </w:tc>
        <w:tc>
          <w:tcPr>
            <w:tcW w:type="dxa" w:w="1587"/>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待书面确认</w:t>
            </w:r>
          </w:p>
        </w:tc>
        <w:tc>
          <w:tcPr>
            <w:tcW w:type="dxa" w:w="3798"/>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未完成分类分级和书面授权不得训练</w:t>
            </w:r>
          </w:p>
        </w:tc>
      </w:tr>
      <w:tr>
        <w:trPr>
          <w:cantSplit/>
        </w:trPr>
        <w:tc>
          <w:tcPr>
            <w:tcW w:type="dxa" w:w="737"/>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4</w:t>
            </w:r>
          </w:p>
        </w:tc>
        <w:tc>
          <w:tcPr>
            <w:tcW w:type="dxa" w:w="272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启成接入或免接入结论</w:t>
            </w:r>
          </w:p>
        </w:tc>
        <w:tc>
          <w:tcPr>
            <w:tcW w:type="dxa" w:w="1587"/>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待书面确认</w:t>
            </w:r>
          </w:p>
        </w:tc>
        <w:tc>
          <w:tcPr>
            <w:tcW w:type="dxa" w:w="3798"/>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启成不是默认训练库，不得默认开放</w:t>
            </w:r>
          </w:p>
        </w:tc>
      </w:tr>
      <w:tr>
        <w:trPr>
          <w:cantSplit/>
        </w:trPr>
        <w:tc>
          <w:tcPr>
            <w:tcW w:type="dxa" w:w="737"/>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5</w:t>
            </w:r>
          </w:p>
        </w:tc>
        <w:tc>
          <w:tcPr>
            <w:tcW w:type="dxa" w:w="272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数据权、模型权属及Token分成</w:t>
            </w:r>
          </w:p>
        </w:tc>
        <w:tc>
          <w:tcPr>
            <w:tcW w:type="dxa" w:w="1587"/>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待书面确认</w:t>
            </w:r>
          </w:p>
        </w:tc>
        <w:tc>
          <w:tcPr>
            <w:tcW w:type="dxa" w:w="3798"/>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不预定归属或比例，由专项协议明确</w:t>
            </w:r>
          </w:p>
        </w:tc>
      </w:tr>
      <w:tr>
        <w:trPr>
          <w:cantSplit/>
        </w:trPr>
        <w:tc>
          <w:tcPr>
            <w:tcW w:type="dxa" w:w="737"/>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6</w:t>
            </w:r>
          </w:p>
        </w:tc>
        <w:tc>
          <w:tcPr>
            <w:tcW w:type="dxa" w:w="2721"/>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大模型编制、训练、评测经费</w:t>
            </w:r>
          </w:p>
        </w:tc>
        <w:tc>
          <w:tcPr>
            <w:tcW w:type="dxa" w:w="1587"/>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待书面确认</w:t>
            </w:r>
          </w:p>
        </w:tc>
        <w:tc>
          <w:tcPr>
            <w:tcW w:type="dxa" w:w="3798"/>
            <w:vAlign w:val="center"/>
            <w:tcMar>
              <w:top w:w="70" w:type="dxa"/>
              <w:start w:w="80" w:type="dxa"/>
              <w:bottom w:w="70" w:type="dxa"/>
              <w:end w:w="80" w:type="dxa"/>
            </w:tcMa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专项列支，不进入五年闭口保底，不挤占五类设备投资控制数</w:t>
            </w:r>
          </w:p>
        </w:tc>
      </w:tr>
      <w:tr>
        <w:trPr>
          <w:cantSplit/>
        </w:trPr>
        <w:tc>
          <w:tcPr>
            <w:tcW w:type="dxa" w:w="737"/>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7</w:t>
            </w:r>
          </w:p>
        </w:tc>
        <w:tc>
          <w:tcPr>
            <w:tcW w:type="dxa" w:w="2721"/>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金融租赁安排、闭口年费及租赁超额分成</w:t>
            </w:r>
          </w:p>
        </w:tc>
        <w:tc>
          <w:tcPr>
            <w:tcW w:type="dxa" w:w="1587"/>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待书面确认</w:t>
            </w:r>
          </w:p>
        </w:tc>
        <w:tc>
          <w:tcPr>
            <w:tcW w:type="dxa" w:w="3798"/>
            <w:vAlign w:val="center"/>
            <w:tcMar>
              <w:top w:w="70" w:type="dxa"/>
              <w:start w:w="80" w:type="dxa"/>
              <w:bottom w:w="70" w:type="dxa"/>
              <w:end w:w="80" w:type="dxa"/>
            </w:tcMa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spacing w:before="20" w:after="20" w:lineRule="exact" w:line="320"/>
              <w:jc w:val="left"/>
            </w:pPr>
            <w:r/>
            <w:r>
              <w:rPr>
                <w:rFonts w:ascii="仿宋_GB2312" w:hAnsi="仿宋_GB2312" w:eastAsia="仿宋_GB2312" w:cs="仿宋_GB2312"/>
                <w:b w:val="0"/>
                <w:sz w:val="21"/>
              </w:rPr>
              <w:t>不属于本备忘录锁定范围，以相关专项文件为准</w:t>
            </w:r>
          </w:p>
        </w:tc>
      </w:tr>
    </w:tbl>
    <w:p>
      <w:pPr>
        <w:keepNext/>
        <w:spacing w:before="280" w:after="80" w:lineRule="exact" w:line="560"/>
        <w:jc w:val="left"/>
      </w:pPr>
      <w:r>
        <w:rPr>
          <w:rFonts w:ascii="黑体" w:hAnsi="黑体" w:eastAsia="黑体" w:cs="黑体"/>
          <w:b w:val="0"/>
          <w:sz w:val="32"/>
        </w:rPr>
        <w:t>七、其他</w:t>
      </w:r>
    </w:p>
    <w:p>
      <w:pPr>
        <w:keepNext w:val="0"/>
        <w:spacing w:before="0" w:after="0" w:lineRule="exact" w:line="560"/>
        <w:ind w:firstLine="640"/>
        <w:jc w:val="both"/>
      </w:pPr>
      <w:r>
        <w:rPr>
          <w:rFonts w:ascii="仿宋_GB2312" w:hAnsi="仿宋_GB2312" w:eastAsia="仿宋_GB2312" w:cs="仿宋_GB2312"/>
          <w:b w:val="0"/>
          <w:sz w:val="32"/>
        </w:rPr>
        <w:t>1. 本备忘录自双方盖章之日起生效，有效期十二个月，或至相关专项协议生效之日止，以较早者为准。双方可书面协商续期或提前终止。</w:t>
      </w:r>
    </w:p>
    <w:p>
      <w:pPr>
        <w:keepNext w:val="0"/>
        <w:spacing w:before="0" w:after="0" w:lineRule="exact" w:line="560"/>
        <w:ind w:firstLine="640"/>
        <w:jc w:val="both"/>
      </w:pPr>
      <w:r>
        <w:rPr>
          <w:rFonts w:ascii="仿宋_GB2312" w:hAnsi="仿宋_GB2312" w:eastAsia="仿宋_GB2312" w:cs="仿宋_GB2312"/>
          <w:b w:val="0"/>
          <w:sz w:val="32"/>
        </w:rPr>
        <w:t>2. 本备忘录的任何变更、补充或豁免，均须经双方书面确认。未经对方书面同意，任何一方不得以本备忘录名义对外作出超出本备忘录边界的承诺或宣传。</w:t>
      </w:r>
    </w:p>
    <w:p>
      <w:pPr>
        <w:keepNext w:val="0"/>
        <w:spacing w:before="0" w:after="0" w:lineRule="exact" w:line="560"/>
        <w:ind w:firstLine="640"/>
        <w:jc w:val="both"/>
      </w:pPr>
      <w:r>
        <w:rPr>
          <w:rFonts w:ascii="仿宋_GB2312" w:hAnsi="仿宋_GB2312" w:eastAsia="仿宋_GB2312" w:cs="仿宋_GB2312"/>
          <w:b w:val="0"/>
          <w:sz w:val="32"/>
        </w:rPr>
        <w:t>3. 本备忘录终止或到期，不影响双方依据法律法规、南网能源适用制度及专项协议应继续履行的保密、数据安全、审计和数据处置义务。</w:t>
      </w:r>
    </w:p>
    <w:p>
      <w:pPr>
        <w:keepNext w:val="0"/>
        <w:spacing w:before="0" w:after="0" w:lineRule="exact" w:line="560"/>
        <w:ind w:firstLine="640"/>
        <w:jc w:val="both"/>
      </w:pPr>
      <w:r>
        <w:rPr>
          <w:rFonts w:ascii="仿宋_GB2312" w:hAnsi="仿宋_GB2312" w:eastAsia="仿宋_GB2312" w:cs="仿宋_GB2312"/>
          <w:b w:val="0"/>
          <w:sz w:val="32"/>
        </w:rPr>
        <w:t>4. 本备忘录一式贰份，甲乙双方各执壹份，具有同等效力。</w:t>
      </w:r>
    </w:p>
    <w:p>
      <w:pPr>
        <w:keepNext w:val="0"/>
        <w:spacing w:before="160" w:after="80" w:lineRule="exact" w:line="480"/>
        <w:jc w:val="both"/>
      </w:pPr>
      <w:r>
        <w:rPr>
          <w:rFonts w:ascii="楷体_GB2312" w:hAnsi="楷体_GB2312" w:eastAsia="楷体_GB2312" w:cs="楷体_GB2312"/>
          <w:b w:val="0"/>
          <w:sz w:val="28"/>
        </w:rPr>
        <w:t>本稿为双方协商讨论稿，建议墨律过目，不替代法务审查。</w:t>
      </w:r>
    </w:p>
    <w:p>
      <w:r>
        <w:br w:type="page"/>
      </w:r>
    </w:p>
    <w:p>
      <w:pPr>
        <w:keepNext/>
        <w:spacing w:before="280" w:after="80" w:lineRule="exact" w:line="560"/>
        <w:jc w:val="left"/>
      </w:pPr>
      <w:r>
        <w:rPr>
          <w:rFonts w:ascii="黑体" w:hAnsi="黑体" w:eastAsia="黑体" w:cs="黑体"/>
          <w:b w:val="0"/>
          <w:sz w:val="32"/>
        </w:rPr>
        <w:t>八、签署页</w:t>
      </w:r>
    </w:p>
    <w:p>
      <w:pPr>
        <w:keepNext w:val="0"/>
        <w:spacing w:before="0" w:after="0" w:lineRule="exact" w:line="560"/>
        <w:ind w:firstLine="640"/>
        <w:jc w:val="both"/>
      </w:pPr>
      <w:r>
        <w:rPr>
          <w:rFonts w:ascii="仿宋_GB2312" w:hAnsi="仿宋_GB2312" w:eastAsia="仿宋_GB2312" w:cs="仿宋_GB2312"/>
          <w:b w:val="0"/>
          <w:sz w:val="32"/>
        </w:rPr>
        <w:t>以下签署栏仅供双方签署，均留空待填。</w:t>
      </w:r>
    </w:p>
    <w:tbl>
      <w:tblPr>
        <w:jc w:val="center"/>
        <w:tblLayout w:type="fixed"/>
        <w:tblLook w:firstColumn="1" w:firstRow="1" w:lastColumn="0" w:lastRow="0" w:noHBand="0" w:noVBand="1" w:val="04A0"/>
        <w:tblW w:w="8617" w:type="dxa"/>
      </w:tblPr>
      <w:tblGrid>
        <w:gridCol w:w="4308"/>
        <w:gridCol w:w="4308"/>
      </w:tblGrid>
      <w:tr>
        <w:tc>
          <w:tcPr>
            <w:tcW w:type="dxa" w:w="4309"/>
            <w:tcBorders>
              <w:top w:val="nil" w:sz="0" w:space="0" w:color="000000"/>
              <w:left w:val="nil" w:sz="0" w:space="0" w:color="000000"/>
              <w:bottom w:val="nil" w:sz="0" w:space="0" w:color="000000"/>
              <w:right w:val="nil" w:sz="0" w:space="0" w:color="000000"/>
              <w:insideH w:val="nil" w:sz="0" w:space="0" w:color="000000"/>
              <w:insideV w:val="nil" w:sz="0" w:space="0" w:color="000000"/>
            </w:tcBorders>
            <w:tcMar>
              <w:top w:w="180" w:type="dxa"/>
              <w:start w:w="180" w:type="dxa"/>
              <w:bottom w:w="180" w:type="dxa"/>
              <w:end w:w="180" w:type="dxa"/>
            </w:tcMar>
          </w:tcPr>
          <w:p>
            <w:pPr>
              <w:spacing w:after="240"/>
            </w:pPr>
            <w:r/>
            <w:r>
              <w:rPr>
                <w:rFonts w:ascii="黑体" w:hAnsi="黑体" w:eastAsia="黑体" w:cs="黑体"/>
                <w:b w:val="0"/>
                <w:sz w:val="32"/>
              </w:rPr>
              <w:t>甲方</w:t>
            </w:r>
          </w:p>
          <w:p>
            <w:pPr>
              <w:spacing w:after="160" w:lineRule="exact" w:line="480"/>
            </w:pPr>
            <w:r>
              <w:rPr>
                <w:rFonts w:ascii="仿宋_GB2312" w:hAnsi="仿宋_GB2312" w:eastAsia="仿宋_GB2312" w:cs="仿宋_GB2312"/>
                <w:b w:val="0"/>
                <w:sz w:val="28"/>
              </w:rPr>
              <w:t>南方电网综合能源股份有限公司（盖章）</w:t>
            </w:r>
          </w:p>
          <w:p>
            <w:pPr>
              <w:spacing w:after="160" w:lineRule="exact" w:line="480"/>
            </w:pPr>
            <w:r>
              <w:rPr>
                <w:rFonts w:ascii="仿宋_GB2312" w:hAnsi="仿宋_GB2312" w:eastAsia="仿宋_GB2312" w:cs="仿宋_GB2312"/>
                <w:b w:val="0"/>
                <w:sz w:val="28"/>
              </w:rPr>
            </w:r>
          </w:p>
          <w:p>
            <w:pPr>
              <w:spacing w:after="160" w:lineRule="exact" w:line="480"/>
            </w:pPr>
            <w:r>
              <w:rPr>
                <w:rFonts w:ascii="仿宋_GB2312" w:hAnsi="仿宋_GB2312" w:eastAsia="仿宋_GB2312" w:cs="仿宋_GB2312"/>
                <w:b w:val="0"/>
                <w:sz w:val="28"/>
              </w:rPr>
              <w:t>授权代表：________________</w:t>
            </w:r>
          </w:p>
          <w:p>
            <w:pPr>
              <w:spacing w:after="160" w:lineRule="exact" w:line="480"/>
            </w:pPr>
            <w:r>
              <w:rPr>
                <w:rFonts w:ascii="仿宋_GB2312" w:hAnsi="仿宋_GB2312" w:eastAsia="仿宋_GB2312" w:cs="仿宋_GB2312"/>
                <w:b w:val="0"/>
                <w:sz w:val="28"/>
              </w:rPr>
            </w:r>
          </w:p>
          <w:p>
            <w:pPr>
              <w:spacing w:after="160" w:lineRule="exact" w:line="480"/>
            </w:pPr>
            <w:r>
              <w:rPr>
                <w:rFonts w:ascii="仿宋_GB2312" w:hAnsi="仿宋_GB2312" w:eastAsia="仿宋_GB2312" w:cs="仿宋_GB2312"/>
                <w:b w:val="0"/>
                <w:sz w:val="28"/>
              </w:rPr>
              <w:t>职　　务：________________</w:t>
            </w:r>
          </w:p>
          <w:p>
            <w:pPr>
              <w:spacing w:after="160" w:lineRule="exact" w:line="480"/>
            </w:pPr>
            <w:r>
              <w:rPr>
                <w:rFonts w:ascii="仿宋_GB2312" w:hAnsi="仿宋_GB2312" w:eastAsia="仿宋_GB2312" w:cs="仿宋_GB2312"/>
                <w:b w:val="0"/>
                <w:sz w:val="28"/>
              </w:rPr>
            </w:r>
          </w:p>
          <w:p>
            <w:pPr>
              <w:spacing w:after="160" w:lineRule="exact" w:line="480"/>
            </w:pPr>
            <w:r>
              <w:rPr>
                <w:rFonts w:ascii="仿宋_GB2312" w:hAnsi="仿宋_GB2312" w:eastAsia="仿宋_GB2312" w:cs="仿宋_GB2312"/>
                <w:b w:val="0"/>
                <w:sz w:val="28"/>
              </w:rPr>
              <w:t>日　　期：________________</w:t>
            </w:r>
          </w:p>
        </w:tc>
        <w:tc>
          <w:tcPr>
            <w:tcW w:type="dxa" w:w="4309"/>
            <w:tcBorders>
              <w:top w:val="nil" w:sz="0" w:space="0" w:color="000000"/>
              <w:left w:val="nil" w:sz="0" w:space="0" w:color="000000"/>
              <w:bottom w:val="nil" w:sz="0" w:space="0" w:color="000000"/>
              <w:right w:val="nil" w:sz="0" w:space="0" w:color="000000"/>
              <w:insideH w:val="nil" w:sz="0" w:space="0" w:color="000000"/>
              <w:insideV w:val="nil" w:sz="0" w:space="0" w:color="000000"/>
            </w:tcBorders>
            <w:tcMar>
              <w:top w:w="180" w:type="dxa"/>
              <w:start w:w="180" w:type="dxa"/>
              <w:bottom w:w="180" w:type="dxa"/>
              <w:end w:w="180" w:type="dxa"/>
            </w:tcMar>
          </w:tcPr>
          <w:p>
            <w:pPr>
              <w:spacing w:after="240"/>
            </w:pPr>
            <w:r/>
            <w:r>
              <w:rPr>
                <w:rFonts w:ascii="黑体" w:hAnsi="黑体" w:eastAsia="黑体" w:cs="黑体"/>
                <w:b w:val="0"/>
                <w:sz w:val="32"/>
              </w:rPr>
              <w:t>乙方</w:t>
            </w:r>
          </w:p>
          <w:p>
            <w:pPr>
              <w:spacing w:after="160" w:lineRule="exact" w:line="480"/>
            </w:pPr>
            <w:r>
              <w:rPr>
                <w:rFonts w:ascii="仿宋_GB2312" w:hAnsi="仿宋_GB2312" w:eastAsia="仿宋_GB2312" w:cs="仿宋_GB2312"/>
                <w:b w:val="0"/>
                <w:sz w:val="28"/>
              </w:rPr>
              <w:t>青海超算芯科技有限公司（盖章）</w:t>
            </w:r>
          </w:p>
          <w:p>
            <w:pPr>
              <w:spacing w:after="160" w:lineRule="exact" w:line="480"/>
            </w:pPr>
            <w:r>
              <w:rPr>
                <w:rFonts w:ascii="仿宋_GB2312" w:hAnsi="仿宋_GB2312" w:eastAsia="仿宋_GB2312" w:cs="仿宋_GB2312"/>
                <w:b w:val="0"/>
                <w:sz w:val="28"/>
              </w:rPr>
            </w:r>
          </w:p>
          <w:p>
            <w:pPr>
              <w:spacing w:after="160" w:lineRule="exact" w:line="480"/>
            </w:pPr>
            <w:r>
              <w:rPr>
                <w:rFonts w:ascii="仿宋_GB2312" w:hAnsi="仿宋_GB2312" w:eastAsia="仿宋_GB2312" w:cs="仿宋_GB2312"/>
                <w:b w:val="0"/>
                <w:sz w:val="28"/>
              </w:rPr>
              <w:t>授权代表：________________</w:t>
            </w:r>
          </w:p>
          <w:p>
            <w:pPr>
              <w:spacing w:after="160" w:lineRule="exact" w:line="480"/>
            </w:pPr>
            <w:r>
              <w:rPr>
                <w:rFonts w:ascii="仿宋_GB2312" w:hAnsi="仿宋_GB2312" w:eastAsia="仿宋_GB2312" w:cs="仿宋_GB2312"/>
                <w:b w:val="0"/>
                <w:sz w:val="28"/>
              </w:rPr>
            </w:r>
          </w:p>
          <w:p>
            <w:pPr>
              <w:spacing w:after="160" w:lineRule="exact" w:line="480"/>
            </w:pPr>
            <w:r>
              <w:rPr>
                <w:rFonts w:ascii="仿宋_GB2312" w:hAnsi="仿宋_GB2312" w:eastAsia="仿宋_GB2312" w:cs="仿宋_GB2312"/>
                <w:b w:val="0"/>
                <w:sz w:val="28"/>
              </w:rPr>
              <w:t>职　　务：________________</w:t>
            </w:r>
          </w:p>
          <w:p>
            <w:pPr>
              <w:spacing w:after="160" w:lineRule="exact" w:line="480"/>
            </w:pPr>
            <w:r>
              <w:rPr>
                <w:rFonts w:ascii="仿宋_GB2312" w:hAnsi="仿宋_GB2312" w:eastAsia="仿宋_GB2312" w:cs="仿宋_GB2312"/>
                <w:b w:val="0"/>
                <w:sz w:val="28"/>
              </w:rPr>
            </w:r>
          </w:p>
          <w:p>
            <w:pPr>
              <w:spacing w:after="160" w:lineRule="exact" w:line="480"/>
            </w:pPr>
            <w:r>
              <w:rPr>
                <w:rFonts w:ascii="仿宋_GB2312" w:hAnsi="仿宋_GB2312" w:eastAsia="仿宋_GB2312" w:cs="仿宋_GB2312"/>
                <w:b w:val="0"/>
                <w:sz w:val="28"/>
              </w:rPr>
              <w:t>日　　期：________________</w:t>
            </w:r>
          </w:p>
        </w:tc>
      </w:tr>
    </w:tbl>
    <w:sectPr w:rsidR="00FC693F" w:rsidRPr="0006063C" w:rsidSect="00034616">
      <w:headerReference w:type="default" r:id="rId9"/>
      <w:footerReference w:type="default" r:id="rId10"/>
      <w:pgSz w:w="11906" w:h="16838"/>
      <w:pgMar w:top="1814" w:right="1474" w:bottom="1701" w:left="158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b w:val="0"/>
        <w:sz w:val="21"/>
      </w:rPr>
      <w:t xml:space="preserve">文秘 · Codex（gpt-5.6-sol）　— </w:t>
    </w:r>
    <w:r>
      <w:rPr>
        <w:rFonts w:ascii="宋体" w:hAnsi="宋体" w:eastAsia="宋体" w:cs="宋体"/>
        <w:b w:val="0"/>
        <w:sz w:val="21"/>
      </w:rPr>
      <w:fldChar w:fldCharType="begin"/>
      <w:instrText xml:space="preserve">PAGE</w:instrText>
      <w:fldChar w:fldCharType="separate"/>
      <w:t>1</w:t>
      <w:fldChar w:fldCharType="end"/>
    </w:r>
    <w:r>
      <w:rPr>
        <w:rFonts w:ascii="宋体" w:hAnsi="宋体" w:eastAsia="宋体" w:cs="宋体"/>
        <w:b w:val="0"/>
        <w:sz w:val="21"/>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2" w:color="808080"/>
      </w:pBdr>
    </w:pPr>
    <w:r>
      <w:rPr>
        <w:rFonts w:ascii="宋体" w:hAnsi="宋体" w:eastAsia="宋体" w:cs="宋体"/>
        <w:b w:val="0"/>
        <w:sz w:val="21"/>
      </w:rPr>
      <w:t>青海海东智算中心节能降碳与综合节能大模型合作备忘录（讨论稿）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cs="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青海海东智算中心节能降碳与综合节能大模型合作备忘录（双方版）</dc:title>
  <dc:subject>双方合作协商备忘录（原则安排 · 讨论稿）</dc:subject>
  <dc:creator>文秘 · Codex（gpt-5.6-sol）</dc:creator>
  <cp:keywords/>
  <dc:description>generated by python-docx</dc:description>
  <cp:lastModifiedBy/>
  <cp:revision>1</cp:revision>
  <dcterms:created xsi:type="dcterms:W3CDTF">2013-12-23T23:15:00Z</dcterms:created>
  <dcterms:modified xsi:type="dcterms:W3CDTF">2013-12-23T23:15:00Z</dcterms:modified>
  <cp:category>合作备忘录</cp:category>
</cp:coreProperties>
</file>