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 w:line="360" w:lineRule="auto"/>
        <w:jc w:val="center"/>
      </w:pPr>
      <w:r>
        <w:rPr>
          <w:rFonts w:ascii="Times New Roman" w:hAnsi="Times New Roman" w:eastAsia="方正小标宋简体"/>
          <w:b/>
          <w:color w:val="1F1F1F"/>
          <w:sz w:val="52"/>
        </w:rPr>
        <w:t>加快建设世界一流零碳总部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仿宋_GB2312"/>
          <w:b/>
          <w:color w:val="1F1F1F"/>
          <w:sz w:val="28"/>
        </w:rPr>
        <w:t>（南网总部基地方向稿）</w:t>
      </w:r>
    </w:p>
    <w:p>
      <w:pPr>
        <w:spacing w:before="0" w:after="200" w:line="360" w:lineRule="auto"/>
        <w:jc w:val="left"/>
      </w:pPr>
      <w:r>
        <w:rPr>
          <w:rFonts w:ascii="Times New Roman" w:hAnsi="Times New Roman" w:eastAsia="仿宋_GB2312"/>
          <w:b w:val="0"/>
          <w:color w:val="1F1F1F"/>
          <w:sz w:val="28"/>
        </w:rPr>
        <w:t>起草单位：南网能源公司（主笔）</w:t>
      </w:r>
    </w:p>
    <w:p>
      <w:pPr>
        <w:spacing w:before="0" w:after="200" w:line="360" w:lineRule="auto"/>
        <w:jc w:val="left"/>
      </w:pPr>
      <w:r>
        <w:rPr>
          <w:rFonts w:ascii="Times New Roman" w:hAnsi="Times New Roman" w:eastAsia="仿宋_GB2312"/>
          <w:b w:val="0"/>
          <w:color w:val="1F1F1F"/>
          <w:sz w:val="28"/>
        </w:rPr>
        <w:t>稿件日期：2026 年 9 月 3 日</w:t>
      </w:r>
    </w:p>
    <w:p>
      <w:pPr>
        <w:spacing w:before="720" w:after="200" w:line="312" w:lineRule="auto"/>
        <w:ind w:firstLine="640"/>
        <w:jc w:val="left"/>
      </w:pPr>
      <w:r>
        <w:rPr>
          <w:rFonts w:ascii="Times New Roman" w:hAnsi="Times New Roman" w:eastAsia="仿宋_GB2312"/>
          <w:b w:val="0"/>
          <w:color w:val="1F1F1F"/>
          <w:sz w:val="24"/>
        </w:rPr>
        <w:t>稿件性质：内部工作稿，不对外。本稿为方向稿，只回答两个问题：南方电网应当建设一个什么样的世界一流零碳总部，为什么必须这样建。本稿不是请示、不是可行性研究、不是建设方案，不含项目清单、投资匡算与工期安排。稿中未经核证的数字、案例与政策提法一律标注【待核】，不作为指标或承诺。</w:t>
      </w:r>
    </w:p>
    <w:p>
      <w:pPr>
        <w:pageBreakBefore/>
        <w:spacing w:before="0" w:after="240" w:line="360" w:lineRule="auto"/>
        <w:jc w:val="center"/>
      </w:pPr>
      <w:r>
        <w:rPr>
          <w:rFonts w:ascii="Times New Roman" w:hAnsi="Times New Roman" w:eastAsia="黑体"/>
          <w:color w:val="1F1F1F"/>
          <w:sz w:val="32"/>
        </w:rPr>
        <w:t>目　录</w:t>
      </w:r>
    </w:p>
    <w:p>
      <w:pPr>
        <w:spacing w:before="0" w:after="120" w:line="312" w:lineRule="auto"/>
      </w:pPr>
      <w:r>
        <w:rPr>
          <w:rFonts w:ascii="Times New Roman" w:hAnsi="Times New Roman" w:eastAsia="宋体"/>
          <w:color w:val="1F1F1F"/>
          <w:sz w:val="24"/>
        </w:rPr>
        <w:fldChar w:fldCharType="begin"/>
        <w:instrText xml:space="preserve">TOC \o "1-2" \h \z \u</w:instrText>
        <w:fldChar w:fldCharType="separate"/>
        <w:t xml:space="preserve">（目录域：在 Word 中右键“更新域”生成）</w:t>
        <w:fldChar w:fldCharType="end"/>
      </w:r>
    </w:p>
    <w:p>
      <w:pPr>
        <w:pStyle w:val="Heading1"/>
        <w:keepNext/>
        <w:pageBreakBefore/>
        <w:spacing w:before="360" w:after="240" w:line="360" w:lineRule="auto"/>
        <w:jc w:val="center"/>
      </w:pPr>
      <w:r>
        <w:rPr>
          <w:rFonts w:ascii="Times New Roman" w:hAnsi="Times New Roman" w:eastAsia="黑体"/>
          <w:b w:val="0"/>
          <w:color w:val="1F1F1F"/>
          <w:sz w:val="36"/>
        </w:rPr>
        <w:t>摘要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南方电网应当把总部基地建成一个世界一流零碳总部：在风貌不变的既有园区里，把电网侧能力接进园区运行回路，把碳账算清，把全员带进来，把方法带得走。它对外是南网整体的名片，对内是南网战略资产价值体系的验证场。之所以必须这样建，是因为国家正在布局六张网，南网要以新型电网为枢纽做六网协同；协同能不能成、第二增长曲线能不能立，需要先在自己身上拿出可核验的证据。总部基地同时具备自有产权、真实负荷、连续办公、办公与数据机房并存、领导可见五个条件，是这份证据现成的第一现场。不在总部先跑通，南网对外讲能碳服务就没有信用；跑通了却建成展台，证据也带不走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建成什么样，一句话：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风貌不变、系统在跑、账算得清、人人在场、方法带得走的零碳总部。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为什么必须这样建，一句话：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对国家，央企的示范要落在存量园区而不是新建盆景上；对电网，负荷侧的可调能力需要一个自己掌控的第一现场；对南网自身，第二增长曲线需要信用，主笔权需要自持；对既有园区，设备、电价、风貌三重约束已经把“改不改”变成“怎么改”，而怎么改决定了改成一批新设备还是一套可复制的资产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本稿分上、下两篇。上篇讲建成什么样，下篇讲为什么必须这样建。项目、工程、投资、工期一律不在本稿之内；方向形成共识后，再按程序转入预可行性研究。</w:t>
      </w:r>
    </w:p>
    <w:p>
      <w:pPr>
        <w:pStyle w:val="Heading1"/>
        <w:keepNext/>
        <w:pageBreakBefore/>
        <w:spacing w:before="360" w:after="240" w:line="360" w:lineRule="auto"/>
        <w:jc w:val="center"/>
      </w:pPr>
      <w:r>
        <w:rPr>
          <w:rFonts w:ascii="Times New Roman" w:hAnsi="Times New Roman" w:eastAsia="黑体"/>
          <w:b w:val="0"/>
          <w:color w:val="1F1F1F"/>
          <w:sz w:val="36"/>
        </w:rPr>
        <w:t>上篇 建设一个什么样的世界一流零碳总部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一、总形象与三条标准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一句话形象。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风貌不变、系统在跑、账算得清、人人在场、方法带得走的零碳总部。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“世界一流”的三条标准。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一流不以楼的新旧、设备的贵贱、大屏的尺寸为标准。本稿给它三条可以检验的标准：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（一）可核验。园区的碳、能、环境三本账全年连续、口径公开、经得起第三方复核；说到的每一项成效，都有本园区自己的实测数据支撑，不引用别处的宣称。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（二）可运行。电网侧的电价信号、绿电、需求响应真正进入园区运行回路；冷站、蓄冷、数据机房、办公末端、光伏、充电成为一个可观测、可预测、可调节的资源池，而不是各自为政的一批设备。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（三）可复制。跑通之后沉淀下来的不是这几栋楼，而是一套能带到下一个园区的账、模型、数据底座和方法。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三条标准里没有“最大”“首个”。一流的含义是：别人来看了，能照着做；而不是别人来看了，只能赞叹。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二、可被看见的总部形象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（一）走进去看到什么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一座外观基本未变的既有园区。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历史风貌与外立面得到保留，更新发生在入口、连廊、庭院、灰空间这些小尺度节点；遮阳与通风廊道让岭南湿热气候下的室外可以停留。来访者第一眼看不到“改造工程”，只看到一个更好用的园区。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一组可感、可查的室内环境。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空气、水、光、声、热的运行数据按楼层公示；节律照明与可调工位是办公区的常态，不是样板间的展品；无障碍与适老化不是亮点，是底线。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一群在场的人。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员工手机里有自己的碳账，会议室预约就是空调与照明的开关，园区算力与人工智能工具对全员开放；来访者看到的展项是正在运行的冷站、正在记账的碳账本、正在响应电价的蓄冷系统，不是沙盘和大屏。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（二）运转起来是什么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一本账。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园区级碳账本与核算边界全年连续，数据机房的进出账规则讲得清，个人、团队、园区三级账贯通；目标档位在实测基线上确定，不机械套用。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一个回路。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电网侧的实时电价、绿电、需求响应信号进入园区运行；蓄冷策略随电价机制切换，冷站在不换主机的前提下以群控和预测调优运行；数据机房负荷被当作可调节资源，而不是固定底数。</w:t>
      </w:r>
    </w:p>
    <w:p>
      <w:pPr>
        <w:spacing w:before="0" w:after="80" w:line="360" w:lineRule="auto"/>
        <w:ind w:left="640" w:hanging="320"/>
      </w:pPr>
      <w:r>
        <w:rPr>
          <w:rFonts w:ascii="Times New Roman" w:hAnsi="Times New Roman" w:eastAsia="仿宋_GB2312"/>
          <w:b w:val="0"/>
          <w:color w:val="1F1F1F"/>
          <w:sz w:val="32"/>
        </w:rPr>
        <w:t xml:space="preserve">▪ </w:t>
      </w:r>
      <w:r>
        <w:rPr>
          <w:rFonts w:ascii="Times New Roman" w:hAnsi="Times New Roman" w:eastAsia="仿宋_GB2312"/>
          <w:b/>
          <w:color w:val="1F1F1F"/>
          <w:sz w:val="32"/>
        </w:rPr>
        <w:t>一个平台、两类功能。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园内一侧承接办公行为与设备联动、预约与工单、碳普惠记账；园外一侧承接电网互动、交易接口、碳核算与绿电溯源。一次规划，数据主权自持，本地部署。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（三）对外可复制的是什么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复制的不是楼，而是四件带得走的资产（见本篇第三部分）。复制的次序，先南网内其他园区，再其他央国企园区。复制的前提，是基地自己的数据先立住。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三、一核：战略资产价值体系，基地是验证场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（一）核是什么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核不是资源清单，不是园区里有多少光伏、多少机架，而是一套可带走、可复制、可增值的战略资产价值体系，由四件事构成：</w:t>
      </w:r>
    </w:p>
    <w:p>
      <w:pPr>
        <w:spacing w:before="0" w:after="80" w:line="360" w:lineRule="auto"/>
        <w:ind w:left="640" w:hanging="480"/>
      </w:pPr>
      <w:r>
        <w:rPr>
          <w:rFonts w:ascii="Times New Roman" w:hAnsi="Times New Roman" w:eastAsia="仿宋_GB2312"/>
          <w:b w:val="0"/>
          <w:color w:val="1F1F1F"/>
          <w:sz w:val="32"/>
        </w:rPr>
        <w:t>1．</w:t>
      </w:r>
      <w:r>
        <w:rPr>
          <w:rFonts w:ascii="Times New Roman" w:hAnsi="Times New Roman" w:eastAsia="仿宋_GB2312"/>
          <w:b/>
          <w:color w:val="1F1F1F"/>
          <w:sz w:val="32"/>
        </w:rPr>
        <w:t>碳账与核算口径。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园区级碳账本、核算边界判定方法、与国家标准台阶的校核关系。</w:t>
      </w:r>
    </w:p>
    <w:p>
      <w:pPr>
        <w:spacing w:before="0" w:after="80" w:line="360" w:lineRule="auto"/>
        <w:ind w:left="640" w:hanging="480"/>
      </w:pPr>
      <w:r>
        <w:rPr>
          <w:rFonts w:ascii="Times New Roman" w:hAnsi="Times New Roman" w:eastAsia="仿宋_GB2312"/>
          <w:b w:val="0"/>
          <w:color w:val="1F1F1F"/>
          <w:sz w:val="32"/>
        </w:rPr>
        <w:t>2．</w:t>
      </w:r>
      <w:r>
        <w:rPr>
          <w:rFonts w:ascii="Times New Roman" w:hAnsi="Times New Roman" w:eastAsia="仿宋_GB2312"/>
          <w:b/>
          <w:color w:val="1F1F1F"/>
          <w:sz w:val="32"/>
        </w:rPr>
        <w:t>调控与交易模型。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柔性资源接入实时电价、需求响应与交易系统的控制策略与算法。</w:t>
      </w:r>
    </w:p>
    <w:p>
      <w:pPr>
        <w:spacing w:before="0" w:after="80" w:line="360" w:lineRule="auto"/>
        <w:ind w:left="640" w:hanging="480"/>
      </w:pPr>
      <w:r>
        <w:rPr>
          <w:rFonts w:ascii="Times New Roman" w:hAnsi="Times New Roman" w:eastAsia="仿宋_GB2312"/>
          <w:b w:val="0"/>
          <w:color w:val="1F1F1F"/>
          <w:sz w:val="32"/>
        </w:rPr>
        <w:t>3．</w:t>
      </w:r>
      <w:r>
        <w:rPr>
          <w:rFonts w:ascii="Times New Roman" w:hAnsi="Times New Roman" w:eastAsia="仿宋_GB2312"/>
          <w:b/>
          <w:color w:val="1F1F1F"/>
          <w:sz w:val="32"/>
        </w:rPr>
        <w:t>数字底座与数据资产。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“一个平台、两类功能”的架构、设备与用能数据、训练完成的负荷预测与调优模型。</w:t>
      </w:r>
    </w:p>
    <w:p>
      <w:pPr>
        <w:spacing w:before="0" w:after="80" w:line="360" w:lineRule="auto"/>
        <w:ind w:left="640" w:hanging="480"/>
      </w:pPr>
      <w:r>
        <w:rPr>
          <w:rFonts w:ascii="Times New Roman" w:hAnsi="Times New Roman" w:eastAsia="仿宋_GB2312"/>
          <w:b w:val="0"/>
          <w:color w:val="1F1F1F"/>
          <w:sz w:val="32"/>
        </w:rPr>
        <w:t>4．</w:t>
      </w:r>
      <w:r>
        <w:rPr>
          <w:rFonts w:ascii="Times New Roman" w:hAnsi="Times New Roman" w:eastAsia="仿宋_GB2312"/>
          <w:b/>
          <w:color w:val="1F1F1F"/>
          <w:sz w:val="32"/>
        </w:rPr>
        <w:t>改造与运营方法论。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连续办公既有园区“不停机、分区试点、先测后改”的诊断、实施与验证流程。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（二）基地与核的关系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基地是核的验证场，对应课题“内部验证—行业复制”。验收口径不是这栋楼多好看，而是跑通之后能不能复制给下一个园区。每一项建设动作都要能回答一个问题：往核里沉淀了什么。不向核沉淀资产的动作，不做。</w:t>
      </w:r>
    </w:p>
    <w:p>
      <w:pPr>
        <w:pStyle w:val="Heading3"/>
        <w:keepNext/>
        <w:spacing w:before="160" w:after="80" w:line="360" w:lineRule="auto"/>
      </w:pPr>
      <w:r>
        <w:rPr>
          <w:rFonts w:ascii="Times New Roman" w:hAnsi="Times New Roman" w:eastAsia="仿宋_GB2312"/>
          <w:b/>
          <w:color w:val="1F1F1F"/>
          <w:sz w:val="32"/>
        </w:rPr>
        <w:t>（三）基地不是什么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基地不是第二增长曲线本身。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曲线是能力与业务，基地是证据与信用。把基地当曲线，会退回展台化的老路；把基地丢掉，曲线无从取信。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基地不是能源公司的展台。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总部基地是南网整体的名片，园区归总部，成果是总部资产。能源公司承担主笔与起草，负责最终交付，不是战略主体。主笔与集成由南网自持：买设备、买平台、买认证、买服务，不买主笔。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四、六种气质：绿色、高效、智慧、普惠、健康、人文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六要素是这座总部的气质，不是六个项目专题，不分六章去写工程，也不与国家六张网一一对应。零碳不单独列为一项：零碳是总目标，由绿色承载指标，高效提供达标主力，智慧提供核验数据。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（一）绿色：能与碳，账立得住。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绿色，首先是园区碳账立得住、算得清、复核得了，其次是抵消结构走得通。屋顶光伏空间有限、风貌不可大改，本地光伏不是达标主路径；达标主力在需求侧节能和绿电交易，这恰好是南网的主场能力。水循环与生态微气候在不动结构、不停机的前提下改。绿色管“碳从哪来、到哪去”，不管“少用电”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（二）高效：同样舒适、少用电、会运营。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高效，是主要设备投运约十年、未到报废年限的既有冷站【交流纪要，待核】，在不换主机的前提下靠诊断、群控和预测调优拿到实测节能；是固定低谷电价取消、转向实时电价后，蓄冷策略接入交易系统仍然保住经济性；是办公行为驱动末端、机房余热得到利用。高效是达标主力，也是“不换主机、不停机”方法论最主要的来源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（三）智慧：数字底座，不是大屏。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智慧，是一次规划的平台同时承接园内运营和园外互动，四级计量的数据同时满足碳核算和交易结算，负荷预测与调优模型接上实时电价与需求响应。手法上可以参照中国移动国际信息港的预约联动与园区运营做法【公开报道，待核】；南网的增量在电网侧数据维度与交易接口，落在核上。数据主权自持、本地化部署是选型前置条件。平台本身不是成果，跑出来的数据资产才是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（四）普惠：人人参与、人人受益。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普惠只有三件事：碳普惠，员工、外包、访客的日常低碳行为进入碳账并被看见；算力普惠，园区算力与人工智能工具对全员开放、用量透明、门槛低；园区资源普惠，充电、会议、文体、共享空间对全员公平可及，规则公开。无障碍与适老化是标配，是普惠的地板。普惠不是投资收益，不是分档报价，不是可售卖的服务包；那些是复制阶段的商业叙事，归核管理，不进普惠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（五）健康：身体测得出来的环境。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健康独立于人文，管空气、水、光、声、热五类可检参数，用运行监测数据而不是设计文档证明达标。节能改造与健康环境互锁：少用电不能以坏空气为代价，任何一方不达标即不通过。健康数据只用于环境改善与验收，不用于个人考核。健身、休憩与心理服务作为配套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（六）人文：感受得到的场所与文化。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这座总部的人文，是风貌保护下的针灸式更新，是半开放空间和岭南微气候，是以真在运行的系统为展项承载电网文化与双碳科普，是把其他五种气质的成果转成员工每天感受得到的日常。不建独立展馆，不做展台。人文是六种气质面向人的界面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五、零碳如何托住总目标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零碳是这座总部的目标气质，写在名字里，不写成第七个要素。达成路径由六种气质合力：绿色立账并设计抵消结构，高效提供需求侧节能的主力，智慧给出可核验的数据，普惠让全员减碳进入总账，健康和人文保证零碳不以体验为代价。目标档位不在本稿定：低碳、近零碳、碳中和三档在实测基线与核算边界确定之后并列比较，先核边界、再比目标、后设指标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六、为什么是这种总部：三层立意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这座总部为什么必须是“验证场”而不是“展台”，为什么必须以电网侧能力进入运行回路为特征，答案在三层立意里。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第一层，国家六张网。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据公开报道，中央部署加强水网、新型电网、算力网、新一代通信网、城市地下管网、物流网等规划建设【公开报道，待核】。园区同时承载供配电、算力、通信、建筑设备与人员活动，是新型电网、算力网与通信网发生物理联系和运营联系的最小交汇单元。关于“六张网到 2030 年覆盖重点园区”等提法，本稿只作报道口径引用【公开报道，待核】，不作为已印发文件，不据此推导义务。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第二层，南网以新型电网为枢纽做六网协同，算电协同是当前突破口。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电网向其他五张网供能，并与算力网、通信网双向交换数据，是六网协同的天然枢纽。协同最先能落到实处的接口是算力与电力：算力负荷可预测、可调节，电网侧的电价信号、绿电与需求响应可反向进入算力与园区运行。公司战略表述以正式印发文件为准，本稿不代拟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第三层，南网自身核心资产与第二增长曲线。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南网的核心资产是电网及其运行、调度、交易与数据能力；围绕这套核心资产延伸出的能碳一体化能力，是第二增长曲线的候选方向。总部基地是把电网侧能力向园区级能碳服务延伸的第一现场。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三层收拢为一句话：国家建六张网，南网做协同，总部基地把协同先在自己身上跑通、收成可复制的战略资产，为第二增长曲线开出明牌。所以这座总部不能是一个漂亮的园区，而必须是一个把电网能力接进来、把账算出来、把方法带出去的验证场。</w:t>
      </w:r>
    </w:p>
    <w:p>
      <w:pPr>
        <w:pStyle w:val="Heading1"/>
        <w:keepNext/>
        <w:pageBreakBefore/>
        <w:spacing w:before="360" w:after="240" w:line="360" w:lineRule="auto"/>
        <w:jc w:val="center"/>
      </w:pPr>
      <w:r>
        <w:rPr>
          <w:rFonts w:ascii="Times New Roman" w:hAnsi="Times New Roman" w:eastAsia="黑体"/>
          <w:b w:val="0"/>
          <w:color w:val="1F1F1F"/>
          <w:sz w:val="36"/>
        </w:rPr>
        <w:t>下篇 为什么必须这样建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本篇按对国家、对电网、对南网自身、对既有园区四个层面，各讲清一件事：不这样建，会失去什么。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一、对国家：央企的示范要落在存量园区上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国家需要的答案。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中央要求把节能降碳贯穿经济社会发展全过程各方面，国有企业特别是中央企业加强示范引领【中央文件公开文本，待核】；国务院节能降碳行动方案把建筑、公共机构和用能设备列入重点领域【国务院公开文件】。全国的存量园区远多于新建园区，国家真正缺的不是又一个新建示范区，而是一个数千人连续办公、风貌不能动、设备未到报废的既有大型园区，能不能在不停机、不改立面的条件下走向零碳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南网能给的答案。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总部基地恰好就是这样一个园区。在这里跑通，给出的是存量园区的普遍答案；六张网在园区尺度如何交汇、电网如何成为协同枢纽，也在这里有了现场证据。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不这样建，失去什么。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南网在六张网叙事里只是供电方，拿不出“协同枢纽”的现场证据；央企示范停在承诺层面；存量园区的答案由别人先给出。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二、对电网：负荷侧的能力需要第一现场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电网正在发生的变化。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新型电力系统行动方案把算力与电力协同纳入行动内容，提出协同规划算力与电力基础设施、整合源荷储资源【部门公开文件】；电价机制由固定峰谷向实时电价转向，广东细则预计在一到两年内落地【交流纪要，待核】。新型电力系统的短板在负荷侧：负荷能不能被看见、被预测、被调节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总部基地是天然的实验台。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办公与数据机房并存，冷站、蓄冷、光伏、充电齐备，规模适中、风险可控、数据可得、产权自有。把电网侧的电价、绿电、需求响应能力接进这样一个园区的运行回路，是电网向负荷侧延伸稳妥的第一步。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不这样建，失去什么。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算电协同停在概念；电网侧能力没有一个自己掌控的负荷侧现场去验证；将来说服外部园区接受调控、参与交易时，缺少“南网自己先做到了”这条有力的先例。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三、对南网自身：第二增长曲线需要信用，主笔权需要自持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信用从哪里来。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能碳一体化服务是第二增长曲线的候选方向，对外服务的信用只能来自自己先做到。总部先算清自己的碳账、先跑通自己的调控回路、先沉淀自己的方法，对外才有资格讲“能帮你做到”。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主笔权为什么必须自持。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数据主权、模型产权、方法论归属决定了这套资产是南网的还是供应商的。不自持，则数据在外、模型在外、方法在外，基地变成供应商的样板间，南网出钱买了一次展览。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不这样建，失去什么。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曲线无从取信；主笔权外流；园区最终成为一次性的工程支出，而不是可增值、可复制的资产。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四、对既有园区：“改不改”已经变成“怎么改”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家底与卡点。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广州科学城既有园区，数千人持续办公【交流纪要，待核】；主要机电设备投运约十年，已过经济运行黄金期、未到报废年限【交流纪要，待核】；建筑历史风貌与外立面不可大改，屋顶光伏空间有限【交流纪要，待核】；现有冰蓄冷系统的经济性建立在固定低谷电价之上，而电价机制正在转向【交流纪要，待核】；年用电量与数据机房核算边界存在两种并存口径【会中口述，待核】。前期建设方案对家底与卡点的梳理可以参考，但其以工程清单为主线的思路不是本稿的出发点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不改会失去什么。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设备能效自然衰退，运行成本逐年上升；电价机制切换后原有蓄冷省钱逻辑失效；设备更新窗口错过之后只能被动换主机；室内环境与运行效率被动落后于新建同类园区，总部形象与员工体验同步下滑。“改不改”已经不是问题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/>
          <w:color w:val="1F1F1F"/>
          <w:sz w:val="32"/>
        </w:rPr>
        <w:t>怎么改决定改成什么。</w:t>
      </w:r>
      <w:r>
        <w:rPr>
          <w:rFonts w:ascii="Times New Roman" w:hAnsi="Times New Roman" w:eastAsia="仿宋_GB2312"/>
          <w:b w:val="0"/>
          <w:color w:val="1F1F1F"/>
          <w:sz w:val="32"/>
        </w:rPr>
        <w:t xml:space="preserve"> 按工程清单改，得到的是一批新设备；按验证场改，得到的是一套可复制的资产。五项约束恰好塑造了后一种改法：连续办公，所以园中园、分区试点、先测后改；风貌不可大改，所以针灸式更新、立面光伏不作主路径；设备未到报废，所以先诊断、不换主机；光伏有限，所以达标主力在需求侧节能与绿电；电价转向，所以蓄冷策略必须接入交易系统。这些约束正是全国存量园区的普遍约束，在此跑通的方法复制价值高。约束不是本方向的障碍，而是本方向成立的理由。</w:t>
      </w:r>
    </w:p>
    <w:p>
      <w:pPr>
        <w:pStyle w:val="Heading2"/>
        <w:keepNext/>
        <w:spacing w:before="240" w:after="120" w:line="360" w:lineRule="auto"/>
      </w:pPr>
      <w:r>
        <w:rPr>
          <w:rFonts w:ascii="Times New Roman" w:hAnsi="Times New Roman" w:eastAsia="黑体"/>
          <w:b w:val="0"/>
          <w:color w:val="1F1F1F"/>
          <w:sz w:val="32"/>
        </w:rPr>
        <w:t>五、政策依据：一束，不是一章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改造的必要性不能由六张网单点证成。本稿用四层短政策束回答“为什么”，不展开政策综述；文件名称与印发状态以正式文本为准，不编文号。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26"/>
        <w:gridCol w:w="1494"/>
        <w:gridCol w:w="3926"/>
        <w:gridCol w:w="2198"/>
      </w:tblGrid>
      <w:tr>
        <w:trPr>
          <w:cantSplit/>
          <w:tblHeader/>
        </w:trPr>
        <w:tc>
          <w:tcPr>
            <w:tcW w:type="dxa" w:w="1226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层</w:t>
            </w:r>
          </w:p>
        </w:tc>
        <w:tc>
          <w:tcPr>
            <w:tcW w:type="dxa" w:w="1494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回答的问题</w:t>
            </w:r>
          </w:p>
        </w:tc>
        <w:tc>
          <w:tcPr>
            <w:tcW w:type="dxa" w:w="3926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依据方向</w:t>
            </w:r>
          </w:p>
        </w:tc>
        <w:tc>
          <w:tcPr>
            <w:tcW w:type="dxa" w:w="2198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与本稿的关系</w:t>
            </w:r>
          </w:p>
        </w:tc>
      </w:tr>
      <w:tr>
        <w:trPr>
          <w:cantSplit/>
        </w:trPr>
        <w:tc>
          <w:tcPr>
            <w:tcW w:type="dxa" w:w="12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国家方向</w:t>
            </w:r>
          </w:p>
        </w:tc>
        <w:tc>
          <w:tcPr>
            <w:tcW w:type="dxa" w:w="1494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为什么现在必改</w:t>
            </w:r>
          </w:p>
        </w:tc>
        <w:tc>
          <w:tcPr>
            <w:tcW w:type="dxa" w:w="39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六张网布局【公开报道，待核】；节能降碳贯穿全过程、央企示范引领【中央文件公开文本，待核】；“人工智能+”能源【部门公开文件】</w:t>
            </w:r>
          </w:p>
        </w:tc>
        <w:tc>
          <w:tcPr>
            <w:tcW w:type="dxa" w:w="2198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说明方向与紧迫性；不把国家任务写成本项目资格</w:t>
            </w:r>
          </w:p>
        </w:tc>
      </w:tr>
      <w:tr>
        <w:trPr>
          <w:cantSplit/>
        </w:trPr>
        <w:tc>
          <w:tcPr>
            <w:tcW w:type="dxa" w:w="12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行业与电网</w:t>
            </w:r>
          </w:p>
        </w:tc>
        <w:tc>
          <w:tcPr>
            <w:tcW w:type="dxa" w:w="1494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靠什么能力改</w:t>
            </w:r>
          </w:p>
        </w:tc>
        <w:tc>
          <w:tcPr>
            <w:tcW w:type="dxa" w:w="39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新型电力系统行动方案中的算电协同、源荷储整合【部门公开文件】；电价机制转向实时电价【交流纪要，待核】</w:t>
            </w:r>
          </w:p>
        </w:tc>
        <w:tc>
          <w:tcPr>
            <w:tcW w:type="dxa" w:w="2198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说明电网侧能力进入园区运行回路的依据</w:t>
            </w:r>
          </w:p>
        </w:tc>
      </w:tr>
      <w:tr>
        <w:trPr>
          <w:cantSplit/>
        </w:trPr>
        <w:tc>
          <w:tcPr>
            <w:tcW w:type="dxa" w:w="12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园区与建筑</w:t>
            </w:r>
          </w:p>
        </w:tc>
        <w:tc>
          <w:tcPr>
            <w:tcW w:type="dxa" w:w="1494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具体朝哪改、怎么验</w:t>
            </w:r>
          </w:p>
        </w:tc>
        <w:tc>
          <w:tcPr>
            <w:tcW w:type="dxa" w:w="39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既有建筑节能绿色改造与运行能效提升【部门公开文件】；建筑节能与可再生能源利用通用规范；零碳建筑低碳、近零碳、零碳三级台阶【宣讲材料，待核】</w:t>
            </w:r>
          </w:p>
        </w:tc>
        <w:tc>
          <w:tcPr>
            <w:tcW w:type="dxa" w:w="2198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说明目标台阶与核算基准；宣讲口径不进指标</w:t>
            </w:r>
          </w:p>
        </w:tc>
      </w:tr>
      <w:tr>
        <w:trPr>
          <w:cantSplit/>
        </w:trPr>
        <w:tc>
          <w:tcPr>
            <w:tcW w:type="dxa" w:w="12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南网自身</w:t>
            </w:r>
          </w:p>
        </w:tc>
        <w:tc>
          <w:tcPr>
            <w:tcW w:type="dxa" w:w="1494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该谁改、沉淀什么</w:t>
            </w:r>
          </w:p>
        </w:tc>
        <w:tc>
          <w:tcPr>
            <w:tcW w:type="dxa" w:w="3926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以新型电网为枢纽推进协同发展的战略部署（以正式文件为准）；课题“加快积累战略资产，驱动第二增长曲线”</w:t>
            </w:r>
          </w:p>
        </w:tc>
        <w:tc>
          <w:tcPr>
            <w:tcW w:type="dxa" w:w="2198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说明主笔自持与成果归核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spacing w:before="360" w:after="240" w:line="360" w:lineRule="auto"/>
        <w:jc w:val="center"/>
      </w:pPr>
      <w:r>
        <w:rPr>
          <w:rFonts w:ascii="Times New Roman" w:hAnsi="Times New Roman" w:eastAsia="黑体"/>
          <w:b w:val="0"/>
          <w:color w:val="1F1F1F"/>
          <w:sz w:val="36"/>
        </w:rPr>
        <w:t>收束：若认同这一方向，验证场的第一步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方向形成共识之后，验证不需要从大工程开始，从三件小事开始就够了：</w:t>
      </w:r>
      <w:r>
        <w:rPr>
          <w:rFonts w:ascii="Times New Roman" w:hAnsi="Times New Roman" w:eastAsia="仿宋_GB2312"/>
          <w:b/>
          <w:color w:val="1F1F1F"/>
          <w:sz w:val="32"/>
        </w:rPr>
        <w:t>先把账立起来</w:t>
      </w:r>
      <w:r>
        <w:rPr>
          <w:rFonts w:ascii="Times New Roman" w:hAnsi="Times New Roman" w:eastAsia="仿宋_GB2312"/>
          <w:b w:val="0"/>
          <w:color w:val="1F1F1F"/>
          <w:sz w:val="32"/>
        </w:rPr>
        <w:t>，园区碳账与核算边界，把数据机房进出账讲清；</w:t>
      </w:r>
      <w:r>
        <w:rPr>
          <w:rFonts w:ascii="Times New Roman" w:hAnsi="Times New Roman" w:eastAsia="仿宋_GB2312"/>
          <w:b/>
          <w:color w:val="1F1F1F"/>
          <w:sz w:val="32"/>
        </w:rPr>
        <w:t>先把一个回路跑通</w:t>
      </w:r>
      <w:r>
        <w:rPr>
          <w:rFonts w:ascii="Times New Roman" w:hAnsi="Times New Roman" w:eastAsia="仿宋_GB2312"/>
          <w:b w:val="0"/>
          <w:color w:val="1F1F1F"/>
          <w:sz w:val="32"/>
        </w:rPr>
        <w:t>，冷站与蓄冷策略接入实时电价，用一个完整供冷季的实测数据说话；</w:t>
      </w:r>
      <w:r>
        <w:rPr>
          <w:rFonts w:ascii="Times New Roman" w:hAnsi="Times New Roman" w:eastAsia="仿宋_GB2312"/>
          <w:b/>
          <w:color w:val="1F1F1F"/>
          <w:sz w:val="32"/>
        </w:rPr>
        <w:t>先把平台口径定下来</w:t>
      </w:r>
      <w:r>
        <w:rPr>
          <w:rFonts w:ascii="Times New Roman" w:hAnsi="Times New Roman" w:eastAsia="仿宋_GB2312"/>
          <w:b w:val="0"/>
          <w:color w:val="1F1F1F"/>
          <w:sz w:val="32"/>
        </w:rPr>
        <w:t>，“一个平台、两类功能”与数据主权条款。三件事的完成口径都是数据和规则，不是设备和投资；三件事做完，基地能不能当验证场，就有了第一份证据。其后按程序转入预可行性研究，投资、选型、合作与分期在那一步定，不在本稿定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衡量这座总部建得对不对，只看一条：跑通的东西能不能复制到下一个园区。不以上了多少项目、花了多少投资为口径。</w:t>
      </w:r>
    </w:p>
    <w:p>
      <w:pPr>
        <w:spacing w:before="0" w:after="120" w:line="360" w:lineRule="auto"/>
        <w:ind w:firstLine="640"/>
      </w:pPr>
      <w:r>
        <w:rPr>
          <w:rFonts w:ascii="Times New Roman" w:hAnsi="Times New Roman" w:eastAsia="仿宋_GB2312"/>
          <w:b w:val="0"/>
          <w:color w:val="1F1F1F"/>
          <w:sz w:val="32"/>
        </w:rPr>
        <w:t>回到两个问题。南网总部要成为什么：一个风貌不变、系统在跑、账算得清、人人在场、方法带得走的世界一流零碳总部，南网整体的名片，战略资产价值体系的验证场。为何非此不可：国家需要存量园区的零碳答案，电网需要负荷侧的第一现场，南网需要第二增长曲线的信用，园区自身已经到了“怎么改”的关口。这四件事，只有总部基地能同时回答。</w:t>
      </w:r>
    </w:p>
    <w:p>
      <w:pPr>
        <w:pStyle w:val="Heading1"/>
        <w:keepNext/>
        <w:pageBreakBefore/>
        <w:spacing w:before="360" w:after="240" w:line="360" w:lineRule="auto"/>
        <w:jc w:val="center"/>
      </w:pPr>
      <w:r>
        <w:rPr>
          <w:rFonts w:ascii="Times New Roman" w:hAnsi="Times New Roman" w:eastAsia="黑体"/>
          <w:b w:val="0"/>
          <w:color w:val="1F1F1F"/>
          <w:sz w:val="36"/>
        </w:rPr>
        <w:t>附 口径与证据标注说明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07"/>
        <w:gridCol w:w="6637"/>
      </w:tblGrid>
      <w:tr>
        <w:trPr>
          <w:cantSplit/>
          <w:tblHeader/>
        </w:trPr>
        <w:tc>
          <w:tcPr>
            <w:tcW w:type="dxa" w:w="2207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术语或标注</w:t>
            </w:r>
          </w:p>
        </w:tc>
        <w:tc>
          <w:tcPr>
            <w:tcW w:type="dxa" w:w="6637"/>
            <w:shd w:val="clear" w:color="auto" w:fill="E7EEF3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本稿口径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世界一流零碳总部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本稿愿景称呼。“一流”以可核验、可运行、可复制三条标准衡量；“零碳”是总目标与气质，不单独立为要素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一核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战略资产价值体系：碳账与核算口径、调控与交易模型、数字底座与数据资产、改造与运营方法论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验证场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基地是核的验证场，对应“内部验证—行业复制”；是第二增长曲线的证据与信用，不是曲线本身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六种气质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绿色、高效、智慧、普惠、健康、人文。健康独立于人文；普惠为人人参与、人人受益；无障碍是标配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复制次序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先南网内其他园区，再其他央国企园区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六张网、六网协同、算电协同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六张网为公开报道口径【待核】；六网协同与算电协同突破口为工作口径，公司战略表述以正式文件为准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【公开文件】类标注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政府公开发布文件，引名称与方向，不编文号；印发状态不确定处加“待核”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【公开报道】【宣讲材料】【交流纪要】【会中口述】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只作背景、量级与手法参照；数字一律待核，不进指标</w:t>
            </w:r>
          </w:p>
        </w:tc>
      </w:tr>
      <w:tr>
        <w:trPr>
          <w:cantSplit/>
        </w:trPr>
        <w:tc>
          <w:tcPr>
            <w:tcW w:type="dxa" w:w="220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【待核】</w:t>
            </w:r>
          </w:p>
        </w:tc>
        <w:tc>
          <w:tcPr>
            <w:tcW w:type="dxa" w:w="6637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来源弱、口径冲突或稿中没有的数据与提法；进入预可研前逐项核实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right"/>
      </w:pPr>
      <w:r>
        <w:rPr>
          <w:rFonts w:ascii="Times New Roman" w:hAnsi="Times New Roman" w:eastAsia="仿宋_GB2312"/>
          <w:b/>
          <w:color w:val="1F1F1F"/>
          <w:sz w:val="32"/>
        </w:rPr>
        <w:t>起草单位</w:t>
      </w:r>
      <w:r>
        <w:rPr>
          <w:rFonts w:ascii="Times New Roman" w:hAnsi="Times New Roman" w:eastAsia="仿宋_GB2312"/>
          <w:b w:val="0"/>
          <w:color w:val="1F1F1F"/>
          <w:sz w:val="32"/>
        </w:rPr>
        <w:t>：南网能源公司（主笔）</w:t>
      </w:r>
    </w:p>
    <w:p>
      <w:pPr>
        <w:spacing w:before="0" w:after="120" w:line="360" w:lineRule="auto"/>
        <w:jc w:val="right"/>
      </w:pPr>
      <w:r>
        <w:rPr>
          <w:rFonts w:ascii="Times New Roman" w:hAnsi="Times New Roman" w:eastAsia="仿宋_GB2312"/>
          <w:b/>
          <w:color w:val="1F1F1F"/>
          <w:sz w:val="32"/>
        </w:rPr>
        <w:t>稿件日期</w:t>
      </w:r>
      <w:r>
        <w:rPr>
          <w:rFonts w:ascii="Times New Roman" w:hAnsi="Times New Roman" w:eastAsia="仿宋_GB2312"/>
          <w:b w:val="0"/>
          <w:color w:val="1F1F1F"/>
          <w:sz w:val="32"/>
        </w:rPr>
        <w:t>：2026 年 9 月 3 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1F1F1F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