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both"/>
      </w:pPr>
      <w:r>
        <w:rPr>
          <w:rFonts w:ascii="仿宋_GB2312" w:hAnsi="仿宋_GB2312" w:eastAsia="仿宋_GB2312" w:cs="仿宋_GB2312"/>
          <w:b w:val="0"/>
          <w:sz w:val="32"/>
        </w:rPr>
      </w:r>
    </w:p>
    <w:p>
      <w:pPr>
        <w:spacing w:before="0" w:after="0"/>
        <w:jc w:val="both"/>
      </w:pPr>
      <w:r>
        <w:rPr>
          <w:rFonts w:ascii="仿宋_GB2312" w:hAnsi="仿宋_GB2312" w:eastAsia="仿宋_GB2312" w:cs="仿宋_GB2312"/>
          <w:b w:val="0"/>
          <w:sz w:val="32"/>
        </w:rPr>
      </w:r>
    </w:p>
    <w:p>
      <w:pPr>
        <w:spacing w:before="0" w:after="0"/>
        <w:jc w:val="both"/>
      </w:pPr>
      <w:r>
        <w:rPr>
          <w:rFonts w:ascii="仿宋_GB2312" w:hAnsi="仿宋_GB2312" w:eastAsia="仿宋_GB2312" w:cs="仿宋_GB2312"/>
          <w:b w:val="0"/>
          <w:sz w:val="32"/>
        </w:rPr>
      </w:r>
    </w:p>
    <w:p>
      <w:pPr>
        <w:spacing w:before="0" w:after="0"/>
        <w:jc w:val="both"/>
      </w:pPr>
      <w:r>
        <w:rPr>
          <w:rFonts w:ascii="仿宋_GB2312" w:hAnsi="仿宋_GB2312" w:eastAsia="仿宋_GB2312" w:cs="仿宋_GB2312"/>
          <w:b w:val="0"/>
          <w:sz w:val="32"/>
        </w:rPr>
      </w:r>
    </w:p>
    <w:p>
      <w:pPr>
        <w:spacing w:before="0" w:after="0"/>
        <w:jc w:val="both"/>
      </w:pPr>
      <w:r>
        <w:rPr>
          <w:rFonts w:ascii="仿宋_GB2312" w:hAnsi="仿宋_GB2312" w:eastAsia="仿宋_GB2312" w:cs="仿宋_GB2312"/>
          <w:b w:val="0"/>
          <w:sz w:val="32"/>
        </w:rPr>
      </w:r>
    </w:p>
    <w:p>
      <w:pPr>
        <w:spacing w:before="0" w:after="0"/>
        <w:jc w:val="both"/>
      </w:pPr>
      <w:r>
        <w:rPr>
          <w:rFonts w:ascii="仿宋_GB2312" w:hAnsi="仿宋_GB2312" w:eastAsia="仿宋_GB2312" w:cs="仿宋_GB2312"/>
          <w:b w:val="0"/>
          <w:sz w:val="32"/>
        </w:rPr>
      </w:r>
    </w:p>
    <w:p>
      <w:pPr>
        <w:spacing w:before="0" w:after="360"/>
        <w:jc w:val="center"/>
      </w:pPr>
      <w:r>
        <w:rPr>
          <w:rFonts w:ascii="黑体" w:hAnsi="黑体" w:eastAsia="黑体" w:cs="黑体"/>
          <w:b w:val="0"/>
          <w:sz w:val="36"/>
        </w:rPr>
        <w:t>南网总部基地绿色近零碳智慧园区项目调研报告</w:t>
      </w:r>
    </w:p>
    <w:p>
      <w:pPr>
        <w:spacing w:before="0" w:after="0"/>
        <w:jc w:val="center"/>
      </w:pPr>
      <w:r>
        <w:rPr>
          <w:rFonts w:ascii="楷体_GB2312" w:hAnsi="楷体_GB2312" w:eastAsia="楷体_GB2312" w:cs="楷体_GB2312"/>
          <w:b w:val="0"/>
          <w:sz w:val="32"/>
        </w:rPr>
        <w:t>——建科院、中国移动交流成果及清华大学拟交流方向</w:t>
      </w:r>
    </w:p>
    <w:p>
      <w:pPr>
        <w:spacing w:before="0" w:after="0"/>
        <w:jc w:val="both"/>
      </w:pPr>
      <w:r>
        <w:rPr>
          <w:rFonts w:ascii="仿宋_GB2312" w:hAnsi="仿宋_GB2312" w:eastAsia="仿宋_GB2312" w:cs="仿宋_GB2312"/>
          <w:b w:val="0"/>
          <w:sz w:val="32"/>
        </w:rPr>
      </w:r>
    </w:p>
    <w:p>
      <w:pPr>
        <w:spacing w:before="0" w:after="0"/>
        <w:jc w:val="both"/>
      </w:pPr>
      <w:r>
        <w:rPr>
          <w:rFonts w:ascii="仿宋_GB2312" w:hAnsi="仿宋_GB2312" w:eastAsia="仿宋_GB2312" w:cs="仿宋_GB2312"/>
          <w:b w:val="0"/>
          <w:sz w:val="32"/>
        </w:rPr>
      </w:r>
    </w:p>
    <w:p>
      <w:pPr>
        <w:spacing w:before="0" w:after="0"/>
        <w:jc w:val="both"/>
      </w:pPr>
      <w:r>
        <w:rPr>
          <w:rFonts w:ascii="仿宋_GB2312" w:hAnsi="仿宋_GB2312" w:eastAsia="仿宋_GB2312" w:cs="仿宋_GB2312"/>
          <w:b w:val="0"/>
          <w:sz w:val="32"/>
        </w:rPr>
      </w:r>
    </w:p>
    <w:p>
      <w:pPr>
        <w:spacing w:before="0" w:after="0"/>
        <w:jc w:val="both"/>
      </w:pPr>
      <w:r>
        <w:rPr>
          <w:rFonts w:ascii="仿宋_GB2312" w:hAnsi="仿宋_GB2312" w:eastAsia="仿宋_GB2312" w:cs="仿宋_GB2312"/>
          <w:b w:val="0"/>
          <w:sz w:val="32"/>
        </w:rPr>
      </w:r>
    </w:p>
    <w:p>
      <w:pPr>
        <w:spacing w:before="0" w:after="0"/>
        <w:jc w:val="both"/>
      </w:pPr>
      <w:r>
        <w:rPr>
          <w:rFonts w:ascii="仿宋_GB2312" w:hAnsi="仿宋_GB2312" w:eastAsia="仿宋_GB2312" w:cs="仿宋_GB2312"/>
          <w:b w:val="0"/>
          <w:sz w:val="32"/>
        </w:rPr>
      </w:r>
    </w:p>
    <w:p>
      <w:pPr>
        <w:spacing w:before="0" w:after="0"/>
        <w:jc w:val="both"/>
      </w:pPr>
      <w:r>
        <w:rPr>
          <w:rFonts w:ascii="仿宋_GB2312" w:hAnsi="仿宋_GB2312" w:eastAsia="仿宋_GB2312" w:cs="仿宋_GB2312"/>
          <w:b w:val="0"/>
          <w:sz w:val="32"/>
        </w:rPr>
      </w:r>
    </w:p>
    <w:p>
      <w:pPr>
        <w:spacing w:before="0" w:after="0"/>
        <w:jc w:val="both"/>
      </w:pPr>
      <w:r>
        <w:rPr>
          <w:rFonts w:ascii="仿宋_GB2312" w:hAnsi="仿宋_GB2312" w:eastAsia="仿宋_GB2312" w:cs="仿宋_GB2312"/>
          <w:b w:val="0"/>
          <w:sz w:val="32"/>
        </w:rPr>
      </w:r>
    </w:p>
    <w:p>
      <w:pPr>
        <w:spacing w:before="0" w:after="0"/>
        <w:jc w:val="both"/>
      </w:pPr>
      <w:r>
        <w:rPr>
          <w:rFonts w:ascii="仿宋_GB2312" w:hAnsi="仿宋_GB2312" w:eastAsia="仿宋_GB2312" w:cs="仿宋_GB2312"/>
          <w:b w:val="0"/>
          <w:sz w:val="32"/>
        </w:rPr>
      </w:r>
    </w:p>
    <w:p>
      <w:pPr>
        <w:spacing w:before="0" w:after="0"/>
        <w:jc w:val="center"/>
      </w:pPr>
      <w:r>
        <w:rPr>
          <w:rFonts w:ascii="仿宋_GB2312" w:hAnsi="仿宋_GB2312" w:eastAsia="仿宋_GB2312" w:cs="仿宋_GB2312"/>
          <w:b w:val="0"/>
          <w:sz w:val="32"/>
        </w:rPr>
        <w:t>作者：王天智</w:t>
      </w:r>
    </w:p>
    <w:p>
      <w:pPr>
        <w:spacing w:before="0" w:after="0"/>
        <w:jc w:val="center"/>
      </w:pPr>
      <w:r>
        <w:rPr>
          <w:rFonts w:ascii="仿宋_GB2312" w:hAnsi="仿宋_GB2312" w:eastAsia="仿宋_GB2312" w:cs="仿宋_GB2312"/>
          <w:b w:val="0"/>
          <w:sz w:val="32"/>
        </w:rPr>
        <w:t>单位：南方电网综合能源（广东）有限公司</w:t>
      </w:r>
    </w:p>
    <w:p>
      <w:pPr>
        <w:spacing w:before="0" w:after="0"/>
        <w:jc w:val="center"/>
      </w:pPr>
      <w:r>
        <w:rPr>
          <w:rFonts w:ascii="仿宋_GB2312" w:hAnsi="仿宋_GB2312" w:eastAsia="仿宋_GB2312" w:cs="仿宋_GB2312"/>
          <w:b w:val="0"/>
          <w:sz w:val="32"/>
        </w:rPr>
        <w:t>时间：2026年8月</w:t>
      </w:r>
    </w:p>
    <w:p>
      <w:pPr>
        <w:sectPr>
          <w:pgSz w:w="11906" w:h="16838"/>
          <w:pgMar w:top="2098" w:right="1474" w:bottom="1984" w:left="1587" w:header="720" w:footer="720" w:gutter="0"/>
          <w:cols w:space="720"/>
          <w:docGrid w:linePitch="360"/>
        </w:sectPr>
      </w:pPr>
    </w:p>
    <w:p>
      <w:pPr>
        <w:spacing w:before="280" w:after="80" w:lineRule="exact" w:line="580"/>
        <w:ind w:firstLine="640"/>
        <w:jc w:val="left"/>
      </w:pPr>
      <w:r>
        <w:rPr>
          <w:rFonts w:ascii="黑体" w:hAnsi="黑体" w:eastAsia="黑体" w:cs="黑体"/>
          <w:b w:val="0"/>
          <w:sz w:val="32"/>
        </w:rPr>
        <w:t>一、目的与背景</w:t>
      </w:r>
    </w:p>
    <w:p>
      <w:pPr>
        <w:spacing w:before="160" w:after="0" w:lineRule="exact" w:line="580"/>
        <w:ind w:firstLine="640"/>
        <w:jc w:val="left"/>
      </w:pPr>
      <w:r>
        <w:rPr>
          <w:rFonts w:ascii="楷体_GB2312" w:hAnsi="楷体_GB2312" w:eastAsia="楷体_GB2312" w:cs="楷体_GB2312"/>
          <w:b w:val="0"/>
          <w:sz w:val="32"/>
        </w:rPr>
        <w:t>（一）项目背景与调研取向</w:t>
      </w:r>
    </w:p>
    <w:p>
      <w:pPr>
        <w:spacing w:before="0" w:after="0" w:lineRule="exact" w:line="580"/>
        <w:ind w:firstLine="640"/>
        <w:jc w:val="both"/>
      </w:pPr>
      <w:r>
        <w:rPr>
          <w:rFonts w:ascii="仿宋_GB2312" w:hAnsi="仿宋_GB2312" w:eastAsia="仿宋_GB2312" w:cs="仿宋_GB2312"/>
          <w:b w:val="0"/>
          <w:sz w:val="32"/>
        </w:rPr>
        <w:t>为高质量推进南网总部基地绿色近零碳智慧园区，完善总体定位、技术体系、建设路径和运营机制，按《南网总部基地零碳智慧园区项目调研计划》，拟在北京、深圳、广州三地开展调研。本次调研的取向是博采众长，吸收新方向、新思路、新技术，最终形成适用于南网总部基地的技术清单、平台建设建议、指标体系和实施方案。</w:t>
      </w:r>
    </w:p>
    <w:p>
      <w:pPr>
        <w:spacing w:before="0" w:after="0" w:lineRule="exact" w:line="580"/>
        <w:ind w:firstLine="640"/>
        <w:jc w:val="both"/>
      </w:pPr>
      <w:r>
        <w:rPr>
          <w:rFonts w:ascii="仿宋_GB2312" w:hAnsi="仿宋_GB2312" w:eastAsia="仿宋_GB2312" w:cs="仿宋_GB2312"/>
          <w:b w:val="0"/>
          <w:sz w:val="32"/>
        </w:rPr>
        <w:t>本报告归集截至2026年8月20日已完成的两家单位交流成果，同时记录清华大学一站的拟交流重点。报告的落点不在于复述会议过程，而在于把外部单位的技术方法、评价口径和运营经验，转成可以对照本项目使用的判断与清单。</w:t>
      </w:r>
    </w:p>
    <w:p>
      <w:pPr>
        <w:spacing w:before="160" w:after="0" w:lineRule="exact" w:line="580"/>
        <w:ind w:firstLine="640"/>
        <w:jc w:val="left"/>
      </w:pPr>
      <w:r>
        <w:rPr>
          <w:rFonts w:ascii="楷体_GB2312" w:hAnsi="楷体_GB2312" w:eastAsia="楷体_GB2312" w:cs="楷体_GB2312"/>
          <w:b w:val="0"/>
          <w:sz w:val="32"/>
        </w:rPr>
        <w:t>（二）调研对象与分工</w:t>
      </w:r>
    </w:p>
    <w:p>
      <w:pPr>
        <w:spacing w:before="0" w:after="0" w:lineRule="exact" w:line="580"/>
        <w:ind w:firstLine="640"/>
        <w:jc w:val="both"/>
      </w:pPr>
      <w:r>
        <w:rPr>
          <w:rFonts w:ascii="仿宋_GB2312" w:hAnsi="仿宋_GB2312" w:eastAsia="仿宋_GB2312" w:cs="仿宋_GB2312"/>
          <w:b w:val="0"/>
          <w:sz w:val="32"/>
        </w:rPr>
        <w:t>按调研计划，五个调研对象分别代表建筑零碳技术研发与政策研究、新建超大型总部园区、既有大型园区智慧节能改造、近零碳社区核心示范、总部办公与数据中心复合园区五类样本。截至本报告成稿，各对象进展与分工如下。</w:t>
      </w:r>
    </w:p>
    <w:p>
      <w:pPr>
        <w:spacing w:before="0" w:after="0" w:lineRule="exact" w:line="580"/>
        <w:ind w:firstLine="640"/>
        <w:jc w:val="both"/>
      </w:pPr>
      <w:r>
        <w:rPr>
          <w:rFonts w:ascii="仿宋_GB2312" w:hAnsi="仿宋_GB2312" w:eastAsia="仿宋_GB2312" w:cs="仿宋_GB2312"/>
          <w:b w:val="0"/>
          <w:sz w:val="32"/>
        </w:rPr>
        <w:t>中国建筑科学研究院有限公司（以下简称建科院），偏建筑节能与零碳认证方向，已完成专题宣讲和一次交流。</w:t>
      </w:r>
    </w:p>
    <w:p>
      <w:pPr>
        <w:spacing w:before="0" w:after="0" w:lineRule="exact" w:line="580"/>
        <w:ind w:firstLine="640"/>
        <w:jc w:val="both"/>
      </w:pPr>
      <w:r>
        <w:rPr>
          <w:rFonts w:ascii="仿宋_GB2312" w:hAnsi="仿宋_GB2312" w:eastAsia="仿宋_GB2312" w:cs="仿宋_GB2312"/>
          <w:b w:val="0"/>
          <w:sz w:val="32"/>
        </w:rPr>
        <w:t>中国移动，偏智慧园区方向，已完成一次交流；其国际信息港（公开报道中亦称全球信息港）在既有园区绿色智能方面的实践另有公开报道可供引用。</w:t>
      </w:r>
    </w:p>
    <w:p>
      <w:pPr>
        <w:spacing w:before="0" w:after="0" w:lineRule="exact" w:line="580"/>
        <w:ind w:firstLine="640"/>
        <w:jc w:val="both"/>
      </w:pPr>
      <w:r>
        <w:rPr>
          <w:rFonts w:ascii="仿宋_GB2312" w:hAnsi="仿宋_GB2312" w:eastAsia="仿宋_GB2312" w:cs="仿宋_GB2312"/>
          <w:b w:val="0"/>
          <w:sz w:val="32"/>
        </w:rPr>
        <w:t>清华大学，对应建筑零碳技术研发与政策研究方向，计划参观超低能耗示范楼并开展院士座谈，行程安排在2026年8月21日，尚未开展。</w:t>
      </w:r>
    </w:p>
    <w:p>
      <w:pPr>
        <w:spacing w:before="0" w:after="0" w:lineRule="exact" w:line="580"/>
        <w:ind w:firstLine="640"/>
        <w:jc w:val="both"/>
      </w:pPr>
      <w:r>
        <w:rPr>
          <w:rFonts w:ascii="仿宋_GB2312" w:hAnsi="仿宋_GB2312" w:eastAsia="仿宋_GB2312" w:cs="仿宋_GB2312"/>
          <w:b w:val="0"/>
          <w:sz w:val="32"/>
        </w:rPr>
        <w:t>深圳的腾讯企鹅岛、大梅沙万科中心碳中和实验园区，以及广州的中国移动南方基地，均为调研计划中的后续对象，行程尚未发生。</w:t>
      </w:r>
    </w:p>
    <w:p>
      <w:pPr>
        <w:spacing w:before="0" w:after="0" w:lineRule="exact" w:line="580"/>
        <w:ind w:firstLine="640"/>
        <w:jc w:val="both"/>
      </w:pPr>
      <w:r>
        <w:rPr>
          <w:rFonts w:ascii="仿宋_GB2312" w:hAnsi="仿宋_GB2312" w:eastAsia="仿宋_GB2312" w:cs="仿宋_GB2312"/>
          <w:b w:val="0"/>
          <w:sz w:val="32"/>
        </w:rPr>
        <w:t>调研计划另列专家表，包括江亿、徐伟（建科院总工、大师）、何镜堂、杨旭东、贺克斌。其中徐伟已在8月19日的交流中出现。</w:t>
      </w:r>
    </w:p>
    <w:p>
      <w:pPr>
        <w:spacing w:before="160" w:after="0" w:lineRule="exact" w:line="580"/>
        <w:ind w:firstLine="640"/>
        <w:jc w:val="left"/>
      </w:pPr>
      <w:r>
        <w:rPr>
          <w:rFonts w:ascii="楷体_GB2312" w:hAnsi="楷体_GB2312" w:eastAsia="楷体_GB2312" w:cs="楷体_GB2312"/>
          <w:b w:val="0"/>
          <w:sz w:val="32"/>
        </w:rPr>
        <w:t>（三）资料来源与说明</w:t>
      </w:r>
    </w:p>
    <w:p>
      <w:pPr>
        <w:spacing w:before="0" w:after="0" w:lineRule="exact" w:line="580"/>
        <w:ind w:firstLine="640"/>
        <w:jc w:val="both"/>
      </w:pPr>
      <w:r>
        <w:rPr>
          <w:rFonts w:ascii="仿宋_GB2312" w:hAnsi="仿宋_GB2312" w:eastAsia="仿宋_GB2312" w:cs="仿宋_GB2312"/>
          <w:b w:val="0"/>
          <w:sz w:val="32"/>
        </w:rPr>
        <w:t>本报告的事实性内容来自四类资料。一是建科院2026年8月宣讲材料《零碳园区发展体系与实施路径分析》（中国建筑科学研究院有限公司），以下简称宣讲材料。二是2026年8月19日建科院交流纪要与2026年8月20日中国移动交流纪要。三是中国移动信息港的公开报道。四是《南网总部基地零碳智慧园区项目调研计划》。</w:t>
      </w:r>
    </w:p>
    <w:p>
      <w:pPr>
        <w:spacing w:before="0" w:after="0" w:lineRule="exact" w:line="580"/>
        <w:ind w:firstLine="640"/>
        <w:jc w:val="both"/>
      </w:pPr>
      <w:r>
        <w:rPr>
          <w:rFonts w:ascii="仿宋_GB2312" w:hAnsi="仿宋_GB2312" w:eastAsia="仿宋_GB2312" w:cs="仿宋_GB2312"/>
          <w:b w:val="0"/>
          <w:sz w:val="32"/>
        </w:rPr>
        <w:t>三点说明。第一，宣讲材料与公开报道中的数据均在正文标注出处，未经本次调研核证，不作为本项目的设计输入。第二，清华大学一站尚未开展，相关内容只写拟交流重点与可能的咨询接口，不含任何调研结论。第三，凡资料未涉及的事项，正文标注为稿中未见或径予省略。逐条依据与缺口另见《审查说明》。</w:t>
      </w:r>
    </w:p>
    <w:p>
      <w:pPr>
        <w:spacing w:before="280" w:after="80" w:lineRule="exact" w:line="580"/>
        <w:ind w:firstLine="640"/>
        <w:jc w:val="left"/>
      </w:pPr>
      <w:r>
        <w:rPr>
          <w:rFonts w:ascii="黑体" w:hAnsi="黑体" w:eastAsia="黑体" w:cs="黑体"/>
          <w:b w:val="0"/>
          <w:sz w:val="32"/>
        </w:rPr>
        <w:t>二、三家单位的交流成果</w:t>
      </w:r>
    </w:p>
    <w:p>
      <w:pPr>
        <w:spacing w:before="160" w:after="0" w:lineRule="exact" w:line="580"/>
        <w:ind w:firstLine="640"/>
        <w:jc w:val="left"/>
      </w:pPr>
      <w:r>
        <w:rPr>
          <w:rFonts w:ascii="楷体_GB2312" w:hAnsi="楷体_GB2312" w:eastAsia="楷体_GB2312" w:cs="楷体_GB2312"/>
          <w:b w:val="0"/>
          <w:sz w:val="32"/>
        </w:rPr>
        <w:t>（一）建科院：零碳认证方法与技术路径</w:t>
      </w:r>
    </w:p>
    <w:p>
      <w:pPr>
        <w:spacing w:before="0" w:after="0" w:lineRule="exact" w:line="580"/>
        <w:ind w:firstLine="640"/>
        <w:jc w:val="both"/>
      </w:pPr>
      <w:r>
        <w:rPr>
          <w:rFonts w:ascii="仿宋_GB2312" w:hAnsi="仿宋_GB2312" w:eastAsia="仿宋_GB2312" w:cs="仿宋_GB2312"/>
          <w:b w:val="0"/>
          <w:sz w:val="32"/>
        </w:rPr>
        <w:t>建科院一方的价值集中在“怎样才被认定为零碳”这件事上，即评价体系的选择、指标台阶的设定，以及案例中已经跑通的技术组合。</w:t>
      </w:r>
    </w:p>
    <w:p>
      <w:pPr>
        <w:spacing w:before="120" w:after="0" w:lineRule="exact" w:line="580"/>
        <w:ind w:firstLine="640"/>
        <w:jc w:val="left"/>
      </w:pPr>
      <w:r>
        <w:rPr>
          <w:rFonts w:ascii="仿宋_GB2312" w:hAnsi="仿宋_GB2312" w:eastAsia="仿宋_GB2312" w:cs="仿宋_GB2312"/>
          <w:b/>
          <w:sz w:val="32"/>
        </w:rPr>
        <w:t>1. 三类零碳评价体系的分野</w:t>
      </w:r>
    </w:p>
    <w:p>
      <w:pPr>
        <w:spacing w:before="0" w:after="0" w:lineRule="exact" w:line="580"/>
        <w:ind w:firstLine="640"/>
        <w:jc w:val="both"/>
      </w:pPr>
      <w:r>
        <w:rPr>
          <w:rFonts w:ascii="仿宋_GB2312" w:hAnsi="仿宋_GB2312" w:eastAsia="仿宋_GB2312" w:cs="仿宋_GB2312"/>
          <w:b w:val="0"/>
          <w:sz w:val="32"/>
        </w:rPr>
        <w:t>据宣讲材料，当前国内零碳相关的评价要求分属三个部门口径，对象、范围和严格程度并不相同，口径选错会直接影响后续的指标设定与申报路径。</w:t>
      </w:r>
    </w:p>
    <w:p>
      <w:pPr>
        <w:spacing w:before="0" w:after="0" w:lineRule="exact" w:line="580"/>
        <w:ind w:firstLine="640"/>
        <w:jc w:val="both"/>
      </w:pPr>
      <w:r>
        <w:rPr>
          <w:rFonts w:ascii="仿宋_GB2312" w:hAnsi="仿宋_GB2312" w:eastAsia="仿宋_GB2312" w:cs="仿宋_GB2312"/>
          <w:b w:val="0"/>
          <w:sz w:val="32"/>
        </w:rPr>
        <w:t>一是发改委国家级零碳园区通知。面向全国工业园区，覆盖全场景与产业链，创建主体为省级及以上开发区或园中园，指标要求最严。宣讲材料列出八大任务，即用能结构转型、基础设施、节能降碳、产业结构、资源节约、先进技术、能碳管理、改革创新。</w:t>
      </w:r>
    </w:p>
    <w:p>
      <w:pPr>
        <w:spacing w:before="0" w:after="0" w:lineRule="exact" w:line="580"/>
        <w:ind w:firstLine="640"/>
        <w:jc w:val="both"/>
      </w:pPr>
      <w:r>
        <w:rPr>
          <w:rFonts w:ascii="仿宋_GB2312" w:hAnsi="仿宋_GB2312" w:eastAsia="仿宋_GB2312" w:cs="仿宋_GB2312"/>
          <w:b w:val="0"/>
          <w:sz w:val="32"/>
        </w:rPr>
        <w:t>二是工信部零碳工厂建设工作指导意见。聚焦生产全流程，宣讲材料明确其暂无全国统一的专项判定标准。</w:t>
      </w:r>
    </w:p>
    <w:p>
      <w:pPr>
        <w:spacing w:before="0" w:after="0" w:lineRule="exact" w:line="580"/>
        <w:ind w:firstLine="640"/>
        <w:jc w:val="both"/>
      </w:pPr>
      <w:r>
        <w:rPr>
          <w:rFonts w:ascii="仿宋_GB2312" w:hAnsi="仿宋_GB2312" w:eastAsia="仿宋_GB2312" w:cs="仿宋_GB2312"/>
          <w:b w:val="0"/>
          <w:sz w:val="32"/>
        </w:rPr>
        <w:t>三是住建部的零碳建筑与零碳区域体系。聚焦建筑与能源，适用于新建与既有改造两类情形。此处“零碳区域”系宣讲材料转述住建部体系时的原词，仅用于说明该体系的对象划分。</w:t>
      </w:r>
    </w:p>
    <w:p>
      <w:pPr>
        <w:spacing w:before="120" w:after="0" w:lineRule="exact" w:line="580"/>
        <w:ind w:firstLine="640"/>
        <w:jc w:val="left"/>
      </w:pPr>
      <w:r>
        <w:rPr>
          <w:rFonts w:ascii="仿宋_GB2312" w:hAnsi="仿宋_GB2312" w:eastAsia="仿宋_GB2312" w:cs="仿宋_GB2312"/>
          <w:b/>
          <w:sz w:val="32"/>
        </w:rPr>
        <w:t>2. 《零碳建筑技术标准》的降碳率台阶</w:t>
      </w:r>
    </w:p>
    <w:p>
      <w:pPr>
        <w:spacing w:before="0" w:after="0" w:lineRule="exact" w:line="580"/>
        <w:ind w:firstLine="640"/>
        <w:jc w:val="both"/>
      </w:pPr>
      <w:r>
        <w:rPr>
          <w:rFonts w:ascii="仿宋_GB2312" w:hAnsi="仿宋_GB2312" w:eastAsia="仿宋_GB2312" w:cs="仿宋_GB2312"/>
          <w:b w:val="0"/>
          <w:sz w:val="32"/>
        </w:rPr>
        <w:t>据宣讲材料，建科院等主编的国家标准《零碳建筑技术标准》，认证基准为GB 55015-2021，对园区和建筑两个层级分别设定三级台阶。</w:t>
      </w:r>
    </w:p>
    <w:p>
      <w:pPr>
        <w:spacing w:before="0" w:after="0" w:lineRule="exact" w:line="580"/>
        <w:ind w:firstLine="640"/>
        <w:jc w:val="both"/>
      </w:pPr>
      <w:r>
        <w:rPr>
          <w:rFonts w:ascii="仿宋_GB2312" w:hAnsi="仿宋_GB2312" w:eastAsia="仿宋_GB2312" w:cs="仿宋_GB2312"/>
          <w:b w:val="0"/>
          <w:sz w:val="32"/>
        </w:rPr>
        <w:t>园区层级，低碳要求降碳率不低于30%；近零碳要求不低于60%；零碳要求年碳排放总量小于等于零，且碳抵消量不超过基准区域碳排放量的30%。</w:t>
      </w:r>
    </w:p>
    <w:p>
      <w:pPr>
        <w:spacing w:before="0" w:after="0" w:lineRule="exact" w:line="580"/>
        <w:ind w:firstLine="640"/>
        <w:jc w:val="both"/>
      </w:pPr>
      <w:r>
        <w:rPr>
          <w:rFonts w:ascii="仿宋_GB2312" w:hAnsi="仿宋_GB2312" w:eastAsia="仿宋_GB2312" w:cs="仿宋_GB2312"/>
          <w:b w:val="0"/>
          <w:sz w:val="32"/>
        </w:rPr>
        <w:t>建筑层级，低碳要求降碳30%以上；近零碳要求45%以上；零碳要求净碳排放小于等于零。</w:t>
      </w:r>
    </w:p>
    <w:p>
      <w:pPr>
        <w:spacing w:before="0" w:after="0" w:lineRule="exact" w:line="580"/>
        <w:ind w:firstLine="640"/>
        <w:jc w:val="both"/>
      </w:pPr>
      <w:r>
        <w:rPr>
          <w:rFonts w:ascii="仿宋_GB2312" w:hAnsi="仿宋_GB2312" w:eastAsia="仿宋_GB2312" w:cs="仿宋_GB2312"/>
          <w:b w:val="0"/>
          <w:sz w:val="32"/>
        </w:rPr>
        <w:t>需注明，该标准的稿件状态在宣讲材料中有两种表述，标准介绍处写报批稿，雄安案例的测评依据处写征求意见稿。本报告照录两种表述并标明不一致，不代为判断其现行效力；正式发布与实施时间稿中未见。</w:t>
      </w:r>
    </w:p>
    <w:p>
      <w:pPr>
        <w:spacing w:before="120" w:after="0" w:lineRule="exact" w:line="580"/>
        <w:ind w:firstLine="640"/>
        <w:jc w:val="left"/>
      </w:pPr>
      <w:r>
        <w:rPr>
          <w:rFonts w:ascii="仿宋_GB2312" w:hAnsi="仿宋_GB2312" w:eastAsia="仿宋_GB2312" w:cs="仿宋_GB2312"/>
          <w:b/>
          <w:sz w:val="32"/>
        </w:rPr>
        <w:t>3. 案例中可借鉴的认证与技术路径</w:t>
      </w:r>
    </w:p>
    <w:p>
      <w:pPr>
        <w:spacing w:before="0" w:after="0" w:lineRule="exact" w:line="580"/>
        <w:ind w:firstLine="640"/>
        <w:jc w:val="both"/>
      </w:pPr>
      <w:r>
        <w:rPr>
          <w:rFonts w:ascii="仿宋_GB2312" w:hAnsi="仿宋_GB2312" w:eastAsia="仿宋_GB2312" w:cs="仿宋_GB2312"/>
          <w:b w:val="0"/>
          <w:sz w:val="32"/>
        </w:rPr>
        <w:t>宣讲材料给出四个案例，以下数据均据宣讲材料，未经本次核证。</w:t>
      </w:r>
    </w:p>
    <w:p>
      <w:pPr>
        <w:spacing w:before="0" w:after="0" w:lineRule="exact" w:line="580"/>
        <w:ind w:firstLine="640"/>
        <w:jc w:val="both"/>
      </w:pPr>
      <w:r>
        <w:rPr>
          <w:rFonts w:ascii="仿宋_GB2312" w:hAnsi="仿宋_GB2312" w:eastAsia="仿宋_GB2312" w:cs="仿宋_GB2312"/>
          <w:b w:val="0"/>
          <w:sz w:val="32"/>
        </w:rPr>
        <w:t>国网能源互联网产业雄安创新中心智慧零碳园区，位于雄安启动区互联网产业园，总建筑面积19.77万平方米，由4栋产业科研楼和1栋会议展示中心组成。宣讲材料称该项目依据《零碳建筑技术标准（征求意见稿）》测评，成为全国首个以国标评定的零碳园区，由徐伟大师授牌。其技术组合分三层：本体层面，窗墙比控制在40%以内，采用STP真空绝热板，换气次数不大于0.6次每小时，本体节能率51.27%；能源层面，地源热泵SEER为5.5至5.6，光伏布置于屋面近10000平方米并加露台1000平方米光伏地砖，装机约2兆瓦，年发电220万千瓦时，约占年用电量的20%；配电层面，采用直流供电、V2G以及多端低压柔性直流环网。</w:t>
      </w:r>
    </w:p>
    <w:p>
      <w:pPr>
        <w:spacing w:before="0" w:after="0" w:lineRule="exact" w:line="580"/>
        <w:ind w:firstLine="640"/>
        <w:jc w:val="both"/>
      </w:pPr>
      <w:r>
        <w:rPr>
          <w:rFonts w:ascii="仿宋_GB2312" w:hAnsi="仿宋_GB2312" w:eastAsia="仿宋_GB2312" w:cs="仿宋_GB2312"/>
          <w:b w:val="0"/>
          <w:sz w:val="32"/>
        </w:rPr>
        <w:t>雄安项目的碳账尤其值得对照。据宣讲材料，基准碳排放10768吨，其中围护与暖通减排3370吨，照明等减排1386吨，运营减排541吨，屋顶光伏减排1367吨，剩余4104吨通过电碳交易解决。也就是说，在本体节能率超过五成、屋面光伏基本铺满的条件下，仍有约38%的碳需要靠交易抵消（该比例系本报告依宣讲材料所载数据计算）。这一结构提示，园区级零碳的最后一段路径不在技术侧，而在抵消机制的安排上，而据宣讲材料，住建部体系对园区零碳的抵消比例设有不超过30%的限制。</w:t>
      </w:r>
    </w:p>
    <w:p>
      <w:pPr>
        <w:spacing w:before="0" w:after="0" w:lineRule="exact" w:line="580"/>
        <w:ind w:firstLine="640"/>
        <w:jc w:val="both"/>
      </w:pPr>
      <w:r>
        <w:rPr>
          <w:rFonts w:ascii="仿宋_GB2312" w:hAnsi="仿宋_GB2312" w:eastAsia="仿宋_GB2312" w:cs="仿宋_GB2312"/>
          <w:b w:val="0"/>
          <w:sz w:val="32"/>
        </w:rPr>
        <w:t>中建科技产业园位于武汉光谷，占地650亩，总建筑面积108万平方米。宣讲材料称其中的中建三局总部办公楼为国内首个大型既有建筑零碳建筑改造示范。园区总碳排放25663461.99千克二氧化碳每年，降碳30.41%，建筑碳排放占比58%，建筑碳减排贡献49.8%。这组数据说明，在以建筑为主体的园区里，建筑本体与机电系统既是碳排放的主体，也是减排贡献的主体。</w:t>
      </w:r>
    </w:p>
    <w:p>
      <w:pPr>
        <w:spacing w:before="0" w:after="0" w:lineRule="exact" w:line="580"/>
        <w:ind w:firstLine="640"/>
        <w:jc w:val="both"/>
      </w:pPr>
      <w:r>
        <w:rPr>
          <w:rFonts w:ascii="仿宋_GB2312" w:hAnsi="仿宋_GB2312" w:eastAsia="仿宋_GB2312" w:cs="仿宋_GB2312"/>
          <w:b w:val="0"/>
          <w:sz w:val="32"/>
        </w:rPr>
        <w:t>博鳌近零碳示范区的理念表述为“环境自然、区域零碳、资源循环、智慧运营”。据宣讲材料，其年绿电生产约3200万度，区内需求约1700万度，绿电产出接近区内需求的两倍。</w:t>
      </w:r>
    </w:p>
    <w:p>
      <w:pPr>
        <w:spacing w:before="0" w:after="0" w:lineRule="exact" w:line="580"/>
        <w:ind w:firstLine="640"/>
        <w:jc w:val="both"/>
      </w:pPr>
      <w:r>
        <w:rPr>
          <w:rFonts w:ascii="仿宋_GB2312" w:hAnsi="仿宋_GB2312" w:eastAsia="仿宋_GB2312" w:cs="仿宋_GB2312"/>
          <w:b w:val="0"/>
          <w:sz w:val="32"/>
        </w:rPr>
        <w:t>北京建院C座科研楼，宣讲材料称其为国内首个既有建筑低碳改造，综合节能率61%。</w:t>
      </w:r>
    </w:p>
    <w:p>
      <w:pPr>
        <w:spacing w:before="120" w:after="0" w:lineRule="exact" w:line="580"/>
        <w:ind w:firstLine="640"/>
        <w:jc w:val="left"/>
      </w:pPr>
      <w:r>
        <w:rPr>
          <w:rFonts w:ascii="仿宋_GB2312" w:hAnsi="仿宋_GB2312" w:eastAsia="仿宋_GB2312" w:cs="仿宋_GB2312"/>
          <w:b/>
          <w:sz w:val="32"/>
        </w:rPr>
        <w:t>4. 技术收束与宣讲中提出的合作方向</w:t>
      </w:r>
    </w:p>
    <w:p>
      <w:pPr>
        <w:spacing w:before="0" w:after="0" w:lineRule="exact" w:line="580"/>
        <w:ind w:firstLine="640"/>
        <w:jc w:val="both"/>
      </w:pPr>
      <w:r>
        <w:rPr>
          <w:rFonts w:ascii="仿宋_GB2312" w:hAnsi="仿宋_GB2312" w:eastAsia="仿宋_GB2312" w:cs="仿宋_GB2312"/>
          <w:b w:val="0"/>
          <w:sz w:val="32"/>
        </w:rPr>
        <w:t>宣讲材料把上述实践收束为四个技术抓手，即建筑本体节能，园区源网荷储，负荷柔性聚合与电网互动，能碳数字底座。</w:t>
      </w:r>
    </w:p>
    <w:p>
      <w:pPr>
        <w:spacing w:before="0" w:after="0" w:lineRule="exact" w:line="580"/>
        <w:ind w:firstLine="640"/>
        <w:jc w:val="both"/>
      </w:pPr>
      <w:r>
        <w:rPr>
          <w:rFonts w:ascii="仿宋_GB2312" w:hAnsi="仿宋_GB2312" w:eastAsia="仿宋_GB2312" w:cs="仿宋_GB2312"/>
          <w:b w:val="0"/>
          <w:sz w:val="32"/>
        </w:rPr>
        <w:t>在此基础上，宣讲材料提出“立足南方电网数字电网技术优势，发挥中国建研院在零碳建筑的主导地位，打造全国首个融合数字智慧电网与零碳建筑运营的园区”。这是宣讲中提出的合作方向，属对方意向表述，稿中未见任何合作协议、立项或签约安排。</w:t>
      </w:r>
    </w:p>
    <w:p>
      <w:pPr>
        <w:spacing w:before="120" w:after="0" w:lineRule="exact" w:line="580"/>
        <w:ind w:firstLine="640"/>
        <w:jc w:val="left"/>
      </w:pPr>
      <w:r>
        <w:rPr>
          <w:rFonts w:ascii="仿宋_GB2312" w:hAnsi="仿宋_GB2312" w:eastAsia="仿宋_GB2312" w:cs="仿宋_GB2312"/>
          <w:b/>
          <w:sz w:val="32"/>
        </w:rPr>
        <w:t>5. 项目层面的路径意见与讨论项</w:t>
      </w:r>
    </w:p>
    <w:p>
      <w:pPr>
        <w:spacing w:before="0" w:after="0" w:lineRule="exact" w:line="580"/>
        <w:ind w:firstLine="640"/>
        <w:jc w:val="both"/>
      </w:pPr>
      <w:r>
        <w:rPr>
          <w:rFonts w:ascii="仿宋_GB2312" w:hAnsi="仿宋_GB2312" w:eastAsia="仿宋_GB2312" w:cs="仿宋_GB2312"/>
          <w:b w:val="0"/>
          <w:sz w:val="32"/>
        </w:rPr>
        <w:t>2026年8月19日的交流把话题落到本项目。据交流纪要，园区定位为国内一流的央企总部，要求在零碳基础上拓展至健康、智慧、人文等综合维度，打造具有示范性的标杆项目。</w:t>
      </w:r>
    </w:p>
    <w:p>
      <w:pPr>
        <w:spacing w:before="0" w:after="0" w:lineRule="exact" w:line="580"/>
        <w:ind w:firstLine="640"/>
        <w:jc w:val="both"/>
      </w:pPr>
      <w:r>
        <w:rPr>
          <w:rFonts w:ascii="仿宋_GB2312" w:hAnsi="仿宋_GB2312" w:eastAsia="仿宋_GB2312" w:cs="仿宋_GB2312"/>
          <w:b w:val="0"/>
          <w:sz w:val="32"/>
        </w:rPr>
        <w:t>实施路径方面，会上建议采用概念性整体方案先行，由高层领导和权威专家（纪要原文括注为“大师”）进行论证和认可，形成共识后再进行详细的全过程咨询和专项设计。会上还讨论了采用全过程咨询模式的可能性，即咨询方负责从规划、方案到设计、建设的全流程服务。纪要用语为“讨论了可能性”，稿中未见模式选定结论。</w:t>
      </w:r>
    </w:p>
    <w:p>
      <w:pPr>
        <w:spacing w:before="0" w:after="0" w:lineRule="exact" w:line="580"/>
        <w:ind w:firstLine="640"/>
        <w:jc w:val="both"/>
      </w:pPr>
      <w:r>
        <w:rPr>
          <w:rFonts w:ascii="仿宋_GB2312" w:hAnsi="仿宋_GB2312" w:eastAsia="仿宋_GB2312" w:cs="仿宋_GB2312"/>
          <w:b w:val="0"/>
          <w:sz w:val="32"/>
        </w:rPr>
        <w:t>数据机房方面，会上建议将总部的数据机房作为零碳项目的突破口，理由是其能耗巨大，并提出可参考工信部零碳工厂的标准体系，争取将其打造成全国首个零碳机房。需明确，“全国首个零碳机房”是会内提出的争取方向，稿中未见申报动作、受理主体、评价机构或确认结论；“能耗巨大”为会上的定性判断，稿中未见任何能耗数据。</w:t>
      </w:r>
    </w:p>
    <w:p>
      <w:pPr>
        <w:spacing w:before="0" w:after="0" w:lineRule="exact" w:line="580"/>
        <w:ind w:firstLine="640"/>
        <w:jc w:val="both"/>
      </w:pPr>
      <w:r>
        <w:rPr>
          <w:rFonts w:ascii="仿宋_GB2312" w:hAnsi="仿宋_GB2312" w:eastAsia="仿宋_GB2312" w:cs="仿宋_GB2312"/>
          <w:b w:val="0"/>
          <w:sz w:val="32"/>
        </w:rPr>
        <w:t>分布式能源方面，会上提出园区内有较多未利用的屋顶和空间，可考虑布局分布式光伏、微风发电等设施，形成“星星点点”的绿色能源展示。可用面积与装机规模稿中未见。</w:t>
      </w:r>
    </w:p>
    <w:p>
      <w:pPr>
        <w:spacing w:before="0" w:after="0" w:lineRule="exact" w:line="580"/>
        <w:ind w:firstLine="640"/>
        <w:jc w:val="both"/>
      </w:pPr>
      <w:r>
        <w:rPr>
          <w:rFonts w:ascii="仿宋_GB2312" w:hAnsi="仿宋_GB2312" w:eastAsia="仿宋_GB2312" w:cs="仿宋_GB2312"/>
          <w:b w:val="0"/>
          <w:sz w:val="32"/>
        </w:rPr>
        <w:t>外部合作与软课题方面，会上讨论了与外部咨询机构合作的可能性，如与清华大学等高校合作，引入先进的理念和技术。围绕“好房子”这一软课题，会上说明存在外部咨询机构（如能源院）内部审批受阻的情况，倾向由内部团队自主开展调研和报告撰写；纪要中关于该课题的内容仅此一句，研究范围与交付形式稿中未见。</w:t>
      </w:r>
    </w:p>
    <w:p>
      <w:pPr>
        <w:spacing w:before="160" w:after="0" w:lineRule="exact" w:line="580"/>
        <w:ind w:firstLine="640"/>
        <w:jc w:val="left"/>
      </w:pPr>
      <w:r>
        <w:rPr>
          <w:rFonts w:ascii="楷体_GB2312" w:hAnsi="楷体_GB2312" w:eastAsia="楷体_GB2312" w:cs="楷体_GB2312"/>
          <w:b w:val="0"/>
          <w:sz w:val="32"/>
        </w:rPr>
        <w:t>（二）中国移动：智慧化、智能化办公与园区运营</w:t>
      </w:r>
    </w:p>
    <w:p>
      <w:pPr>
        <w:spacing w:before="0" w:after="0" w:lineRule="exact" w:line="580"/>
        <w:ind w:firstLine="640"/>
        <w:jc w:val="both"/>
      </w:pPr>
      <w:r>
        <w:rPr>
          <w:rFonts w:ascii="仿宋_GB2312" w:hAnsi="仿宋_GB2312" w:eastAsia="仿宋_GB2312" w:cs="仿宋_GB2312"/>
          <w:b w:val="0"/>
          <w:sz w:val="32"/>
        </w:rPr>
        <w:t>中国移动一方的价值集中在“园区怎样被用起来”这件事上，即办公场景与用能设备的联动、既有园区的智能化改造，以及支撑这些功能的平台与算力安排。</w:t>
      </w:r>
    </w:p>
    <w:p>
      <w:pPr>
        <w:spacing w:before="120" w:after="0" w:lineRule="exact" w:line="580"/>
        <w:ind w:firstLine="640"/>
        <w:jc w:val="left"/>
      </w:pPr>
      <w:r>
        <w:rPr>
          <w:rFonts w:ascii="仿宋_GB2312" w:hAnsi="仿宋_GB2312" w:eastAsia="仿宋_GB2312" w:cs="仿宋_GB2312"/>
          <w:b/>
          <w:sz w:val="32"/>
        </w:rPr>
        <w:t>1. 办公场景与用能设备的联动</w:t>
      </w:r>
    </w:p>
    <w:p>
      <w:pPr>
        <w:spacing w:before="0" w:after="0" w:lineRule="exact" w:line="580"/>
        <w:ind w:firstLine="640"/>
        <w:jc w:val="both"/>
      </w:pPr>
      <w:r>
        <w:rPr>
          <w:rFonts w:ascii="仿宋_GB2312" w:hAnsi="仿宋_GB2312" w:eastAsia="仿宋_GB2312" w:cs="仿宋_GB2312"/>
          <w:b w:val="0"/>
          <w:sz w:val="32"/>
        </w:rPr>
        <w:t>据新华网2025年11月26日《中移园建：中国移动信息港园区绿色智能技术应用案例》，信息港把智能照明接入智慧园区平台，并把照明、空调风机盘管与会议室预约系统联动，即由会议预约这一办公行为直接驱动照明与空调的启停。同一报道提到，园区在G61楼部署智能空开插座，并把插座、空调、照明接入智慧用电监测。</w:t>
      </w:r>
    </w:p>
    <w:p>
      <w:pPr>
        <w:spacing w:before="0" w:after="0" w:lineRule="exact" w:line="580"/>
        <w:ind w:firstLine="640"/>
        <w:jc w:val="both"/>
      </w:pPr>
      <w:r>
        <w:rPr>
          <w:rFonts w:ascii="仿宋_GB2312" w:hAnsi="仿宋_GB2312" w:eastAsia="仿宋_GB2312" w:cs="仿宋_GB2312"/>
          <w:b w:val="0"/>
          <w:sz w:val="32"/>
        </w:rPr>
        <w:t>这一层实践的意义在于路径本身。它不是把节能做成一次性的设备改造，而是把办公行为数据接进用能控制回路，靠“该用才用”压减无效能耗。对以办公为主体的总部园区，这类措施的可复制性明显高于工业场景的节能技改。</w:t>
      </w:r>
    </w:p>
    <w:p>
      <w:pPr>
        <w:spacing w:before="120" w:after="0" w:lineRule="exact" w:line="580"/>
        <w:ind w:firstLine="640"/>
        <w:jc w:val="left"/>
      </w:pPr>
      <w:r>
        <w:rPr>
          <w:rFonts w:ascii="仿宋_GB2312" w:hAnsi="仿宋_GB2312" w:eastAsia="仿宋_GB2312" w:cs="仿宋_GB2312"/>
          <w:b/>
          <w:sz w:val="32"/>
        </w:rPr>
        <w:t>2. 数据中心余热利用与屋面光伏</w:t>
      </w:r>
    </w:p>
    <w:p>
      <w:pPr>
        <w:spacing w:before="0" w:after="0" w:lineRule="exact" w:line="580"/>
        <w:ind w:firstLine="640"/>
        <w:jc w:val="both"/>
      </w:pPr>
      <w:r>
        <w:rPr>
          <w:rFonts w:ascii="仿宋_GB2312" w:hAnsi="仿宋_GB2312" w:eastAsia="仿宋_GB2312" w:cs="仿宋_GB2312"/>
          <w:b w:val="0"/>
          <w:sz w:val="32"/>
        </w:rPr>
        <w:t>据前述新华网报道，信息港把四号地数据中心的余热回收，经热泵供五号地、六号地办公区使用。这一做法把数据中心从纯用能负荷转为办公区的热源，对同时含办公与数据机房的复合型园区尤为对位。</w:t>
      </w:r>
    </w:p>
    <w:p>
      <w:pPr>
        <w:spacing w:before="0" w:after="0" w:lineRule="exact" w:line="580"/>
        <w:ind w:firstLine="640"/>
        <w:jc w:val="both"/>
      </w:pPr>
      <w:r>
        <w:rPr>
          <w:rFonts w:ascii="仿宋_GB2312" w:hAnsi="仿宋_GB2312" w:eastAsia="仿宋_GB2312" w:cs="仿宋_GB2312"/>
          <w:b w:val="0"/>
          <w:sz w:val="32"/>
        </w:rPr>
        <w:t>据中国网2025年7月4日关于中移园建信息港绿色智能升级的报道，相关措施预计年减少碳排放超623吨（同一报道另有约623.1吨的表述），年节约燃气约30万立方米，年节电约34.86万度。以上为公开报道口径，非本次调研核证结果。</w:t>
      </w:r>
    </w:p>
    <w:p>
      <w:pPr>
        <w:spacing w:before="0" w:after="0" w:lineRule="exact" w:line="580"/>
        <w:ind w:firstLine="640"/>
        <w:jc w:val="both"/>
      </w:pPr>
      <w:r>
        <w:rPr>
          <w:rFonts w:ascii="仿宋_GB2312" w:hAnsi="仿宋_GB2312" w:eastAsia="仿宋_GB2312" w:cs="仿宋_GB2312"/>
          <w:b w:val="0"/>
          <w:sz w:val="32"/>
        </w:rPr>
        <w:t>据新能源网2026年6月5日转载中移园区的信息，2026年5月27日，国际信息港数据中心G13号楼屋面分布式光伏并网，利用屋顶3970平方米，安装450Wp组件1098块，交流侧装机480千瓦，年发电约50万度，报道称每年可减少二氧化碳约280吨，采用“自发自用、余电上网”方式。</w:t>
      </w:r>
    </w:p>
    <w:p>
      <w:pPr>
        <w:spacing w:before="0" w:after="0" w:lineRule="exact" w:line="580"/>
        <w:ind w:firstLine="640"/>
        <w:jc w:val="both"/>
      </w:pPr>
      <w:r>
        <w:rPr>
          <w:rFonts w:ascii="仿宋_GB2312" w:hAnsi="仿宋_GB2312" w:eastAsia="仿宋_GB2312" w:cs="仿宋_GB2312"/>
          <w:b w:val="0"/>
          <w:sz w:val="32"/>
        </w:rPr>
        <w:t>园区地点的公开表述为北京市昌平区，位于中关村国家工程技术创新基地（未来科学城），北六环与京藏（八达岭）高速附近。另有第三方机房类网站给出1322亩、130万平方米等规模数据，因来源较弱且稿中未见官方确认，本报告不作为正式数据采用，仅在此说明其存在。</w:t>
      </w:r>
    </w:p>
    <w:p>
      <w:pPr>
        <w:spacing w:before="0" w:after="0" w:lineRule="exact" w:line="580"/>
        <w:ind w:firstLine="640"/>
        <w:jc w:val="both"/>
      </w:pPr>
      <w:r>
        <w:rPr>
          <w:rFonts w:ascii="仿宋_GB2312" w:hAnsi="仿宋_GB2312" w:eastAsia="仿宋_GB2312" w:cs="仿宋_GB2312"/>
          <w:b w:val="0"/>
          <w:sz w:val="32"/>
        </w:rPr>
        <w:t>需说明，上述内容均来自公开报道，不是本次踏勘实测。调研计划对北京移动信息港一站列出的重点为既有园区节能改造、照明与空调联动、余热利用、智慧电力监控、数据中心节能及运行绩效核证，与公开报道所载方向一致，可在实地环节据此核实。</w:t>
      </w:r>
    </w:p>
    <w:p>
      <w:pPr>
        <w:spacing w:before="120" w:after="0" w:lineRule="exact" w:line="580"/>
        <w:ind w:firstLine="640"/>
        <w:jc w:val="left"/>
      </w:pPr>
      <w:r>
        <w:rPr>
          <w:rFonts w:ascii="仿宋_GB2312" w:hAnsi="仿宋_GB2312" w:eastAsia="仿宋_GB2312" w:cs="仿宋_GB2312"/>
          <w:b/>
          <w:sz w:val="32"/>
        </w:rPr>
        <w:t>3. 8月20日交流：认证口径与系统部署</w:t>
      </w:r>
    </w:p>
    <w:p>
      <w:pPr>
        <w:spacing w:before="0" w:after="0" w:lineRule="exact" w:line="580"/>
        <w:ind w:firstLine="640"/>
        <w:jc w:val="both"/>
      </w:pPr>
      <w:r>
        <w:rPr>
          <w:rFonts w:ascii="仿宋_GB2312" w:hAnsi="仿宋_GB2312" w:eastAsia="仿宋_GB2312" w:cs="仿宋_GB2312"/>
          <w:b w:val="0"/>
          <w:sz w:val="32"/>
        </w:rPr>
        <w:t>据2026年8月20日交流纪要，碳中和认证并非企业自定，而是严格依据国家给出的数值口径进行考核与颁发。此处需注意纪要内部用词不一，开篇表述为“国家引导值与基准值”，小结表述为“国家给出的基准值和引领值”，两处“基准值”一致，而“引导值”与“引领值”并存。本报告保留两种原词并标明不一致，不择一改写，亦不代为对应到任何标准名称或文号。</w:t>
      </w:r>
    </w:p>
    <w:p>
      <w:pPr>
        <w:spacing w:before="0" w:after="0" w:lineRule="exact" w:line="580"/>
        <w:ind w:firstLine="640"/>
        <w:jc w:val="both"/>
      </w:pPr>
      <w:r>
        <w:rPr>
          <w:rFonts w:ascii="仿宋_GB2312" w:hAnsi="仿宋_GB2312" w:eastAsia="仿宋_GB2312" w:cs="仿宋_GB2312"/>
          <w:b w:val="0"/>
          <w:sz w:val="32"/>
        </w:rPr>
        <w:t>实现碳中和的手段，纪要列举三项：一是绿电消耗，通过采购绿电抵消部分碳排放；二是楼宇改造，对现有建筑进行节能改造以降低能耗；三是光伏应用，部署光伏发电设施以提供清洁能源。</w:t>
      </w:r>
    </w:p>
    <w:p>
      <w:pPr>
        <w:spacing w:before="0" w:after="0" w:lineRule="exact" w:line="580"/>
        <w:ind w:firstLine="640"/>
        <w:jc w:val="both"/>
      </w:pPr>
      <w:r>
        <w:rPr>
          <w:rFonts w:ascii="仿宋_GB2312" w:hAnsi="仿宋_GB2312" w:eastAsia="仿宋_GB2312" w:cs="仿宋_GB2312"/>
          <w:b w:val="0"/>
          <w:sz w:val="32"/>
        </w:rPr>
        <w:t>系统方面，纪要表述整套系统依赖物联网系统与算法系统，并由服务器提供核心算力支撑。部署上，目前主流模式是采用中国移动云集中部署，用户通过开通账号直接使用系统功能；针对有个性化需求的客户，支持多户独立部署于自有云或独立服务器上。面向南网等大客户，支持将AI大模型在本地环境进行私有化部署，但本地部署后必须根据客户自身的设备实际情况对模型进行重新训练与适配。</w:t>
      </w:r>
    </w:p>
    <w:p>
      <w:pPr>
        <w:spacing w:before="0" w:after="0" w:lineRule="exact" w:line="580"/>
        <w:ind w:firstLine="640"/>
        <w:jc w:val="both"/>
      </w:pPr>
      <w:r>
        <w:rPr>
          <w:rFonts w:ascii="仿宋_GB2312" w:hAnsi="仿宋_GB2312" w:eastAsia="仿宋_GB2312" w:cs="仿宋_GB2312"/>
          <w:b w:val="0"/>
          <w:sz w:val="32"/>
        </w:rPr>
        <w:t>该场交流所载内容集中于技术与方案层面，稿中未见商务条件、报价、合作意向或任何一方的承诺。</w:t>
      </w:r>
    </w:p>
    <w:p>
      <w:pPr>
        <w:spacing w:before="160" w:after="0" w:lineRule="exact" w:line="580"/>
        <w:ind w:firstLine="640"/>
        <w:jc w:val="left"/>
      </w:pPr>
      <w:r>
        <w:rPr>
          <w:rFonts w:ascii="楷体_GB2312" w:hAnsi="楷体_GB2312" w:eastAsia="楷体_GB2312" w:cs="楷体_GB2312"/>
          <w:b w:val="0"/>
          <w:sz w:val="32"/>
        </w:rPr>
        <w:t>（三）清华大学：拟交流重点与潜在咨询接口（尚未开展）</w:t>
      </w:r>
    </w:p>
    <w:p>
      <w:pPr>
        <w:spacing w:before="0" w:after="0" w:lineRule="exact" w:line="580"/>
        <w:ind w:firstLine="640"/>
        <w:jc w:val="both"/>
      </w:pPr>
      <w:r>
        <w:rPr>
          <w:rFonts w:ascii="仿宋_GB2312" w:hAnsi="仿宋_GB2312" w:eastAsia="仿宋_GB2312" w:cs="仿宋_GB2312"/>
          <w:b w:val="0"/>
          <w:sz w:val="32"/>
        </w:rPr>
        <w:t>清华大学一站尚未开展，行程安排在2026年8月21日。本节只记录计划内容与可能的对接方向，不含任何调研结论、座谈意见或合作意向。以下内容均属拟定事项，待交流后据实补记。</w:t>
      </w:r>
    </w:p>
    <w:p>
      <w:pPr>
        <w:spacing w:before="0" w:after="0" w:lineRule="exact" w:line="580"/>
        <w:ind w:firstLine="640"/>
        <w:jc w:val="both"/>
      </w:pPr>
      <w:r>
        <w:rPr>
          <w:rFonts w:ascii="仿宋_GB2312" w:hAnsi="仿宋_GB2312" w:eastAsia="仿宋_GB2312" w:cs="仿宋_GB2312"/>
          <w:b w:val="0"/>
          <w:sz w:val="32"/>
        </w:rPr>
        <w:t>拟交流形式与对象。按调研计划，拟参观清华大学超低能耗示范楼，并开展院士座谈；拟座谈对象为江亿、贺克斌，调研计划标注为待确认；杨旭东列入调研计划的专家表。</w:t>
      </w:r>
    </w:p>
    <w:p>
      <w:pPr>
        <w:spacing w:before="0" w:after="0" w:lineRule="exact" w:line="580"/>
        <w:ind w:firstLine="640"/>
        <w:jc w:val="both"/>
      </w:pPr>
      <w:r>
        <w:rPr>
          <w:rFonts w:ascii="仿宋_GB2312" w:hAnsi="仿宋_GB2312" w:eastAsia="仿宋_GB2312" w:cs="仿宋_GB2312"/>
          <w:b w:val="0"/>
          <w:sz w:val="32"/>
        </w:rPr>
        <w:t>拟交流重点四项。一是零碳路径，即从本体节能到能源替代再到抵消的整体次序与边界。二是碳核算，即核算范围、基准与数据口径。三是光储直柔，与雄安案例中的直流供电、柔性直流环网属同一技术方向，可就其在总部办公园区的适用条件深入交流。四是产学研合作机制。</w:t>
      </w:r>
    </w:p>
    <w:p>
      <w:pPr>
        <w:spacing w:before="0" w:after="0" w:lineRule="exact" w:line="580"/>
        <w:ind w:firstLine="640"/>
        <w:jc w:val="both"/>
      </w:pPr>
      <w:r>
        <w:rPr>
          <w:rFonts w:ascii="仿宋_GB2312" w:hAnsi="仿宋_GB2312" w:eastAsia="仿宋_GB2312" w:cs="仿宋_GB2312"/>
          <w:b w:val="0"/>
          <w:sz w:val="32"/>
        </w:rPr>
        <w:t>可能的咨询合作接口三处，均待核。第一，概念性整体方案的技术论证。8月19日交流建议由高层领导和权威专家论证认可概念性整体方案，清华方面的院士与专家资源可作为该环节的第三方技术视角；该设想尚未与清华方面沟通。第二，碳核算方法与指标校核。若本项目以住建部体系的降碳率台阶为参照，需要独立的核算方法支撑，清华拟交流重点中的碳核算与之直接对应。第三，光储直柔等技术方向的产学研合作。8月19日交流中曾讨论与清华大学等高校合作的可能性，但合作形式、范围与对接安排稿中未见，任何一方均无承诺记录。</w:t>
      </w:r>
    </w:p>
    <w:p>
      <w:pPr>
        <w:spacing w:before="0" w:after="0" w:lineRule="exact" w:line="580"/>
        <w:ind w:firstLine="640"/>
        <w:jc w:val="both"/>
      </w:pPr>
      <w:r>
        <w:rPr>
          <w:rFonts w:ascii="仿宋_GB2312" w:hAnsi="仿宋_GB2312" w:eastAsia="仿宋_GB2312" w:cs="仿宋_GB2312"/>
          <w:b w:val="0"/>
          <w:sz w:val="32"/>
        </w:rPr>
        <w:t>再次说明，本节全部内容为计划与设想。清华大学一站在本报告成稿时尚未开展，不存在已调研、已座谈或已形成结论的情形。</w:t>
      </w:r>
    </w:p>
    <w:p>
      <w:pPr>
        <w:spacing w:before="280" w:after="80" w:lineRule="exact" w:line="580"/>
        <w:ind w:firstLine="640"/>
        <w:jc w:val="left"/>
      </w:pPr>
      <w:r>
        <w:rPr>
          <w:rFonts w:ascii="黑体" w:hAnsi="黑体" w:eastAsia="黑体" w:cs="黑体"/>
          <w:b w:val="0"/>
          <w:sz w:val="32"/>
        </w:rPr>
        <w:t>三、对南网总部基地绿色近零碳智慧园区的启发</w:t>
      </w:r>
    </w:p>
    <w:p>
      <w:pPr>
        <w:spacing w:before="160" w:after="0" w:lineRule="exact" w:line="580"/>
        <w:ind w:firstLine="640"/>
        <w:jc w:val="left"/>
      </w:pPr>
      <w:r>
        <w:rPr>
          <w:rFonts w:ascii="楷体_GB2312" w:hAnsi="楷体_GB2312" w:eastAsia="楷体_GB2312" w:cs="楷体_GB2312"/>
          <w:b w:val="0"/>
          <w:sz w:val="32"/>
        </w:rPr>
        <w:t>（一）评价口径的选择直接决定指标怎么定</w:t>
      </w:r>
    </w:p>
    <w:p>
      <w:pPr>
        <w:spacing w:before="0" w:after="0" w:lineRule="exact" w:line="580"/>
        <w:ind w:firstLine="640"/>
        <w:jc w:val="both"/>
      </w:pPr>
      <w:r>
        <w:rPr>
          <w:rFonts w:ascii="仿宋_GB2312" w:hAnsi="仿宋_GB2312" w:eastAsia="仿宋_GB2312" w:cs="仿宋_GB2312"/>
          <w:b w:val="0"/>
          <w:sz w:val="32"/>
        </w:rPr>
        <w:t>三类体系的适用性需要先作判断。据宣讲材料，发改委口径面向全国工业园区，创建主体为省级及以上开发区或园中园；本项目为总部办公园区，在场景与创建主体两方面均不对应，据此推进的条件稿中未见。工信部口径聚焦生产全流程，且宣讲材料明确其暂无全国统一的专项判定标准。住建部口径聚焦建筑与能源，适用于新建与既有改造，与总部办公园区的属性最为贴近。据此建议以住建部体系作为本项目指标设定的主要参照，另两类口径作为对照。</w:t>
      </w:r>
    </w:p>
    <w:p>
      <w:pPr>
        <w:spacing w:before="0" w:after="0" w:lineRule="exact" w:line="580"/>
        <w:ind w:firstLine="640"/>
        <w:jc w:val="both"/>
      </w:pPr>
      <w:r>
        <w:rPr>
          <w:rFonts w:ascii="仿宋_GB2312" w:hAnsi="仿宋_GB2312" w:eastAsia="仿宋_GB2312" w:cs="仿宋_GB2312"/>
          <w:b w:val="0"/>
          <w:sz w:val="32"/>
        </w:rPr>
        <w:t>项目名称中的“绿色近零碳”与住建部体系的台阶正好对应。据宣讲材料，园区层级近零碳的门槛是降碳率不低于60%，零碳则要求年碳排放总量小于等于零且碳抵消量不超过基准区域碳排放量的30%。建议按不低于60%这一台阶先行校核可达性，并同步核算若继续向零碳推进，抵消比例能否控制在30%以内。建筑层级的三级台阶，即低碳30%以上、近零碳45%以上、零碳净碳排放小于等于零，可用于把园区目标分解到单体。</w:t>
      </w:r>
    </w:p>
    <w:p>
      <w:pPr>
        <w:spacing w:before="0" w:after="0" w:lineRule="exact" w:line="580"/>
        <w:ind w:firstLine="640"/>
        <w:jc w:val="both"/>
      </w:pPr>
      <w:r>
        <w:rPr>
          <w:rFonts w:ascii="仿宋_GB2312" w:hAnsi="仿宋_GB2312" w:eastAsia="仿宋_GB2312" w:cs="仿宋_GB2312"/>
          <w:b w:val="0"/>
          <w:sz w:val="32"/>
        </w:rPr>
        <w:t>两项前提须先落实。一是认证基准，宣讲材料所载为GB 55015-2021。二是标准稿件状态，宣讲材料中报批稿与征求意见稿两种表述并存，正式发布与实施时间稿中未见，需向建科院核实后方可作为申报依据。</w:t>
      </w:r>
    </w:p>
    <w:p>
      <w:pPr>
        <w:spacing w:before="160" w:after="0" w:lineRule="exact" w:line="580"/>
        <w:ind w:firstLine="640"/>
        <w:jc w:val="left"/>
      </w:pPr>
      <w:r>
        <w:rPr>
          <w:rFonts w:ascii="楷体_GB2312" w:hAnsi="楷体_GB2312" w:eastAsia="楷体_GB2312" w:cs="楷体_GB2312"/>
          <w:b w:val="0"/>
          <w:sz w:val="32"/>
        </w:rPr>
        <w:t>（二）雄安碳账揭示的是抵消机制，不只是技术堆叠</w:t>
      </w:r>
    </w:p>
    <w:p>
      <w:pPr>
        <w:spacing w:before="0" w:after="0" w:lineRule="exact" w:line="580"/>
        <w:ind w:firstLine="640"/>
        <w:jc w:val="both"/>
      </w:pPr>
      <w:r>
        <w:rPr>
          <w:rFonts w:ascii="仿宋_GB2312" w:hAnsi="仿宋_GB2312" w:eastAsia="仿宋_GB2312" w:cs="仿宋_GB2312"/>
          <w:b w:val="0"/>
          <w:sz w:val="32"/>
        </w:rPr>
        <w:t>据宣讲材料，雄安项目在本体节能率51.27%、屋面与露台光伏合计约2兆瓦、年发电约占用电量20%的条件下，基准碳排放10768吨中仍有4104吨依靠电碳交易解决。</w:t>
      </w:r>
    </w:p>
    <w:p>
      <w:pPr>
        <w:spacing w:before="0" w:after="0" w:lineRule="exact" w:line="580"/>
        <w:ind w:firstLine="640"/>
        <w:jc w:val="both"/>
      </w:pPr>
      <w:r>
        <w:rPr>
          <w:rFonts w:ascii="仿宋_GB2312" w:hAnsi="仿宋_GB2312" w:eastAsia="仿宋_GB2312" w:cs="仿宋_GB2312"/>
          <w:b w:val="0"/>
          <w:sz w:val="32"/>
        </w:rPr>
        <w:t>对本项目的直接启发是次序问题。技术措施能解决的部分有其上限，越往后越依赖抵消，而据宣讲材料，住建部体系对园区零碳的抵消比例设有不超过30%的限制。因此在概念方案阶段就应把三件事一起算，即本体与机电能减多少、场地内可再生能源能供多少、剩余部分靠什么抵消且是否满足抵消比例约束，而不是先定目标口号再倒推措施。本项目自身的用能基数、屋面与场地可用资源均稿中未见，上述测算须待基础数据补齐后进行。</w:t>
      </w:r>
    </w:p>
    <w:p>
      <w:pPr>
        <w:spacing w:before="160" w:after="0" w:lineRule="exact" w:line="580"/>
        <w:ind w:firstLine="640"/>
        <w:jc w:val="left"/>
      </w:pPr>
      <w:r>
        <w:rPr>
          <w:rFonts w:ascii="楷体_GB2312" w:hAnsi="楷体_GB2312" w:eastAsia="楷体_GB2312" w:cs="楷体_GB2312"/>
          <w:b w:val="0"/>
          <w:sz w:val="32"/>
        </w:rPr>
        <w:t>（三）可直接对标的技术清单</w:t>
      </w:r>
    </w:p>
    <w:p>
      <w:pPr>
        <w:spacing w:before="0" w:after="0" w:lineRule="exact" w:line="580"/>
        <w:ind w:firstLine="640"/>
        <w:jc w:val="both"/>
      </w:pPr>
      <w:r>
        <w:rPr>
          <w:rFonts w:ascii="仿宋_GB2312" w:hAnsi="仿宋_GB2312" w:eastAsia="仿宋_GB2312" w:cs="仿宋_GB2312"/>
          <w:b w:val="0"/>
          <w:sz w:val="32"/>
        </w:rPr>
        <w:t>下表按层次归集可对标的措施及其出处。出处一列中，凡标注宣讲材料者均为建科院宣讲口径，凡标注新华网、新能源网者均为公开报道口径，两者都未经本次核证。</w:t>
      </w:r>
    </w:p>
    <w:tbl>
      <w:tblPr>
        <w:tblStyle w:val="TableGrid"/>
        <w:tblW w:type="auto" w:w="0"/>
        <w:jc w:val="center"/>
        <w:tblLayout w:type="fixed"/>
        <w:tblLook w:firstColumn="1" w:firstRow="1" w:lastColumn="0" w:lastRow="0" w:noHBand="0" w:noVBand="1" w:val="04A0"/>
      </w:tblPr>
      <w:tblGrid>
        <w:gridCol w:w="2211"/>
        <w:gridCol w:w="2211"/>
        <w:gridCol w:w="2211"/>
        <w:gridCol w:w="2211"/>
      </w:tblGrid>
      <w:tr>
        <w:trPr>
          <w:tblHeader w:val="true"/>
        </w:trPr>
        <w:tc>
          <w:tcPr>
            <w:tcW w:type="dxa" w:w="1247"/>
          </w:tcPr>
          <w:p>
            <w:pPr>
              <w:spacing w:before="40" w:after="40"/>
              <w:jc w:val="center"/>
            </w:pPr>
            <w:r/>
            <w:r>
              <w:rPr>
                <w:rFonts w:ascii="黑体" w:hAnsi="黑体" w:eastAsia="黑体" w:cs="黑体"/>
                <w:b w:val="0"/>
                <w:sz w:val="21"/>
              </w:rPr>
              <w:t>层次</w:t>
            </w:r>
          </w:p>
        </w:tc>
        <w:tc>
          <w:tcPr>
            <w:tcW w:type="dxa" w:w="2268"/>
          </w:tcPr>
          <w:p>
            <w:pPr>
              <w:spacing w:before="40" w:after="40"/>
              <w:jc w:val="center"/>
            </w:pPr>
            <w:r/>
            <w:r>
              <w:rPr>
                <w:rFonts w:ascii="黑体" w:hAnsi="黑体" w:eastAsia="黑体" w:cs="黑体"/>
                <w:b w:val="0"/>
                <w:sz w:val="21"/>
              </w:rPr>
              <w:t>可对标措施</w:t>
            </w:r>
          </w:p>
        </w:tc>
        <w:tc>
          <w:tcPr>
            <w:tcW w:type="dxa" w:w="2665"/>
          </w:tcPr>
          <w:p>
            <w:pPr>
              <w:spacing w:before="40" w:after="40"/>
              <w:jc w:val="center"/>
            </w:pPr>
            <w:r/>
            <w:r>
              <w:rPr>
                <w:rFonts w:ascii="黑体" w:hAnsi="黑体" w:eastAsia="黑体" w:cs="黑体"/>
                <w:b w:val="0"/>
                <w:sz w:val="21"/>
              </w:rPr>
              <w:t>出处与数据</w:t>
            </w:r>
          </w:p>
        </w:tc>
        <w:tc>
          <w:tcPr>
            <w:tcW w:type="dxa" w:w="2665"/>
          </w:tcPr>
          <w:p>
            <w:pPr>
              <w:spacing w:before="40" w:after="40"/>
              <w:jc w:val="center"/>
            </w:pPr>
            <w:r/>
            <w:r>
              <w:rPr>
                <w:rFonts w:ascii="黑体" w:hAnsi="黑体" w:eastAsia="黑体" w:cs="黑体"/>
                <w:b w:val="0"/>
                <w:sz w:val="21"/>
              </w:rPr>
              <w:t>对本项目的适用性判断</w:t>
            </w:r>
          </w:p>
        </w:tc>
      </w:tr>
      <w:tr>
        <w:tc>
          <w:tcPr>
            <w:tcW w:type="dxa" w:w="1247"/>
          </w:tcPr>
          <w:p>
            <w:pPr>
              <w:spacing w:before="40" w:after="40"/>
              <w:jc w:val="left"/>
            </w:pPr>
            <w:r/>
            <w:r>
              <w:rPr>
                <w:rFonts w:ascii="仿宋_GB2312" w:hAnsi="仿宋_GB2312" w:eastAsia="仿宋_GB2312" w:cs="仿宋_GB2312"/>
                <w:b w:val="0"/>
                <w:sz w:val="21"/>
              </w:rPr>
              <w:t>建筑本体</w:t>
            </w:r>
          </w:p>
        </w:tc>
        <w:tc>
          <w:tcPr>
            <w:tcW w:type="dxa" w:w="2268"/>
          </w:tcPr>
          <w:p>
            <w:pPr>
              <w:spacing w:before="40" w:after="40"/>
              <w:jc w:val="left"/>
            </w:pPr>
            <w:r/>
            <w:r>
              <w:rPr>
                <w:rFonts w:ascii="仿宋_GB2312" w:hAnsi="仿宋_GB2312" w:eastAsia="仿宋_GB2312" w:cs="仿宋_GB2312"/>
                <w:b w:val="0"/>
                <w:sz w:val="21"/>
              </w:rPr>
              <w:t>窗墙比控制在40%以内、STP真空绝热板、换气次数不大于0.6次每小时</w:t>
            </w:r>
          </w:p>
        </w:tc>
        <w:tc>
          <w:tcPr>
            <w:tcW w:type="dxa" w:w="2665"/>
          </w:tcPr>
          <w:p>
            <w:pPr>
              <w:spacing w:before="40" w:after="40"/>
              <w:jc w:val="left"/>
            </w:pPr>
            <w:r/>
            <w:r>
              <w:rPr>
                <w:rFonts w:ascii="仿宋_GB2312" w:hAnsi="仿宋_GB2312" w:eastAsia="仿宋_GB2312" w:cs="仿宋_GB2312"/>
                <w:b w:val="0"/>
                <w:sz w:val="21"/>
              </w:rPr>
              <w:t>雄安项目，据宣讲材料，本体节能率51.27%</w:t>
            </w:r>
          </w:p>
        </w:tc>
        <w:tc>
          <w:tcPr>
            <w:tcW w:type="dxa" w:w="2665"/>
          </w:tcPr>
          <w:p>
            <w:pPr>
              <w:spacing w:before="40" w:after="40"/>
              <w:jc w:val="left"/>
            </w:pPr>
            <w:r/>
            <w:r>
              <w:rPr>
                <w:rFonts w:ascii="仿宋_GB2312" w:hAnsi="仿宋_GB2312" w:eastAsia="仿宋_GB2312" w:cs="仿宋_GB2312"/>
                <w:b w:val="0"/>
                <w:sz w:val="21"/>
              </w:rPr>
              <w:t>新建部分可直接对标；本体节能目标可参照五成量级设定，具体取值待基准核算后确定</w:t>
            </w:r>
          </w:p>
        </w:tc>
      </w:tr>
      <w:tr>
        <w:tc>
          <w:tcPr>
            <w:tcW w:type="dxa" w:w="1247"/>
          </w:tcPr>
          <w:p>
            <w:pPr>
              <w:spacing w:before="40" w:after="40"/>
              <w:jc w:val="left"/>
            </w:pPr>
            <w:r/>
            <w:r>
              <w:rPr>
                <w:rFonts w:ascii="仿宋_GB2312" w:hAnsi="仿宋_GB2312" w:eastAsia="仿宋_GB2312" w:cs="仿宋_GB2312"/>
                <w:b w:val="0"/>
                <w:sz w:val="21"/>
              </w:rPr>
              <w:t>冷热源</w:t>
            </w:r>
          </w:p>
        </w:tc>
        <w:tc>
          <w:tcPr>
            <w:tcW w:type="dxa" w:w="2268"/>
          </w:tcPr>
          <w:p>
            <w:pPr>
              <w:spacing w:before="40" w:after="40"/>
              <w:jc w:val="left"/>
            </w:pPr>
            <w:r/>
            <w:r>
              <w:rPr>
                <w:rFonts w:ascii="仿宋_GB2312" w:hAnsi="仿宋_GB2312" w:eastAsia="仿宋_GB2312" w:cs="仿宋_GB2312"/>
                <w:b w:val="0"/>
                <w:sz w:val="21"/>
              </w:rPr>
              <w:t>地源热泵</w:t>
            </w:r>
          </w:p>
        </w:tc>
        <w:tc>
          <w:tcPr>
            <w:tcW w:type="dxa" w:w="2665"/>
          </w:tcPr>
          <w:p>
            <w:pPr>
              <w:spacing w:before="40" w:after="40"/>
              <w:jc w:val="left"/>
            </w:pPr>
            <w:r/>
            <w:r>
              <w:rPr>
                <w:rFonts w:ascii="仿宋_GB2312" w:hAnsi="仿宋_GB2312" w:eastAsia="仿宋_GB2312" w:cs="仿宋_GB2312"/>
                <w:b w:val="0"/>
                <w:sz w:val="21"/>
              </w:rPr>
              <w:t>雄安项目SEER为5.5至5.6，据宣讲材料</w:t>
            </w:r>
          </w:p>
        </w:tc>
        <w:tc>
          <w:tcPr>
            <w:tcW w:type="dxa" w:w="2665"/>
          </w:tcPr>
          <w:p>
            <w:pPr>
              <w:spacing w:before="40" w:after="40"/>
              <w:jc w:val="left"/>
            </w:pPr>
            <w:r/>
            <w:r>
              <w:rPr>
                <w:rFonts w:ascii="仿宋_GB2312" w:hAnsi="仿宋_GB2312" w:eastAsia="仿宋_GB2312" w:cs="仿宋_GB2312"/>
                <w:b w:val="0"/>
                <w:sz w:val="21"/>
              </w:rPr>
              <w:t>需先核实场地地质与埋管条件，稿中未见</w:t>
            </w:r>
          </w:p>
        </w:tc>
      </w:tr>
      <w:tr>
        <w:tc>
          <w:tcPr>
            <w:tcW w:type="dxa" w:w="1247"/>
          </w:tcPr>
          <w:p>
            <w:pPr>
              <w:spacing w:before="40" w:after="40"/>
              <w:jc w:val="left"/>
            </w:pPr>
            <w:r/>
            <w:r>
              <w:rPr>
                <w:rFonts w:ascii="仿宋_GB2312" w:hAnsi="仿宋_GB2312" w:eastAsia="仿宋_GB2312" w:cs="仿宋_GB2312"/>
                <w:b w:val="0"/>
                <w:sz w:val="21"/>
              </w:rPr>
              <w:t>场地光伏</w:t>
            </w:r>
          </w:p>
        </w:tc>
        <w:tc>
          <w:tcPr>
            <w:tcW w:type="dxa" w:w="2268"/>
          </w:tcPr>
          <w:p>
            <w:pPr>
              <w:spacing w:before="40" w:after="40"/>
              <w:jc w:val="left"/>
            </w:pPr>
            <w:r/>
            <w:r>
              <w:rPr>
                <w:rFonts w:ascii="仿宋_GB2312" w:hAnsi="仿宋_GB2312" w:eastAsia="仿宋_GB2312" w:cs="仿宋_GB2312"/>
                <w:b w:val="0"/>
                <w:sz w:val="21"/>
              </w:rPr>
              <w:t>屋面光伏加露台光伏地砖</w:t>
            </w:r>
          </w:p>
        </w:tc>
        <w:tc>
          <w:tcPr>
            <w:tcW w:type="dxa" w:w="2665"/>
          </w:tcPr>
          <w:p>
            <w:pPr>
              <w:spacing w:before="40" w:after="40"/>
              <w:jc w:val="left"/>
            </w:pPr>
            <w:r/>
            <w:r>
              <w:rPr>
                <w:rFonts w:ascii="仿宋_GB2312" w:hAnsi="仿宋_GB2312" w:eastAsia="仿宋_GB2312" w:cs="仿宋_GB2312"/>
                <w:b w:val="0"/>
                <w:sz w:val="21"/>
              </w:rPr>
              <w:t>雄安屋面近10000平方米加露台1000平方米，装机约2兆瓦，年发电220万千瓦时，约占用电20%，据宣讲材料；信息港G13号楼屋面3970平方米、480千瓦、年约50万度，据新能源网转载</w:t>
            </w:r>
          </w:p>
        </w:tc>
        <w:tc>
          <w:tcPr>
            <w:tcW w:type="dxa" w:w="2665"/>
          </w:tcPr>
          <w:p>
            <w:pPr>
              <w:spacing w:before="40" w:after="40"/>
              <w:jc w:val="left"/>
            </w:pPr>
            <w:r/>
            <w:r>
              <w:rPr>
                <w:rFonts w:ascii="仿宋_GB2312" w:hAnsi="仿宋_GB2312" w:eastAsia="仿宋_GB2312" w:cs="仿宋_GB2312"/>
                <w:b w:val="0"/>
                <w:sz w:val="21"/>
              </w:rPr>
              <w:t>与8月19日交流提出的未利用屋顶和空间相对应；本项目可用面积与装机规模稿中未见，需先测算</w:t>
            </w:r>
          </w:p>
        </w:tc>
      </w:tr>
      <w:tr>
        <w:tc>
          <w:tcPr>
            <w:tcW w:type="dxa" w:w="1247"/>
          </w:tcPr>
          <w:p>
            <w:pPr>
              <w:spacing w:before="40" w:after="40"/>
              <w:jc w:val="left"/>
            </w:pPr>
            <w:r/>
            <w:r>
              <w:rPr>
                <w:rFonts w:ascii="仿宋_GB2312" w:hAnsi="仿宋_GB2312" w:eastAsia="仿宋_GB2312" w:cs="仿宋_GB2312"/>
                <w:b w:val="0"/>
                <w:sz w:val="21"/>
              </w:rPr>
              <w:t>直流与柔性</w:t>
            </w:r>
          </w:p>
        </w:tc>
        <w:tc>
          <w:tcPr>
            <w:tcW w:type="dxa" w:w="2268"/>
          </w:tcPr>
          <w:p>
            <w:pPr>
              <w:spacing w:before="40" w:after="40"/>
              <w:jc w:val="left"/>
            </w:pPr>
            <w:r/>
            <w:r>
              <w:rPr>
                <w:rFonts w:ascii="仿宋_GB2312" w:hAnsi="仿宋_GB2312" w:eastAsia="仿宋_GB2312" w:cs="仿宋_GB2312"/>
                <w:b w:val="0"/>
                <w:sz w:val="21"/>
              </w:rPr>
              <w:t>直流供电、V2G、多端低压柔性直流环网</w:t>
            </w:r>
          </w:p>
        </w:tc>
        <w:tc>
          <w:tcPr>
            <w:tcW w:type="dxa" w:w="2665"/>
          </w:tcPr>
          <w:p>
            <w:pPr>
              <w:spacing w:before="40" w:after="40"/>
              <w:jc w:val="left"/>
            </w:pPr>
            <w:r/>
            <w:r>
              <w:rPr>
                <w:rFonts w:ascii="仿宋_GB2312" w:hAnsi="仿宋_GB2312" w:eastAsia="仿宋_GB2312" w:cs="仿宋_GB2312"/>
                <w:b w:val="0"/>
                <w:sz w:val="21"/>
              </w:rPr>
              <w:t>雄安项目，据宣讲材料</w:t>
            </w:r>
          </w:p>
        </w:tc>
        <w:tc>
          <w:tcPr>
            <w:tcW w:type="dxa" w:w="2665"/>
          </w:tcPr>
          <w:p>
            <w:pPr>
              <w:spacing w:before="40" w:after="40"/>
              <w:jc w:val="left"/>
            </w:pPr>
            <w:r/>
            <w:r>
              <w:rPr>
                <w:rFonts w:ascii="仿宋_GB2312" w:hAnsi="仿宋_GB2312" w:eastAsia="仿宋_GB2312" w:cs="仿宋_GB2312"/>
                <w:b w:val="0"/>
                <w:sz w:val="21"/>
              </w:rPr>
              <w:t>与南方电网数字电网技术优势的结合点，也是建科院宣讲提出的合作方向落点</w:t>
            </w:r>
          </w:p>
        </w:tc>
      </w:tr>
      <w:tr>
        <w:tc>
          <w:tcPr>
            <w:tcW w:type="dxa" w:w="1247"/>
          </w:tcPr>
          <w:p>
            <w:pPr>
              <w:spacing w:before="40" w:after="40"/>
              <w:jc w:val="left"/>
            </w:pPr>
            <w:r/>
            <w:r>
              <w:rPr>
                <w:rFonts w:ascii="仿宋_GB2312" w:hAnsi="仿宋_GB2312" w:eastAsia="仿宋_GB2312" w:cs="仿宋_GB2312"/>
                <w:b w:val="0"/>
                <w:sz w:val="21"/>
              </w:rPr>
              <w:t>数据中心余热</w:t>
            </w:r>
          </w:p>
        </w:tc>
        <w:tc>
          <w:tcPr>
            <w:tcW w:type="dxa" w:w="2268"/>
          </w:tcPr>
          <w:p>
            <w:pPr>
              <w:spacing w:before="40" w:after="40"/>
              <w:jc w:val="left"/>
            </w:pPr>
            <w:r/>
            <w:r>
              <w:rPr>
                <w:rFonts w:ascii="仿宋_GB2312" w:hAnsi="仿宋_GB2312" w:eastAsia="仿宋_GB2312" w:cs="仿宋_GB2312"/>
                <w:b w:val="0"/>
                <w:sz w:val="21"/>
              </w:rPr>
              <w:t>数据中心余热回收经热泵供办公区</w:t>
            </w:r>
          </w:p>
        </w:tc>
        <w:tc>
          <w:tcPr>
            <w:tcW w:type="dxa" w:w="2665"/>
          </w:tcPr>
          <w:p>
            <w:pPr>
              <w:spacing w:before="40" w:after="40"/>
              <w:jc w:val="left"/>
            </w:pPr>
            <w:r/>
            <w:r>
              <w:rPr>
                <w:rFonts w:ascii="仿宋_GB2312" w:hAnsi="仿宋_GB2312" w:eastAsia="仿宋_GB2312" w:cs="仿宋_GB2312"/>
                <w:b w:val="0"/>
                <w:sz w:val="21"/>
              </w:rPr>
              <w:t>信息港四号地供五号地、六号地，据新华网</w:t>
            </w:r>
          </w:p>
        </w:tc>
        <w:tc>
          <w:tcPr>
            <w:tcW w:type="dxa" w:w="2665"/>
          </w:tcPr>
          <w:p>
            <w:pPr>
              <w:spacing w:before="40" w:after="40"/>
              <w:jc w:val="left"/>
            </w:pPr>
            <w:r/>
            <w:r>
              <w:rPr>
                <w:rFonts w:ascii="仿宋_GB2312" w:hAnsi="仿宋_GB2312" w:eastAsia="仿宋_GB2312" w:cs="仿宋_GB2312"/>
                <w:b w:val="0"/>
                <w:sz w:val="21"/>
              </w:rPr>
              <w:t>本项目含数据机房，可把机房从纯负荷转为热源；机房余热品位与办公区热需求稿中未见</w:t>
            </w:r>
          </w:p>
        </w:tc>
      </w:tr>
      <w:tr>
        <w:tc>
          <w:tcPr>
            <w:tcW w:type="dxa" w:w="1247"/>
          </w:tcPr>
          <w:p>
            <w:pPr>
              <w:spacing w:before="40" w:after="40"/>
              <w:jc w:val="left"/>
            </w:pPr>
            <w:r/>
            <w:r>
              <w:rPr>
                <w:rFonts w:ascii="仿宋_GB2312" w:hAnsi="仿宋_GB2312" w:eastAsia="仿宋_GB2312" w:cs="仿宋_GB2312"/>
                <w:b w:val="0"/>
                <w:sz w:val="21"/>
              </w:rPr>
              <w:t>办公场景联动</w:t>
            </w:r>
          </w:p>
        </w:tc>
        <w:tc>
          <w:tcPr>
            <w:tcW w:type="dxa" w:w="2268"/>
          </w:tcPr>
          <w:p>
            <w:pPr>
              <w:spacing w:before="40" w:after="40"/>
              <w:jc w:val="left"/>
            </w:pPr>
            <w:r/>
            <w:r>
              <w:rPr>
                <w:rFonts w:ascii="仿宋_GB2312" w:hAnsi="仿宋_GB2312" w:eastAsia="仿宋_GB2312" w:cs="仿宋_GB2312"/>
                <w:b w:val="0"/>
                <w:sz w:val="21"/>
              </w:rPr>
              <w:t>照明、空调风机盘管与会议室预约联动，智能空开插座，插座与空调与照明接入智慧用电监测</w:t>
            </w:r>
          </w:p>
        </w:tc>
        <w:tc>
          <w:tcPr>
            <w:tcW w:type="dxa" w:w="2665"/>
          </w:tcPr>
          <w:p>
            <w:pPr>
              <w:spacing w:before="40" w:after="40"/>
              <w:jc w:val="left"/>
            </w:pPr>
            <w:r/>
            <w:r>
              <w:rPr>
                <w:rFonts w:ascii="仿宋_GB2312" w:hAnsi="仿宋_GB2312" w:eastAsia="仿宋_GB2312" w:cs="仿宋_GB2312"/>
                <w:b w:val="0"/>
                <w:sz w:val="21"/>
              </w:rPr>
              <w:t>信息港，据新华网</w:t>
            </w:r>
          </w:p>
        </w:tc>
        <w:tc>
          <w:tcPr>
            <w:tcW w:type="dxa" w:w="2665"/>
          </w:tcPr>
          <w:p>
            <w:pPr>
              <w:spacing w:before="40" w:after="40"/>
              <w:jc w:val="left"/>
            </w:pPr>
            <w:r/>
            <w:r>
              <w:rPr>
                <w:rFonts w:ascii="仿宋_GB2312" w:hAnsi="仿宋_GB2312" w:eastAsia="仿宋_GB2312" w:cs="仿宋_GB2312"/>
                <w:b w:val="0"/>
                <w:sz w:val="21"/>
              </w:rPr>
              <w:t>办公为主的园区可复制性最高，建议纳入智慧园区平台的首批功能</w:t>
            </w:r>
          </w:p>
        </w:tc>
      </w:tr>
      <w:tr>
        <w:tc>
          <w:tcPr>
            <w:tcW w:type="dxa" w:w="1247"/>
          </w:tcPr>
          <w:p>
            <w:pPr>
              <w:spacing w:before="40" w:after="40"/>
              <w:jc w:val="left"/>
            </w:pPr>
            <w:r/>
            <w:r>
              <w:rPr>
                <w:rFonts w:ascii="仿宋_GB2312" w:hAnsi="仿宋_GB2312" w:eastAsia="仿宋_GB2312" w:cs="仿宋_GB2312"/>
                <w:b w:val="0"/>
                <w:sz w:val="21"/>
              </w:rPr>
              <w:t>负荷柔性与能碳底座</w:t>
            </w:r>
          </w:p>
        </w:tc>
        <w:tc>
          <w:tcPr>
            <w:tcW w:type="dxa" w:w="2268"/>
          </w:tcPr>
          <w:p>
            <w:pPr>
              <w:spacing w:before="40" w:after="40"/>
              <w:jc w:val="left"/>
            </w:pPr>
            <w:r/>
            <w:r>
              <w:rPr>
                <w:rFonts w:ascii="仿宋_GB2312" w:hAnsi="仿宋_GB2312" w:eastAsia="仿宋_GB2312" w:cs="仿宋_GB2312"/>
                <w:b w:val="0"/>
                <w:sz w:val="21"/>
              </w:rPr>
              <w:t>园区源网荷储、负荷柔性聚合与电网互动、能碳数字底座</w:t>
            </w:r>
          </w:p>
        </w:tc>
        <w:tc>
          <w:tcPr>
            <w:tcW w:type="dxa" w:w="2665"/>
          </w:tcPr>
          <w:p>
            <w:pPr>
              <w:spacing w:before="40" w:after="40"/>
              <w:jc w:val="left"/>
            </w:pPr>
            <w:r/>
            <w:r>
              <w:rPr>
                <w:rFonts w:ascii="仿宋_GB2312" w:hAnsi="仿宋_GB2312" w:eastAsia="仿宋_GB2312" w:cs="仿宋_GB2312"/>
                <w:b w:val="0"/>
                <w:sz w:val="21"/>
              </w:rPr>
              <w:t>建科院宣讲材料归纳的四个技术抓手</w:t>
            </w:r>
          </w:p>
        </w:tc>
        <w:tc>
          <w:tcPr>
            <w:tcW w:type="dxa" w:w="2665"/>
          </w:tcPr>
          <w:p>
            <w:pPr>
              <w:spacing w:before="40" w:after="40"/>
              <w:jc w:val="left"/>
            </w:pPr>
            <w:r/>
            <w:r>
              <w:rPr>
                <w:rFonts w:ascii="仿宋_GB2312" w:hAnsi="仿宋_GB2312" w:eastAsia="仿宋_GB2312" w:cs="仿宋_GB2312"/>
                <w:b w:val="0"/>
                <w:sz w:val="21"/>
              </w:rPr>
              <w:t>与移动侧的场景联动属同一平台两端，建议统一规划以避免二次集成</w:t>
            </w:r>
          </w:p>
        </w:tc>
      </w:tr>
    </w:tbl>
    <w:p>
      <w:pPr>
        <w:spacing w:before="120" w:after="0" w:lineRule="exact" w:line="580"/>
        <w:jc w:val="both"/>
      </w:pPr>
      <w:r>
        <w:rPr>
          <w:rFonts w:ascii="仿宋_GB2312" w:hAnsi="仿宋_GB2312" w:eastAsia="仿宋_GB2312" w:cs="仿宋_GB2312"/>
          <w:b w:val="0"/>
          <w:sz w:val="32"/>
        </w:rPr>
      </w:r>
    </w:p>
    <w:p>
      <w:pPr>
        <w:spacing w:before="160" w:after="0" w:lineRule="exact" w:line="580"/>
        <w:ind w:firstLine="640"/>
        <w:jc w:val="left"/>
      </w:pPr>
      <w:r>
        <w:rPr>
          <w:rFonts w:ascii="楷体_GB2312" w:hAnsi="楷体_GB2312" w:eastAsia="楷体_GB2312" w:cs="楷体_GB2312"/>
          <w:b w:val="0"/>
          <w:sz w:val="32"/>
        </w:rPr>
        <w:t>（四）智慧化的落点是把办公场景与能碳底座放在一个平台上</w:t>
      </w:r>
    </w:p>
    <w:p>
      <w:pPr>
        <w:spacing w:before="0" w:after="0" w:lineRule="exact" w:line="580"/>
        <w:ind w:firstLine="640"/>
        <w:jc w:val="both"/>
      </w:pPr>
      <w:r>
        <w:rPr>
          <w:rFonts w:ascii="仿宋_GB2312" w:hAnsi="仿宋_GB2312" w:eastAsia="仿宋_GB2312" w:cs="仿宋_GB2312"/>
          <w:b w:val="0"/>
          <w:sz w:val="32"/>
        </w:rPr>
        <w:t>移动侧的实践与建科院的技术收束，指向的其实是同一个平台的两端。移动侧解决的是园区内侧，即办公行为与用能设备的联动；建科院提出的负荷柔性聚合与电网互动、能碳数字底座，解决的是园区外侧，即与电网的互动和碳的核算。两端若分头建设，后期必然面临数据打通与二次集成。建议在概念方案阶段就按一个平台、两类功能来规划，把会议预约联动、照明空调联动、智慧用电监测这类场景功能，与能碳核算、负荷聚合、电网互动这类运营功能纳入同一底座。</w:t>
      </w:r>
    </w:p>
    <w:p>
      <w:pPr>
        <w:spacing w:before="0" w:after="0" w:lineRule="exact" w:line="580"/>
        <w:ind w:firstLine="640"/>
        <w:jc w:val="both"/>
      </w:pPr>
      <w:r>
        <w:rPr>
          <w:rFonts w:ascii="仿宋_GB2312" w:hAnsi="仿宋_GB2312" w:eastAsia="仿宋_GB2312" w:cs="仿宋_GB2312"/>
          <w:b w:val="0"/>
          <w:sz w:val="32"/>
        </w:rPr>
        <w:t>部署方式与数据归属需要提前定。据8月20日交流纪要，系统可采用中国移动云集中部署，也支持多户独立部署于自有云或独立服务器；AI大模型可在本地私有化部署，但本地部署后必须根据客户自身设备实际情况重新训练与适配。对本项目而言，选型的关键变量不是功能清单，而是数据归属与合规要求，以及本地化重训所需的数据条件、工作量与责任划分。后者稿中未见，须在进入方案与商务环节之前明确。</w:t>
      </w:r>
    </w:p>
    <w:p>
      <w:pPr>
        <w:spacing w:before="160" w:after="0" w:lineRule="exact" w:line="580"/>
        <w:ind w:firstLine="640"/>
        <w:jc w:val="left"/>
      </w:pPr>
      <w:r>
        <w:rPr>
          <w:rFonts w:ascii="楷体_GB2312" w:hAnsi="楷体_GB2312" w:eastAsia="楷体_GB2312" w:cs="楷体_GB2312"/>
          <w:b w:val="0"/>
          <w:sz w:val="32"/>
        </w:rPr>
        <w:t>（五）数据机房是最大用能单元，也是评价路径最不清晰的一环</w:t>
      </w:r>
    </w:p>
    <w:p>
      <w:pPr>
        <w:spacing w:before="0" w:after="0" w:lineRule="exact" w:line="580"/>
        <w:ind w:firstLine="640"/>
        <w:jc w:val="both"/>
      </w:pPr>
      <w:r>
        <w:rPr>
          <w:rFonts w:ascii="仿宋_GB2312" w:hAnsi="仿宋_GB2312" w:eastAsia="仿宋_GB2312" w:cs="仿宋_GB2312"/>
          <w:b w:val="0"/>
          <w:sz w:val="32"/>
        </w:rPr>
        <w:t>8月19日交流把数据机房作为突破口，方向上与本项目的用能结构相符：机房是园区内能耗密度最高的单元，也是最可能改变园区碳排放结构的单体。据宣讲材料，中建科技产业园的建筑碳排放占园区58%，建筑碳减排贡献49.8%，说明在以建筑为主体的园区里建筑侧是主战场；本项目含数据机房，用能结构与该案例不同，须自行核算后再判断主战场所在。</w:t>
      </w:r>
    </w:p>
    <w:p>
      <w:pPr>
        <w:spacing w:before="0" w:after="0" w:lineRule="exact" w:line="580"/>
        <w:ind w:firstLine="640"/>
        <w:jc w:val="both"/>
      </w:pPr>
      <w:r>
        <w:rPr>
          <w:rFonts w:ascii="仿宋_GB2312" w:hAnsi="仿宋_GB2312" w:eastAsia="仿宋_GB2312" w:cs="仿宋_GB2312"/>
          <w:b w:val="0"/>
          <w:sz w:val="32"/>
        </w:rPr>
        <w:t>但评价路径存在一处需要先解决的矛盾。会上提出可参考工信部零碳工厂的标准体系，而据宣讲材料，工信部口径聚焦生产全流程，且暂无全国统一的专项判定标准。也就是说，若走工信部路径，缺少判定依据；若走住建部路径，机房可作为园区内高密度用能单元纳入园区核算，但那样它就不是独立的认证对象。这一矛盾直接关系到“全国首个零碳机房”这一会内争取方向能否落地，建议在专项策略中优先回答，而不是先设指标。</w:t>
      </w:r>
    </w:p>
    <w:p>
      <w:pPr>
        <w:spacing w:before="0" w:after="0" w:lineRule="exact" w:line="580"/>
        <w:ind w:firstLine="640"/>
        <w:jc w:val="both"/>
      </w:pPr>
      <w:r>
        <w:rPr>
          <w:rFonts w:ascii="仿宋_GB2312" w:hAnsi="仿宋_GB2312" w:eastAsia="仿宋_GB2312" w:cs="仿宋_GB2312"/>
          <w:b w:val="0"/>
          <w:sz w:val="32"/>
        </w:rPr>
        <w:t>可借鉴的具体做法有三项，一是余热回收后供办公区（据新华网关于信息港的报道），二是屋面分布式光伏（据新能源网转载的信息港G13号楼案例），三是运行绩效核证，这也是调研计划中北京移动信息港一站的重点之一，可在实地环节重点了解。</w:t>
      </w:r>
    </w:p>
    <w:p>
      <w:pPr>
        <w:spacing w:before="160" w:after="0" w:lineRule="exact" w:line="580"/>
        <w:ind w:firstLine="640"/>
        <w:jc w:val="left"/>
      </w:pPr>
      <w:r>
        <w:rPr>
          <w:rFonts w:ascii="楷体_GB2312" w:hAnsi="楷体_GB2312" w:eastAsia="楷体_GB2312" w:cs="楷体_GB2312"/>
          <w:b w:val="0"/>
          <w:sz w:val="32"/>
        </w:rPr>
        <w:t>（六）组织方式宜先概念方案，再全过程咨询</w:t>
      </w:r>
    </w:p>
    <w:p>
      <w:pPr>
        <w:spacing w:before="0" w:after="0" w:lineRule="exact" w:line="580"/>
        <w:ind w:firstLine="640"/>
        <w:jc w:val="both"/>
      </w:pPr>
      <w:r>
        <w:rPr>
          <w:rFonts w:ascii="仿宋_GB2312" w:hAnsi="仿宋_GB2312" w:eastAsia="仿宋_GB2312" w:cs="仿宋_GB2312"/>
          <w:b w:val="0"/>
          <w:sz w:val="32"/>
        </w:rPr>
        <w:t>8月19日交流建议的次序是概念性整体方案先行，经论证认可、形成共识后再进入详细的全过程咨询和专项设计。这一次序与本报告的判断一致：在评价口径未定、基础数据未齐的情况下先做专项设计，会造成返工。</w:t>
      </w:r>
    </w:p>
    <w:p>
      <w:pPr>
        <w:spacing w:before="0" w:after="0" w:lineRule="exact" w:line="580"/>
        <w:ind w:firstLine="640"/>
        <w:jc w:val="both"/>
      </w:pPr>
      <w:r>
        <w:rPr>
          <w:rFonts w:ascii="仿宋_GB2312" w:hAnsi="仿宋_GB2312" w:eastAsia="仿宋_GB2312" w:cs="仿宋_GB2312"/>
          <w:b w:val="0"/>
          <w:sz w:val="32"/>
        </w:rPr>
        <w:t>三个外部资源在这一次序中的位置可以分开安排。建科院在零碳建筑标准与认证方面的能力，对应指标设定与申报路径。中国移动在智慧园区平台以及云与算力方面的能力，对应平台建设与运营。清华方面的院士与专家资源，可能对应概念方案的第三方技术论证与碳核算方法，待2026年8月21日交流后确认。建科院宣讲中提出的融合数字智慧电网与零碳建筑运营的合作方向，属对方意向，是否采用及以何种方式采用，稿中未见任何决定。</w:t>
      </w:r>
    </w:p>
    <w:p>
      <w:pPr>
        <w:spacing w:before="280" w:after="80" w:lineRule="exact" w:line="580"/>
        <w:ind w:firstLine="640"/>
        <w:jc w:val="left"/>
      </w:pPr>
      <w:r>
        <w:rPr>
          <w:rFonts w:ascii="黑体" w:hAnsi="黑体" w:eastAsia="黑体" w:cs="黑体"/>
          <w:b w:val="0"/>
          <w:sz w:val="32"/>
        </w:rPr>
        <w:t>四、下一步的工作</w:t>
      </w:r>
    </w:p>
    <w:p>
      <w:pPr>
        <w:spacing w:before="0" w:after="0" w:lineRule="exact" w:line="580"/>
        <w:ind w:firstLine="640"/>
        <w:jc w:val="both"/>
      </w:pPr>
      <w:r>
        <w:rPr>
          <w:rFonts w:ascii="仿宋_GB2312" w:hAnsi="仿宋_GB2312" w:eastAsia="仿宋_GB2312" w:cs="仿宋_GB2312"/>
          <w:b w:val="0"/>
          <w:sz w:val="32"/>
        </w:rPr>
        <w:t>（一）完成清华大学一站并补记纪要。按2026年8月21日安排参观超低能耗示范楼、开展院士座谈，围绕零碳路径、碳核算、光储直柔、产学研合作四项重点交流；会后据实补记纪要，并就概念方案技术论证、碳核算方法、光储直柔产学研合作三处可能的咨询接口形成明确意见。座谈对象在调研计划中标注为待确认，需先落实。</w:t>
      </w:r>
    </w:p>
    <w:p>
      <w:pPr>
        <w:spacing w:before="0" w:after="0" w:lineRule="exact" w:line="580"/>
        <w:ind w:firstLine="640"/>
        <w:jc w:val="both"/>
      </w:pPr>
      <w:r>
        <w:rPr>
          <w:rFonts w:ascii="仿宋_GB2312" w:hAnsi="仿宋_GB2312" w:eastAsia="仿宋_GB2312" w:cs="仿宋_GB2312"/>
          <w:b w:val="0"/>
          <w:sz w:val="32"/>
        </w:rPr>
        <w:t>（二）按计划推进后续调研对象。深圳的腾讯企鹅岛、大梅沙万科中心碳中和实验园区，广州的中国移动南方基地，行程尚未发生，按调研计划推进；北京移动信息港一站的实地环节，按既有园区节能改造、照明与空调联动、余热利用、智慧电力监控、数据中心节能及运行绩效核证五项重点，核实公开报道所载内容。</w:t>
      </w:r>
    </w:p>
    <w:p>
      <w:pPr>
        <w:spacing w:before="0" w:after="0" w:lineRule="exact" w:line="580"/>
        <w:ind w:firstLine="640"/>
        <w:jc w:val="both"/>
      </w:pPr>
      <w:r>
        <w:rPr>
          <w:rFonts w:ascii="仿宋_GB2312" w:hAnsi="仿宋_GB2312" w:eastAsia="仿宋_GB2312" w:cs="仿宋_GB2312"/>
          <w:b w:val="0"/>
          <w:sz w:val="32"/>
        </w:rPr>
        <w:t>（三）确定评价口径并校核指标。就以住建部体系为主要参照的判断向建科院核实，同时确认《零碳建筑技术标准》的稿件状态与实施时间、认证基准GB 55015-2021的适用方式；按园区近零碳不低于60%的台阶校核可达性，并核算向零碳推进时的抵消比例约束。</w:t>
      </w:r>
    </w:p>
    <w:p>
      <w:pPr>
        <w:spacing w:before="0" w:after="0" w:lineRule="exact" w:line="580"/>
        <w:ind w:firstLine="640"/>
        <w:jc w:val="both"/>
      </w:pPr>
      <w:r>
        <w:rPr>
          <w:rFonts w:ascii="仿宋_GB2312" w:hAnsi="仿宋_GB2312" w:eastAsia="仿宋_GB2312" w:cs="仿宋_GB2312"/>
          <w:b w:val="0"/>
          <w:sz w:val="32"/>
        </w:rPr>
        <w:t>（四）补齐本项目的基础数据。用能基数与用能结构、数据机房的规模与能耗计量条件、屋面与场地可用面积及承载条件，是上述全部测算的前提，目前稿中未见，建议作为概念方案编制的前置工作。</w:t>
      </w:r>
    </w:p>
    <w:p>
      <w:pPr>
        <w:spacing w:before="0" w:after="0" w:lineRule="exact" w:line="580"/>
        <w:ind w:firstLine="640"/>
        <w:jc w:val="both"/>
      </w:pPr>
      <w:r>
        <w:rPr>
          <w:rFonts w:ascii="仿宋_GB2312" w:hAnsi="仿宋_GB2312" w:eastAsia="仿宋_GB2312" w:cs="仿宋_GB2312"/>
          <w:b w:val="0"/>
          <w:sz w:val="32"/>
        </w:rPr>
        <w:t>（五）形成概念性整体方案与数据机房专项。概念方案按能源、智慧、人文、健康四个维度搭建框架，指标按住建部台阶校核后填入，缺数据处显性留白，不以估算值替代；数据机房专项本阶段以可行性判断为交付物，优先回答计量条件、参照体系、评价路径三个问题，暂不进入指标设定与技术路线比选。</w:t>
      </w:r>
    </w:p>
    <w:p>
      <w:pPr>
        <w:spacing w:before="0" w:after="0" w:lineRule="exact" w:line="580"/>
        <w:ind w:firstLine="640"/>
        <w:jc w:val="both"/>
      </w:pPr>
      <w:r>
        <w:rPr>
          <w:rFonts w:ascii="仿宋_GB2312" w:hAnsi="仿宋_GB2312" w:eastAsia="仿宋_GB2312" w:cs="仿宋_GB2312"/>
          <w:b w:val="0"/>
          <w:sz w:val="32"/>
        </w:rPr>
        <w:t>（六）统一对外口径。“全国首个零碳机房”在所有材料中固定表述为会内提出的争取方向，注明尚无申报或确认依据，对外场合不使用；建科院宣讲提出的合作方向表述为对方意向；宣讲材料与公开报道的数据一律标注出处，不作为本项目数据引用。</w:t>
      </w:r>
    </w:p>
    <w:p>
      <w:pPr>
        <w:spacing w:before="0" w:after="0" w:lineRule="exact" w:line="580"/>
        <w:ind w:firstLine="640"/>
        <w:jc w:val="both"/>
      </w:pPr>
      <w:r>
        <w:rPr>
          <w:rFonts w:ascii="仿宋_GB2312" w:hAnsi="仿宋_GB2312" w:eastAsia="仿宋_GB2312" w:cs="仿宋_GB2312"/>
          <w:b w:val="0"/>
          <w:sz w:val="32"/>
        </w:rPr>
        <w:t>（七）推进“好房子”软课题。按8月19日交流的倾向由内部团队自主开展，第一步先界定研究对象、问题清单、成果形式与所需资料，经确认后再启动实质调研。</w:t>
      </w:r>
    </w:p>
    <w:p>
      <w:pPr>
        <w:spacing w:before="240" w:after="0" w:lineRule="exact" w:line="580"/>
        <w:jc w:val="both"/>
      </w:pPr>
      <w:r>
        <w:rPr>
          <w:rFonts w:ascii="仿宋_GB2312" w:hAnsi="仿宋_GB2312" w:eastAsia="仿宋_GB2312" w:cs="仿宋_GB2312"/>
          <w:b w:val="0"/>
          <w:sz w:val="32"/>
        </w:rPr>
      </w:r>
    </w:p>
    <w:p>
      <w:pPr>
        <w:spacing w:before="0" w:after="0" w:lineRule="exact" w:line="580"/>
        <w:jc w:val="right"/>
      </w:pPr>
      <w:r>
        <w:rPr>
          <w:rFonts w:ascii="仿宋_GB2312" w:hAnsi="仿宋_GB2312" w:eastAsia="仿宋_GB2312" w:cs="仿宋_GB2312"/>
          <w:b w:val="0"/>
          <w:sz w:val="32"/>
        </w:rPr>
        <w:t>报告人：王天智</w:t>
      </w:r>
    </w:p>
    <w:p>
      <w:pPr>
        <w:spacing w:before="0" w:after="0" w:lineRule="exact" w:line="580"/>
        <w:jc w:val="right"/>
      </w:pPr>
      <w:r>
        <w:rPr>
          <w:rFonts w:ascii="仿宋_GB2312" w:hAnsi="仿宋_GB2312" w:eastAsia="仿宋_GB2312" w:cs="仿宋_GB2312"/>
          <w:b w:val="0"/>
          <w:sz w:val="32"/>
        </w:rPr>
        <w:t>单位：南方电网综合能源（广东）有限公司</w:t>
      </w:r>
    </w:p>
    <w:p>
      <w:pPr>
        <w:spacing w:before="0" w:after="0" w:lineRule="exact" w:line="580"/>
        <w:jc w:val="right"/>
      </w:pPr>
      <w:r>
        <w:rPr>
          <w:rFonts w:ascii="仿宋_GB2312" w:hAnsi="仿宋_GB2312" w:eastAsia="仿宋_GB2312" w:cs="仿宋_GB2312"/>
          <w:b w:val="0"/>
          <w:sz w:val="32"/>
        </w:rPr>
        <w:t>时间：2026年8月</w:t>
      </w:r>
    </w:p>
    <w:p>
      <w:pPr>
        <w:spacing w:before="0" w:after="0" w:lineRule="exact" w:line="580"/>
        <w:ind w:firstLine="640"/>
        <w:jc w:val="both"/>
      </w:pPr>
      <w:r>
        <w:rPr>
          <w:rFonts w:ascii="仿宋_GB2312" w:hAnsi="仿宋_GB2312" w:eastAsia="仿宋_GB2312" w:cs="仿宋_GB2312"/>
          <w:b w:val="0"/>
          <w:sz w:val="32"/>
        </w:rPr>
        <w:t>附：另有《审查说明》与本报告同目录存放，逐条列明各项内容的资料出处、属本人判断的部分，以及待清华大学一站后补充的事项，供内部审阅核对，不随本报告一并使用。</w:t>
      </w:r>
    </w:p>
    <w:sectPr w:rsidR="00FC693F" w:rsidRPr="0006063C" w:rsidSect="00034616">
      <w:footerReference w:type="default" r:id="rId9"/>
      <w:pgSz w:w="11906" w:h="16838"/>
      <w:pgMar w:top="2098" w:right="1474" w:bottom="1984" w:left="1587"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cs="宋体"/>
        <w:b w:val="0"/>
        <w:sz w:val="28"/>
      </w:rPr>
      <w:t xml:space="preserve">— </w:t>
    </w:r>
    <w:r>
      <w:rPr>
        <w:rFonts w:ascii="宋体" w:hAnsi="宋体" w:eastAsia="宋体" w:cs="宋体"/>
        <w:b w:val="0"/>
        <w:sz w:val="28"/>
      </w:rPr>
      <w:fldChar w:fldCharType="begin"/>
      <w:instrText xml:space="preserve">PAGE</w:instrText>
      <w:fldChar w:fldCharType="end"/>
    </w:r>
    <w:r>
      <w:rPr>
        <w:rFonts w:ascii="宋体" w:hAnsi="宋体" w:eastAsia="宋体" w:cs="宋体"/>
        <w:b w:val="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_GB2312" w:hAnsi="仿宋_GB2312" w:eastAsia="仿宋_GB2312" w:cs="仿宋_GB2312"/>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