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eastAsia="方正小标宋简体"/>
          <w:b w:val="0"/>
          <w:sz w:val="40"/>
        </w:rPr>
        <w:t>中国电信佛山数据中心（南海里水）项目《两高建设报告·评审终稿》两高审查意见</w:t>
      </w:r>
    </w:p>
    <w:p>
      <w:pPr>
        <w:spacing w:before="0" w:after="240"/>
        <w:jc w:val="center"/>
      </w:pPr>
      <w:r>
        <w:rPr>
          <w:rFonts w:ascii="Times New Roman" w:hAnsi="Times New Roman" w:eastAsia="楷体"/>
          <w:b w:val="0"/>
          <w:sz w:val="24"/>
        </w:rPr>
        <w:t>（二〇二六年九月二日 两高专项审查用）</w:t>
      </w:r>
    </w:p>
    <w:p>
      <w:pPr>
        <w:spacing w:before="0" w:after="0"/>
        <w:ind w:firstLine="480"/>
      </w:pPr>
      <w:r>
        <w:rPr>
          <w:rFonts w:ascii="Times New Roman" w:hAnsi="Times New Roman" w:eastAsia="仿宋"/>
          <w:b w:val="0"/>
          <w:sz w:val="24"/>
        </w:rPr>
        <w:t>结论：中国电信佛山数据中心（南海里水）项目《两高建设报告》评审终稿（2026 年 8 月，172 页，申报主体中国电信股份有限公司广东分公司）现报送稿不宜出具肯定性两高审查意见，不得使用“原则同意”“基本同意”“条件具备、补正后实施”或任何等同表述。首要理由是程序前提未成立：本项目按《国家发展改革委 工业和信息化部 国家数据局关于对算力基础设施实施“窗口指导”的通知》（发改高技〔2025〕320 号）属大型及以上算力基础设施，全部纳入“窗口指导”范围且不分投资主体，未通过“窗口指导”不得开展备案、节能审查和网络接入；稿内未见本项目已通过“窗口指导”的证明文件，两高（节能审查及碳排放评价）审查因此缺少可依赖的前置结论。其次是实体条件未闭合：本址可计量可结算的物理绿电电量、年加权 PUE、能耗替代来源三项均未落实，用地性质调整、院内敏感场所与柴发储油的相容性、供电容量与年运行功率的桥接亦未闭合。本轮只审里水 36MW，只形成问题清单与补正要求，不确认年综合能耗量的可落实性、年加权 PUE、绿电比例、能耗替代来源及用地环境相容性。</w:t>
      </w:r>
    </w:p>
    <w:p>
      <w:pPr>
        <w:spacing w:before="0" w:after="0"/>
        <w:ind w:firstLine="480"/>
      </w:pPr>
      <w:r>
        <w:rPr>
          <w:rFonts w:ascii="Times New Roman" w:hAnsi="Times New Roman" w:eastAsia="仿宋"/>
          <w:b w:val="0"/>
          <w:sz w:val="24"/>
        </w:rPr>
        <w:t>本专册相对昨日窗口申请书有三项实质进展：已补列吨标准煤测算表且算术可复核；已将 36MW IT 负荷全额计入能耗边界，未因“不投服务器”予以剔除；已把冷板液冷写入本期方案。三项进展只用于固定审查边界，不构成通过审查的依据。填表本身不等于能耗可落实。</w:t>
      </w:r>
    </w:p>
    <w:p>
      <w:pPr>
        <w:spacing w:before="240" w:after="80"/>
        <w:ind w:firstLine="600"/>
      </w:pPr>
      <w:r>
        <w:rPr>
          <w:rFonts w:ascii="Times New Roman" w:hAnsi="Times New Roman" w:eastAsia="黑体"/>
          <w:b w:val="0"/>
          <w:sz w:val="30"/>
        </w:rPr>
        <w:t>说明（本件的证据口径）</w:t>
      </w:r>
    </w:p>
    <w:p>
      <w:pPr>
        <w:spacing w:before="0" w:after="0"/>
        <w:ind w:firstLine="480"/>
      </w:pPr>
      <w:r>
        <w:rPr>
          <w:rFonts w:ascii="Times New Roman" w:hAnsi="Times New Roman" w:eastAsia="仿宋"/>
          <w:b w:val="0"/>
          <w:sz w:val="24"/>
        </w:rPr>
        <w:t>一、位置与页码。本件仅取得该终稿的要点摘录及已核数字，未取得连续页码。故各条“位置”栏以章节号、图表号或字段名定位，页码一律标注“页码待核”；报送稿确实未提供的内容标注“稿中未见”；本件无法据现有材料判定的事项标注“待核”。缺少完整识别文本不构成放宽审查结论的理由，未在本专册闭合的事项一律按未闭合处理。</w:t>
      </w:r>
    </w:p>
    <w:p>
      <w:pPr>
        <w:spacing w:before="0" w:after="0"/>
        <w:ind w:firstLine="480"/>
      </w:pPr>
      <w:r>
        <w:rPr>
          <w:rFonts w:ascii="Times New Roman" w:hAnsi="Times New Roman" w:eastAsia="仿宋"/>
          <w:b w:val="0"/>
          <w:sz w:val="24"/>
        </w:rPr>
        <w:t>二、数字来源。本件所列数字分两类：一类直接引自报送稿披露值；一类是对披露值的四则运算复核结果，复核过程见本目录 verify_numbers.py。本件不引入外部假设，不为报送稿未披露项赋值，不编造未经核对的数字，不编造 2026 年新的法定依据或限额。</w:t>
      </w:r>
    </w:p>
    <w:p>
      <w:pPr>
        <w:spacing w:before="0" w:after="0"/>
        <w:ind w:firstLine="480"/>
      </w:pPr>
      <w:r>
        <w:rPr>
          <w:rFonts w:ascii="Times New Roman" w:hAnsi="Times New Roman" w:eastAsia="仿宋"/>
          <w:b w:val="0"/>
          <w:sz w:val="24"/>
        </w:rPr>
        <w:t>三、政策原件的核对状态。发改高技〔2025〕320 号的封面及发文字号（原件第 1 页）、适用范围与分类处理要求（原件第 3 页）、附件 1 规模分类标准（原件第 8 页）、附件 2《算力基础设施项目窗口指导申请书》编写要求首页（原件第 9 页）已核原件。该文其余条款（评估八要素、风险分类、PUE 控制要求、绿电占比优先支持口径、窗口前置关系、禁止报小建大及分期按累计）依已核原件摘要引用，具体条款所在页码待核。</w:t>
      </w:r>
    </w:p>
    <w:p>
      <w:pPr>
        <w:spacing w:before="0" w:after="0"/>
        <w:ind w:firstLine="480"/>
      </w:pPr>
      <w:r>
        <w:rPr>
          <w:rFonts w:ascii="Times New Roman" w:hAnsi="Times New Roman" w:eastAsia="仿宋"/>
          <w:b w:val="0"/>
          <w:sz w:val="24"/>
        </w:rPr>
        <w:t>四、程序性依据的核对状态。广东省《节能审查和碳排放评价实施办法》（据称 2026 年 8 月 20 日）红头原件未核。本件不引用其条文，不将其表述为已核实的现行条款；凡涉及节能审查与碳排放评价具体程序、受理层级、时限和文本要求的判断，一律标注“待核”，由申请人按报送时现行有效文件补齐依据。</w:t>
      </w:r>
    </w:p>
    <w:p>
      <w:pPr>
        <w:spacing w:before="0" w:after="0"/>
        <w:ind w:firstLine="480"/>
      </w:pPr>
      <w:r>
        <w:rPr>
          <w:rFonts w:ascii="Times New Roman" w:hAnsi="Times New Roman" w:eastAsia="仿宋"/>
          <w:b w:val="0"/>
          <w:sz w:val="24"/>
        </w:rPr>
        <w:t>五、韶塘材料的定性（本轮锁定，不再改动）。申请人另附的韶塘园区材料是广东省内 IDC 机楼的现状支撑文件，不是第二套申报，也不是套版笔误。其中的 200MW、244.3 亩、6 栋、80000 个 2.5kW 标准机架属现状支撑数字。本次两高审查只审里水 36MW；若任何摘要或索引把上述现状支撑数字写入“本次申报范围”，其性质是把现状支撑数字误写入申报边界，应予更正，不属于对项目规模的另行申报。本终稿全文未见“200MW”“韶塘”字样，与里水 36MW 口径一致；“韶关”字样仍见 9 处，须逐条归类，详见第三部分第 3 条。</w:t>
      </w:r>
    </w:p>
    <w:p>
      <w:pPr>
        <w:spacing w:before="0" w:after="0"/>
        <w:ind w:firstLine="480"/>
      </w:pPr>
      <w:r>
        <w:rPr>
          <w:rFonts w:ascii="Times New Roman" w:hAnsi="Times New Roman" w:eastAsia="仿宋"/>
          <w:b w:val="0"/>
          <w:sz w:val="24"/>
        </w:rPr>
        <w:t>六、三套规模口径分开声明（本轮锁定）。本件区分并分别使用以下三套口径，互不换算填充：其一，2.5kW 标准机架数，仅用于 320 号附件 1 的规模分档判定；其二，IT 功率（MW）及实物机柜功率，用于能耗、能效和供电测算；其三，FP16 算力（PFLOPS）及芯片张数，仅属客户侧设备口径。凡报送稿未披露的项，本件不以其他口径推算填充。</w:t>
      </w:r>
    </w:p>
    <w:p>
      <w:pPr>
        <w:spacing w:before="240" w:after="80"/>
        <w:ind w:firstLine="600"/>
      </w:pPr>
      <w:r>
        <w:rPr>
          <w:rFonts w:ascii="Times New Roman" w:hAnsi="Times New Roman" w:eastAsia="黑体"/>
          <w:b w:val="0"/>
          <w:sz w:val="30"/>
        </w:rPr>
        <w:t>一、项目概况</w:t>
      </w:r>
    </w:p>
    <w:p>
      <w:pPr>
        <w:spacing w:before="0" w:after="0"/>
        <w:ind w:firstLine="480"/>
      </w:pPr>
      <w:r>
        <w:rPr>
          <w:rFonts w:ascii="Times New Roman" w:hAnsi="Times New Roman" w:eastAsia="仿宋"/>
          <w:b w:val="0"/>
          <w:sz w:val="24"/>
        </w:rPr>
        <w:t>项目名称：中国电信佛山数据中心（南海里水）项目。建设地点：佛山市南海区里水大道中 36 号里水电信大院。申报主体：中国电信股份有限公司广东分公司。文件性质：两高专册，《建设报告》评审终稿，172 页，署期 2026 年 8 月。</w:t>
      </w:r>
    </w:p>
    <w:p>
      <w:pPr>
        <w:spacing w:before="0" w:after="0"/>
        <w:ind w:firstLine="480"/>
      </w:pPr>
      <w:r>
        <w:rPr>
          <w:rFonts w:ascii="Times New Roman" w:hAnsi="Times New Roman" w:eastAsia="仿宋"/>
          <w:b w:val="0"/>
          <w:sz w:val="24"/>
        </w:rPr>
        <w:t>本期口径（相互可印证）：存量大院用地 46.55 亩，现状用地性质为其他商服用地；新建 1 栋，编号 A1；投资 94638 万元；IT 功率 36MW。经复核，投资额折合 2628.83 万元/MW；按 2.5kW 标准机架折合 14400 架，14400×2.5kW 恰为 36000kW，与 36MW 边界自洽。</w:t>
      </w:r>
    </w:p>
    <w:p>
      <w:pPr>
        <w:spacing w:before="0" w:after="0"/>
        <w:ind w:firstLine="480"/>
      </w:pPr>
      <w:r>
        <w:rPr>
          <w:rFonts w:ascii="Times New Roman" w:hAnsi="Times New Roman" w:eastAsia="仿宋"/>
          <w:b w:val="0"/>
          <w:sz w:val="24"/>
        </w:rPr>
        <w:t>机柜口径：本专册以实物机柜为主计数，按 100kW×328 台、24kW×82 台、15kW×82 台列表，合计 492 台。经复核，100×328＋24×82＋15×82＝35998kW，约 36MW；平均单柜 73.17kW。提取记录另见“82 台 100kW 机柜”表述，与能耗表 328 台并列，须核对是否同一批配置。</w:t>
      </w:r>
    </w:p>
    <w:p>
      <w:pPr>
        <w:spacing w:before="0" w:after="0"/>
        <w:ind w:firstLine="480"/>
      </w:pPr>
      <w:r>
        <w:rPr>
          <w:rFonts w:ascii="Times New Roman" w:hAnsi="Times New Roman" w:eastAsia="仿宋"/>
          <w:b w:val="0"/>
          <w:sz w:val="24"/>
        </w:rPr>
        <w:t>年用电与综合能耗：年电力消耗 37818.35 万 kWh（3.781835 亿 kWh）。按稿内折标系数 1.229 tce/万 kWh、2.8534 tce/万 kWh，电力折当量值 46478.75 tce、等价值 107910.88 tce；柴油 68.64 吨折 100.02 tce（隐含 1.4572 tce/吨）；合计当量值 46578.77 tce、等价值 108010.90 tce。经复核，上述分项与合计在四舍五入范围内成立，与稿载 46578.77、108010.90 一致。</w:t>
      </w:r>
    </w:p>
    <w:p>
      <w:pPr>
        <w:spacing w:before="0" w:after="0"/>
        <w:ind w:firstLine="480"/>
      </w:pPr>
      <w:r>
        <w:rPr>
          <w:rFonts w:ascii="Times New Roman" w:hAnsi="Times New Roman" w:eastAsia="仿宋"/>
          <w:b w:val="0"/>
          <w:sz w:val="24"/>
        </w:rPr>
        <w:t>能效：第 4.6.1 节载设计 PUE 约 1.199，公式为 PTotal/PIT；对标粤发改高技〔2022〕436 号“省内新建 PUE≤1.3”。IT 机柜按 365×24＝8760 小时、负荷系数 1.0 计；辅助用电多按 8760 小时，系数 0.92 或 0.50。变压器容量 100000kVA，稿载负荷率 40.95%。</w:t>
      </w:r>
    </w:p>
    <w:p>
      <w:pPr>
        <w:spacing w:before="0" w:after="0"/>
        <w:ind w:firstLine="480"/>
      </w:pPr>
      <w:r>
        <w:rPr>
          <w:rFonts w:ascii="Times New Roman" w:hAnsi="Times New Roman" w:eastAsia="仿宋"/>
          <w:b w:val="0"/>
          <w:sz w:val="24"/>
        </w:rPr>
        <w:t>液冷：冷板液冷已写入本期方案。昨日申请书载液冷机柜“本期暂不建，与服务器同期建设”；本专册设计 PUE 仍为 1.199，与昨日不建液冷时的满载测算值相同。</w:t>
      </w:r>
    </w:p>
    <w:p>
      <w:pPr>
        <w:spacing w:before="0" w:after="0"/>
        <w:ind w:firstLine="480"/>
      </w:pPr>
      <w:r>
        <w:rPr>
          <w:rFonts w:ascii="Times New Roman" w:hAnsi="Times New Roman" w:eastAsia="仿宋"/>
          <w:b w:val="0"/>
          <w:sz w:val="24"/>
        </w:rPr>
        <w:t>绿电与替代：承诺以“绿电长期供电协议或购买省外绿证等方式”实现 80% 绿电，证据为附图 4-1 绿电承诺函，见第 4.7 节能耗替代情况。</w:t>
      </w:r>
    </w:p>
    <w:p>
      <w:pPr>
        <w:spacing w:before="0" w:after="0"/>
        <w:ind w:firstLine="480"/>
      </w:pPr>
      <w:r>
        <w:rPr>
          <w:rFonts w:ascii="Times New Roman" w:hAnsi="Times New Roman" w:eastAsia="仿宋"/>
          <w:b w:val="0"/>
          <w:sz w:val="24"/>
        </w:rPr>
        <w:t>柴油发电：26 台 10kV、单机 2200kW 机组，装机合计 57200kW；年耗柴油按全年满负荷试运行 6 小时计 68.64 吨。储油内容见第 5 章。</w:t>
      </w:r>
    </w:p>
    <w:p>
      <w:pPr>
        <w:spacing w:before="0" w:after="0"/>
        <w:ind w:firstLine="480"/>
      </w:pPr>
      <w:r>
        <w:rPr>
          <w:rFonts w:ascii="Times New Roman" w:hAnsi="Times New Roman" w:eastAsia="仿宋"/>
          <w:b w:val="0"/>
          <w:sz w:val="24"/>
        </w:rPr>
        <w:t>环境与用地：院内保留现有综合楼、酒店约 1.06 万平方米、幼儿园约 0.14 万平方米，稿称上述建筑不是本期建设内容。现状用地性质为其他商服用地，用途是否已完成调整稿中未见。</w:t>
      </w:r>
    </w:p>
    <w:p>
      <w:pPr>
        <w:spacing w:before="0" w:after="0"/>
        <w:ind w:firstLine="480"/>
      </w:pPr>
      <w:r>
        <w:rPr>
          <w:rFonts w:ascii="Times New Roman" w:hAnsi="Times New Roman" w:eastAsia="仿宋"/>
          <w:b w:val="0"/>
          <w:sz w:val="24"/>
        </w:rPr>
        <w:t>服务器：计算、存储设备仍由他方采购部署，不属本期资产（昨日申请书索引表表述为“土建及配套、不进行服务器建设与投资”）；36MW IT 负荷已全额计入能耗测算。</w:t>
      </w:r>
    </w:p>
    <w:p>
      <w:pPr>
        <w:spacing w:before="240" w:after="80"/>
        <w:ind w:firstLine="600"/>
      </w:pPr>
      <w:r>
        <w:rPr>
          <w:rFonts w:ascii="Times New Roman" w:hAnsi="Times New Roman" w:eastAsia="黑体"/>
          <w:b w:val="0"/>
          <w:sz w:val="30"/>
        </w:rPr>
        <w:t>二、适用政策与审查边界</w:t>
      </w:r>
    </w:p>
    <w:p>
      <w:pPr>
        <w:spacing w:before="160" w:after="0"/>
        <w:ind w:firstLine="560"/>
      </w:pPr>
      <w:r>
        <w:rPr>
          <w:rFonts w:ascii="Times New Roman" w:hAnsi="Times New Roman" w:eastAsia="楷体"/>
          <w:b/>
          <w:sz w:val="28"/>
        </w:rPr>
        <w:t>（一）规模分档判定：本项目属大型及以上算力基础设施</w:t>
      </w:r>
    </w:p>
    <w:p>
      <w:pPr>
        <w:spacing w:before="0" w:after="0"/>
        <w:ind w:firstLine="480"/>
      </w:pPr>
      <w:r>
        <w:rPr>
          <w:rFonts w:ascii="Times New Roman" w:hAnsi="Times New Roman" w:eastAsia="仿宋"/>
          <w:b w:val="0"/>
          <w:sz w:val="24"/>
        </w:rPr>
        <w:t>依 320 号附件 1（原件第 8 页），大型及以上的判定条件为“设计规模达 3000 标准机架及以上（即设计功率 7500KW 以上，或综合能耗达到 1 万吨标准煤【当量值】或 2.4 万吨标准煤【等价值】），或服务器采购金额 10 亿元以上”，各条件之间为“或”的关系。经复核，本项目同时触及三项：折合 2.5kW 标准机架 14400 架，为 3000 架阈值的 4.8 倍；设计功率按申报值 36000kW 计为 7500kW 阈值的 4.8 倍，按实物机柜合计 35998kW 计为 4.7997 倍；年综合能耗当量值 46578.77 tce，为 1 万 tce 阈值的 4.6579 倍，等价值 108010.90 tce，为 2.4 万 tce 阈值的 4.5005 倍。本项目属大型及以上，判定不依赖服务器采购金额一项；昨日申请书索引表所载“土建及配套、不进行服务器建设与投资”不改变该分档结论。</w:t>
      </w:r>
    </w:p>
    <w:p>
      <w:pPr>
        <w:spacing w:before="160" w:after="0"/>
        <w:ind w:firstLine="560"/>
      </w:pPr>
      <w:r>
        <w:rPr>
          <w:rFonts w:ascii="Times New Roman" w:hAnsi="Times New Roman" w:eastAsia="楷体"/>
          <w:b/>
          <w:sz w:val="28"/>
        </w:rPr>
        <w:t>（二）窗口指导与两高审查的前置关系</w:t>
      </w:r>
    </w:p>
    <w:p>
      <w:pPr>
        <w:spacing w:before="0" w:after="0"/>
        <w:ind w:firstLine="480"/>
      </w:pPr>
      <w:r>
        <w:rPr>
          <w:rFonts w:ascii="Times New Roman" w:hAnsi="Times New Roman" w:eastAsia="仿宋"/>
          <w:b w:val="0"/>
          <w:sz w:val="24"/>
        </w:rPr>
        <w:t>依 320 号，大型及以上算力基础设施全部纳入“窗口指导”范围，不分投资主体；未通过“窗口指导”的项目不得开展备案、节能审查（能评）和网络接入（条款页码待核）。据此，本项目的两高审查在程序上位于“窗口指导”之后，不得先于窗口结论形成肯定性能耗、能效结论。本轮未见本项目已通过“窗口指导”的证明文件，故第三部分第 1 条列为高风险首项。</w:t>
      </w:r>
    </w:p>
    <w:p>
      <w:pPr>
        <w:spacing w:before="160" w:after="0"/>
        <w:ind w:firstLine="560"/>
      </w:pPr>
      <w:r>
        <w:rPr>
          <w:rFonts w:ascii="Times New Roman" w:hAnsi="Times New Roman" w:eastAsia="楷体"/>
          <w:b/>
          <w:sz w:val="28"/>
        </w:rPr>
        <w:t>（三）审查边界：只审里水 36MW</w:t>
      </w:r>
    </w:p>
    <w:p>
      <w:pPr>
        <w:spacing w:before="0" w:after="0"/>
        <w:ind w:firstLine="480"/>
      </w:pPr>
      <w:r>
        <w:rPr>
          <w:rFonts w:ascii="Times New Roman" w:hAnsi="Times New Roman" w:eastAsia="仿宋"/>
          <w:b w:val="0"/>
          <w:sz w:val="24"/>
        </w:rPr>
        <w:t>本次两高审查的唯一边界为里水本址 36MW，对应里水大道中 36 号、46.55 亩、新建 1 栋 A1、实物机柜 492 台、投资 94638 万元。另依 320 号关于禁止报小建大、分期建设按累计规模计的要求（条款页码待核），须核里水大院是否存在 A1 之外的后续楼栋或后续期；若存在，规模分档与能耗边界须按累计规模重列。本项目是否属该文印发之日（2025 年 3 月 20 日）前已完成审批、备案但未开工的存量项目，或印发之日后拟新建的项目，稿中未见明确；依附件 1 备注 1（原件第 8 页），有新建机房楼需求的项目以是否取得开工许可证为分类标志，该状态待核。</w:t>
      </w:r>
    </w:p>
    <w:p>
      <w:pPr>
        <w:spacing w:before="160" w:after="0"/>
        <w:ind w:firstLine="560"/>
      </w:pPr>
      <w:r>
        <w:rPr>
          <w:rFonts w:ascii="Times New Roman" w:hAnsi="Times New Roman" w:eastAsia="楷体"/>
          <w:b/>
          <w:sz w:val="28"/>
        </w:rPr>
        <w:t>（四）韶塘材料不并入本次边界</w:t>
      </w:r>
    </w:p>
    <w:p>
      <w:pPr>
        <w:spacing w:before="0" w:after="0"/>
        <w:ind w:firstLine="480"/>
      </w:pPr>
      <w:r>
        <w:rPr>
          <w:rFonts w:ascii="Times New Roman" w:hAnsi="Times New Roman" w:eastAsia="仿宋"/>
          <w:b w:val="0"/>
          <w:sz w:val="24"/>
        </w:rPr>
        <w:t>见前述说明第五条。韶塘园区材料作省内 IDC 机楼现状支撑之用，其规模、用地、栋数和机架数不进入里水 36MW 的申报边界，也不进入任何并场规模统计。</w:t>
      </w:r>
    </w:p>
    <w:p>
      <w:pPr>
        <w:spacing w:before="160" w:after="0"/>
        <w:ind w:firstLine="560"/>
      </w:pPr>
      <w:r>
        <w:rPr>
          <w:rFonts w:ascii="Times New Roman" w:hAnsi="Times New Roman" w:eastAsia="楷体"/>
          <w:b/>
          <w:sz w:val="28"/>
        </w:rPr>
        <w:t>（五）能耗边界：IT 电量不得从两高边界剔除</w:t>
      </w:r>
    </w:p>
    <w:p>
      <w:pPr>
        <w:spacing w:before="0" w:after="0"/>
        <w:ind w:firstLine="480"/>
      </w:pPr>
      <w:r>
        <w:rPr>
          <w:rFonts w:ascii="Times New Roman" w:hAnsi="Times New Roman" w:eastAsia="仿宋"/>
          <w:b w:val="0"/>
          <w:sz w:val="24"/>
        </w:rPr>
        <w:t>申请人不投资服务器仅改变资产归属，不改变该负荷在本数据中心计量边界内实际用电的事实。本专册已将 36MW IT 负荷全额计入年电量与吨标准煤，该处理正确，本轮将其锁定为审查前提：凡在里水本址计量点内的 IT 用电，不论服务器由谁投资、电费由谁结算，均计入本项目年电量与年综合能耗，后续补正、答复或口头说明均不得再予剔除。同时，IT 电量计入能耗边界不等于服务器、芯片成为本期资产，两者不得互相推导。</w:t>
      </w:r>
    </w:p>
    <w:p>
      <w:pPr>
        <w:spacing w:before="160" w:after="0"/>
        <w:ind w:firstLine="560"/>
      </w:pPr>
      <w:r>
        <w:rPr>
          <w:rFonts w:ascii="Times New Roman" w:hAnsi="Times New Roman" w:eastAsia="楷体"/>
          <w:b/>
          <w:sz w:val="28"/>
        </w:rPr>
        <w:t>（六）三套口径分开声明</w:t>
      </w:r>
    </w:p>
    <w:p>
      <w:pPr>
        <w:spacing w:before="0" w:after="0"/>
        <w:ind w:firstLine="480"/>
      </w:pPr>
      <w:r>
        <w:rPr>
          <w:rFonts w:ascii="Times New Roman" w:hAnsi="Times New Roman" w:eastAsia="仿宋"/>
          <w:b w:val="0"/>
          <w:sz w:val="24"/>
        </w:rPr>
        <w:t>见前述说明第六条。本件第三部分各条严格按该声明使用口径；凡跨口径的换算，均标明系本件的算术复核结果，不作为对报送稿未披露项的补齐。</w:t>
      </w:r>
    </w:p>
    <w:p>
      <w:pPr>
        <w:spacing w:before="160" w:after="0"/>
        <w:ind w:firstLine="560"/>
      </w:pPr>
      <w:r>
        <w:rPr>
          <w:rFonts w:ascii="Times New Roman" w:hAnsi="Times New Roman" w:eastAsia="楷体"/>
          <w:b/>
          <w:sz w:val="28"/>
        </w:rPr>
        <w:t>（七）程序性依据待核</w:t>
      </w:r>
    </w:p>
    <w:p>
      <w:pPr>
        <w:spacing w:before="0" w:after="0"/>
        <w:ind w:firstLine="480"/>
      </w:pPr>
      <w:r>
        <w:rPr>
          <w:rFonts w:ascii="Times New Roman" w:hAnsi="Times New Roman" w:eastAsia="仿宋"/>
          <w:b w:val="0"/>
          <w:sz w:val="24"/>
        </w:rPr>
        <w:t>节能审查与碳排放评价的受理层级、文本要求、时限及与“窗口指导”的先后衔接，本件不引用未核红头文件作依据，统一标注“待核”，由申请人按报送时现行有效文件补齐并说明。</w:t>
      </w:r>
    </w:p>
    <w:p>
      <w:pPr>
        <w:spacing w:before="240" w:after="80"/>
        <w:ind w:firstLine="600"/>
      </w:pPr>
      <w:r>
        <w:rPr>
          <w:rFonts w:ascii="Times New Roman" w:hAnsi="Times New Roman" w:eastAsia="黑体"/>
          <w:b w:val="0"/>
          <w:sz w:val="30"/>
        </w:rPr>
        <w:t>三、审查细则</w:t>
      </w:r>
    </w:p>
    <w:p>
      <w:pPr>
        <w:spacing w:before="0" w:after="0"/>
        <w:ind w:firstLine="480"/>
      </w:pPr>
      <w:r>
        <w:rPr>
          <w:rFonts w:ascii="Times New Roman" w:hAnsi="Times New Roman" w:eastAsia="仿宋"/>
          <w:b w:val="0"/>
          <w:sz w:val="24"/>
        </w:rPr>
        <w:t>本部分共 13 项，其中高风险 6 项、中风险 7 项。每项列风险等级、位置、稿内表述、问题及须补正或待核事项四至五栏。</w:t>
      </w:r>
    </w:p>
    <w:p>
      <w:pPr>
        <w:spacing w:before="160" w:after="0"/>
        <w:ind w:firstLine="560"/>
      </w:pPr>
      <w:r>
        <w:rPr>
          <w:rFonts w:ascii="Times New Roman" w:hAnsi="Times New Roman" w:eastAsia="楷体"/>
          <w:b/>
          <w:sz w:val="28"/>
        </w:rPr>
        <w:t>（一）高风险问题</w:t>
      </w:r>
    </w:p>
    <w:p>
      <w:pPr>
        <w:spacing w:before="120" w:after="0"/>
        <w:ind w:firstLine="480"/>
      </w:pPr>
      <w:r>
        <w:rPr>
          <w:rFonts w:ascii="Times New Roman" w:hAnsi="Times New Roman" w:eastAsia="仿宋"/>
          <w:b/>
          <w:sz w:val="24"/>
        </w:rPr>
        <w:t>1. 未见通过“窗口指导”的证明，两高审查缺少程序前提</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政策依据章、项目审批与核准（备案）情况章（页码待核）。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终稿列有节能与能耗测算、PUE、绿电及替代内容；本项目已通过“窗口指导”的批复、意见或受理证明，稿中未见。</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依 320 号，大型及以上算力基础设施全部纳入“窗口指导”范围且不分投资主体，未过窗口不得备案、能评和网络接入（条款页码待核）。本项目经复核为大型及以上（标准机架 4.8 倍、设计功率 4.8 倍、能耗当量值 4.6579 倍于各自阈值），不存在按投资主体或按“不投服务器”豁免的空间。在窗口结论缺位的情况下，两高审查所依据的规模、能效和绿电口径均可能被后续窗口环节改变，本轮无法形成稳定的肯定性结论。此项不是文本瑕疵，而是程序顺序问题。</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提交本项目“窗口指导”的申请材料、受理凭证及结论文件；若尚未申请或尚未取得结论，请说明本两高专册在窗口结论形成前报送审查的依据，以及拟如何避免窗口环节调整规模后能耗测算全部重做。项目审批、备案的现状及是否属 320 号印发前存量项目，请一并说明并附证明，待核。</w:t>
      </w:r>
    </w:p>
    <w:p>
      <w:pPr>
        <w:spacing w:before="120" w:after="0"/>
        <w:ind w:firstLine="480"/>
      </w:pPr>
      <w:r>
        <w:rPr>
          <w:rFonts w:ascii="Times New Roman" w:hAnsi="Times New Roman" w:eastAsia="仿宋"/>
          <w:b/>
          <w:sz w:val="24"/>
        </w:rPr>
        <w:t>2. 大型算力中心布局在国家枢纽节点算力中心集群之外，与“东数西算”布局要求的相符性未论证</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项目背景及必要性章、建设地点章（页码待核）。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建设地点为佛山市南海区里水大道中 36 号里水电信大院；项目为大型及以上算力基础设施。申请人另附韶塘园区材料作省内 IDC 机楼现状支撑，其中含“粤港澳大湾区一体化数据中心”名称字段。本址是否位于国家枢纽节点算力中心集群起步区范围内，稿中未见。</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320 号第二部分（原件第 3 页）明确：“严格落实国家关于'东数西算'工程布局要求，国家枢纽节点外原则上不得新建各类大型及超大型算力中心”，该表述未附加投资主体限定；同页并载“对于布局在国家枢纽节点算力中心集群起步区的项目，国家层面将统筹资源，给予能耗指标单列、资金补助等支持”“国家有关方案有明确布局的项目，按照布局方案实施”。本项目为大型及以上、位于佛山市南海区，报送稿未论证本址与国家枢纽节点算力中心集群起步区范围的关系，也未说明本项目是否属国家有关方案已明确布局的项目。此项直接影响能耗指标能否单列，从而影响 108010.90 tce 等价值的安放路径；在布局相符性未论证前，两高审查无法确认该笔增量能耗的来源。申请人自有的现状支撑材料中同时存在另一处园区，其所在地及是否位于集群起步区待核；若该园区在集群范围内而本项目在集群外，则“为何不向集群集聚”须由申请人正面回答。</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提交：本址与粤港澳大湾区国家枢纽节点算力中心集群起步区范围的位置关系说明及依据文件；本项目是否属国家有关方案明确布局的项目及其文件；若本址在集群起步区外，请说明符合“国家枢纽节点外原则上不得新建各类大型及超大型算力中心”要求的依据。集群起步区的具体范围以现行国家文件为准，待核，本件不代为拟定。</w:t>
      </w:r>
    </w:p>
    <w:p>
      <w:pPr>
        <w:spacing w:before="120" w:after="0"/>
        <w:ind w:firstLine="480"/>
      </w:pPr>
      <w:r>
        <w:rPr>
          <w:rFonts w:ascii="Times New Roman" w:hAnsi="Times New Roman" w:eastAsia="仿宋"/>
          <w:b/>
          <w:sz w:val="24"/>
        </w:rPr>
        <w:t>3. 80% 绿电以承诺函加省外绿证并列，本址物理电量未闭合，“韶关”9 处未逐条归类</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第 4.7 节能耗替代情况、附图 4-1 绿电承诺函、终稿全文“韶关”字样 9 处（页码待核）。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以“绿电长期供电协议或购买省外绿证等方式”实现 80% 绿电；证据为附图 4-1 绿电承诺函。终稿全文“韶关”9 处。</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承诺函不是交易合同，也不是里水计量点的结算凭证；“或购买省外绿证”把环境权益凭证写成了绿电比例的实现方式。本轮明确：绿电比例以本址可计量、可结算的物理电量路径为准，绿证与省外合同不能无条件顶替年度绿电占比。经复核，按年电量 37818.35 万 kWh 的 80% 计，对应物理绿电电量应为 30254.68 万 kWh；该电量的合同年度、计量点、结算主体、环境权益归属与注销安排，稿中均未见。另据 320 号，绿电占比超过 80% 属优先支持情形（条款页码待核），即 80% 是获得优先支持的门槛而非已实现的结论，以承诺函主张该占比不产生优先支持效果。关于“韶关”9 处：按本轮锁定口径，韶塘及韶关园区材料属省内 IDC 机楼现状支撑，不是本项目申报内容；但现状支撑材料中的绿电交易合同同样不能作为里水本址的项目级绿电证据。9 处须逐条归类为现状支撑引述、集团历史采购业绩、案例或误植，未逐条归类前，不能排除以异地合同或省外绿证顶替里水本址电量。</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请提交里水本址对应年度、对应电量、对应计量点的电力交易合同或具备约束力的供电协议，并列明 30254.68 万 kWh 如何落到本址表计；分列物理结算电量、绿证数量与环境权益，明确归属主体与注销安排。请逐条列出“韶关”9 处的位置与性质，属现状支撑的标明其为现状支撑并不得计入本项目绿电比例。屋顶光伏的装机、年发电量及其占本址年电量的比例，请单独列示，待核。</w:t>
      </w:r>
    </w:p>
    <w:p>
      <w:pPr>
        <w:spacing w:before="120" w:after="0"/>
        <w:ind w:firstLine="480"/>
      </w:pPr>
      <w:r>
        <w:rPr>
          <w:rFonts w:ascii="Times New Roman" w:hAnsi="Times New Roman" w:eastAsia="仿宋"/>
          <w:b/>
          <w:sz w:val="24"/>
        </w:rPr>
        <w:t>4. PUE 1.199 系满载设计点，非年加权值；对标口径低于 320 号要求</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第 4.6.1 节、IT 电量表及辅助用电表（页码待核）。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设计 PUE 约 1.199，公式 PTotal/PIT；对标粤发改高技〔2022〕436 号“省内新建 PUE≤1.3”。IT 机柜按 100kW×328 台、24kW×82 台、15kW×82 台，运行 8760 小时，负荷系数 1.0；辅助用电多按 8760 小时，系数 0.92 或 0.50。</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经复核，100kW 档年电量 28732.8 万 kWh，三档 IT 电量合计 31534.248 万 kWh；37818.35÷31534.248＝1.1993，与稿内 1.199 一致，满载算术成立。但该值是在 IT 三档负荷系数全部取 1.0、全年 8760 小时满载条件下、以功率比公式得出的设计点，不能代表投运首年与达产年的运营年加权值；投运爬坡期不可能由负荷系数 1.0 代表，逐月负荷曲线与年加权计算表稿中未见。昨日申请书另载华南地区 50% 负载工况 PUE 1.245，本专册未见推翻该材料的新证据。对标口径亦须更正：320 号要求 PUE 控制在 1.25 以内（条款页码待核），而稿内对标的是粤发改高技〔2022〕436 号的 1.3；以 1.3 为对标属低于现行窗口要求的口径。经复核，1.245 与 1.25 之间仅余 0.005 的余量，一旦按部分负载工况或年加权重算，本项目是否仍在 1.25 以内并无余地可言。</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请分别给出设计点 PUE、满载点 PUE 和投运首年、达产年的全年加权 PUE，并提交逐月 IT 负荷、制冷用电及其他辅助用电测算表；说明爬坡期如何维持满载效率，以及 50% 负载 1.245 在本专册中为何不再回应。请按 320 号 1.25 的控制要求重新对标，并说明粤发改高技〔2022〕436 号在报送时的效力，待核。</w:t>
      </w:r>
    </w:p>
    <w:p>
      <w:pPr>
        <w:spacing w:before="120" w:after="0"/>
        <w:ind w:firstLine="480"/>
      </w:pPr>
      <w:r>
        <w:rPr>
          <w:rFonts w:ascii="Times New Roman" w:hAnsi="Times New Roman" w:eastAsia="仿宋"/>
          <w:b/>
          <w:sz w:val="24"/>
        </w:rPr>
        <w:t>5. 能耗替代将购买省外绿证列为实现路径，替代来源未闭合</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第 4.7 节能耗替代情况（页码待核）。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“绿电长期供电协议或购买省外绿证等方式”，实现 80% 绿电，该表述置于能耗替代情况章节之下。</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能耗替代与绿电占比不是同一项。即便绿电协议成立，购买省外绿证也不能证明本项目在本址少消耗了物理电量，更不能把等价值 108010.90 tce 从增量能耗中扣减。替代量（吨标准煤）、来源项目、来源年度、可用凭证、权益归属及重复计量排除安排，稿中均未见。本轮不接受以绿证充抵能耗替代量，也不接受把承诺函写成已经落实的替代来源。</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请列明拟替代的吨标准煤数量、来源项目、来源年度、落实文件及权利人，并说明与本项目 46578.77 tce 当量值、108010.90 tce 等价值的对应关系；无上述文件的，请撤回以绿证实现 80% 绿电并以之充抵替代的表述。替代量的核定层级与程序依据待核，本件不引用未核文件代为认定。</w:t>
      </w:r>
    </w:p>
    <w:p>
      <w:pPr>
        <w:spacing w:before="120" w:after="0"/>
        <w:ind w:firstLine="480"/>
      </w:pPr>
      <w:r>
        <w:rPr>
          <w:rFonts w:ascii="Times New Roman" w:hAnsi="Times New Roman" w:eastAsia="仿宋"/>
          <w:b/>
          <w:sz w:val="24"/>
        </w:rPr>
        <w:t>6. 其他商服用地未完成用途调整，院内酒店、幼儿园与 26 台柴发及储油的相容性未闭合</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项目概况及用地章、环境保护章、第 5 章储油（页码待核）。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里水电信大院 46.55 亩，现状用地性质为其他商服用地；新建 1 栋 A1。院内保留综合楼、酒店约 1.06 万平方米、幼儿园约 0.14 万平方米，稿称不是本期建设内容。26 台 10kV、2200kW 柴油发电机组，装机合计 57200kW；储油见第 5 章。</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其他商服用地是否允许本期数据中心建设，取决于用途调整是否完成。稿内只写现状性质，拟调整用途、办理机关、完成时点及是否影响开工均稿中未见。酒店与幼儿园属人群聚集及敏感场所，“不列入本期建设内容”只说明其不是新建对象，不说明其可与 26 台柴油机组及储油设施同址兼容。机房、冷却设备、柴发机组、排气口、储油设施与酒店、幼儿园之间的最近距离，噪声、废气、防渗、防火及事故风险专项结论，在所给摘录中均未见。敏感点约束未判定前，总平面布局与建设内容在环境与安全上的可落实性不能确认。</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请说明用地拟调整用途、办理机关与完成时点，并说明调整完成前可否开工及其依据；在总平面图上标明酒店、幼儿园、A1 机房、冷却设备、26 台机组、排气口和储油设施的位置及最近距离；提交噪声、废气、防渗、防火及事故风险专项结论；补充第 5 章储油的容积、储存形式、最大储量与位置。碳排放评价对上述内容的具体要求依现行文件确定，待核。</w:t>
      </w:r>
    </w:p>
    <w:p>
      <w:pPr>
        <w:spacing w:before="160" w:after="0"/>
        <w:ind w:firstLine="560"/>
      </w:pPr>
      <w:r>
        <w:rPr>
          <w:rFonts w:ascii="Times New Roman" w:hAnsi="Times New Roman" w:eastAsia="楷体"/>
          <w:b/>
          <w:sz w:val="28"/>
        </w:rPr>
        <w:t>（二）中风险问题</w:t>
      </w:r>
    </w:p>
    <w:p>
      <w:pPr>
        <w:spacing w:before="120" w:after="0"/>
        <w:ind w:firstLine="480"/>
      </w:pPr>
      <w:r>
        <w:rPr>
          <w:rFonts w:ascii="Times New Roman" w:hAnsi="Times New Roman" w:eastAsia="仿宋"/>
          <w:b/>
          <w:sz w:val="24"/>
        </w:rPr>
        <w:t>7. 冷板液冷已写入方案，设计 PUE 仍与昨日不建液冷时同为 1.199</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制冷及液冷方案章、第 4.6.1 节（页码待核）。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冷板液冷已写入本期方案；设计 PUE 约 1.199。昨日申请书载液冷机柜“本期暂不建，与服务器同期建设”。</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液冷由“暂不建”改为“已写入”，应同步改变制冷电量、部分负载效率与年加权值，并说明冷板覆盖哪些机柜。本专册 IT 电量仍按满载 8760 小时、负荷系数 1.0 计，PUE 仍为 1.199，与昨日不建液冷时的满载结果相同，未见因冷板投建而重算制冷电量、分工况效率或年加权值的过程。若 328 台 100kW 机柜为液冷、其余为风冷，未见分系统电量；若液冷仅为预留，则不得以液冷叙事支撑 1.199。</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请说明冷板液冷覆盖哪一档机柜、多少台、何时投用，并分列风冷、液冷的制冷电量与分系统 PUE；说明方案已写液冷后设计值为何与昨日暂不建时相同。液冷设备是否属本期采购范围、由谁采购，请一并说明，待核。</w:t>
      </w:r>
    </w:p>
    <w:p>
      <w:pPr>
        <w:spacing w:before="120" w:after="0"/>
        <w:ind w:firstLine="480"/>
      </w:pPr>
      <w:r>
        <w:rPr>
          <w:rFonts w:ascii="Times New Roman" w:hAnsi="Times New Roman" w:eastAsia="仿宋"/>
          <w:b/>
          <w:sz w:val="24"/>
        </w:rPr>
        <w:t>8. 供电容量、负荷率与年运行功率未桥接</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变配电章、第 4 章用电测算（页码待核）。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变压器容量 100000kVA，稿载负荷率 40.95%；年电力消耗 37818.35 万 kWh；IT 侧实物机柜合计 35998kW。</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经复核，37818.35 万 kWh÷8760 小时＝43171.63kW；若近似按千瓦对应千伏安，占 100000kVA 的 43.17%，而非稿载 40.95%；100000kVA×40.95%＝40950kVA。功率因数、变压器运行台数、备用容量、是否含柴油机组侧及分期启用安排，稿中未见逐级桥接。容量口径不一致将导致供电申请与能耗边界不是同一套数。</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请说明 40.95% 的分子、分母、功率因数与统计时段，并从 35998kW IT 负荷逐级列至总有功功率、视在功率、变压器容量与运行台数、冗余方式，与年电量 37818.35 万 kWh 对齐；说明备用变压器是否计入 100000kVA。</w:t>
      </w:r>
    </w:p>
    <w:p>
      <w:pPr>
        <w:spacing w:before="120" w:after="0"/>
        <w:ind w:firstLine="480"/>
      </w:pPr>
      <w:r>
        <w:rPr>
          <w:rFonts w:ascii="Times New Roman" w:hAnsi="Times New Roman" w:eastAsia="仿宋"/>
          <w:b/>
          <w:sz w:val="24"/>
        </w:rPr>
        <w:t>9. 26 台机组年耗油仅按 6 小时满负荷试运行，事故与限电情景未计入</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第 4 章柴油用量、第 5 章储油（页码待核）。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26 台 10kV、2200kW 机组，按全年满负荷试运行 6 小时计柴油 68.64 吨，折 100.02 tce。</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经复核，26×2200kW×6 小时＝343200kWh；68.64 吨对应隐含油耗率 0.20 千克/kWh；68.64 吨折 100.02 tce 隐含 1.4572 tce/吨，算术成立。但该油耗只覆盖试验运行，不含市电故障、限电或应急带载。若实际年运行超过 6 小时，柴油量与吨标准煤均被低估，46578.77 tce 当量值随之上移。26 台合计 57200kW 与院内酒店、幼儿园同址，储油规模与事故情景不能以“只试 6 小时”带过。</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请说明 6 小时是规程要求的试验时长还是经验取值，0.20 千克/kWh 的出处；补充市电中断等情景下的年运行小时与油耗上限，并列储罐容积、储存形式、最大储量及与酒店、幼儿园的距离；说明应急带载时的油料能耗是否仍落在本项目能耗边界内。</w:t>
      </w:r>
    </w:p>
    <w:p>
      <w:pPr>
        <w:spacing w:before="120" w:after="0"/>
        <w:ind w:firstLine="480"/>
      </w:pPr>
      <w:r>
        <w:rPr>
          <w:rFonts w:ascii="Times New Roman" w:hAnsi="Times New Roman" w:eastAsia="仿宋"/>
          <w:b/>
          <w:sz w:val="24"/>
        </w:rPr>
        <w:t>10. 实物机柜 492 台与“82 台 100kW”并存，标准机架仅可作分档折合</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机柜配置章及 IT 电量表（页码待核）。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实物机柜 492 台（100kW×328、24kW×82、15kW×82），合计 35998kW；提取记录另见 82 台 100kW 机柜。昨日申请书主口径为 14400 个 2.5kW 标准机架。</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经复核，492 台加总 35998kW，与 36MW 一致，平均 73.17kW/台，主口径较昨日更接近实物。但“82 台 100kW”与“328 台 100kW”不能同时作为主数：若 82 台是 328 台中的液冷子集或分期，须写明；若属另一套方案，则 100kW 档年电量 28732.8 万 kWh 失去唯一配置基础。按本轮口径声明，14400 个 2.5kW 标准机架仅用于 320 号附件 1 的规模分档折合，不得与 492 台实物柜混计，他处引用须标注为折合值。</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请出具本期唯一机柜清单，列明各功率档台数、冷却方式、所在楼层及是否计入能耗表；说明 82 台与 328 台的关系；确认 14400 个标准机架仅作分档折合使用。</w:t>
      </w:r>
    </w:p>
    <w:p>
      <w:pPr>
        <w:spacing w:before="120" w:after="0"/>
        <w:ind w:firstLine="480"/>
      </w:pPr>
      <w:r>
        <w:rPr>
          <w:rFonts w:ascii="Times New Roman" w:hAnsi="Times New Roman" w:eastAsia="仿宋"/>
          <w:b/>
          <w:sz w:val="24"/>
        </w:rPr>
        <w:t>11. 辅助电量分项、系数含义与依据未见</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第 4 章辅助用电表（页码待核）。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辅助用电多按 8760 小时计，系数 0.92 或 0.50；年总电量 37818.35 万 kWh。</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经复核，年总电量减 IT 电量 31534.248 万 kWh，辅助电量为 6284.102 万 kWh。稿中未给出辅助分项名称、装机功率、各系数的试验或运行依据，也未说明 0.92、0.50 是同时率、负荷率还是备用率。IT 侧取 1.0、辅助侧取 0.92 或 0.50，再合成 1.199，属设计点拼装，不是年加权。系数取高取低都会直接改变吨标准煤与 PUE。</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请列出辅助用电分项、装机功率、运行小时、系数含义与取值依据，用同一张表加总到 6284.102 万 kWh 并与年总电量对齐；说明在 IT 负荷 50%、80% 时各分项如何变化。</w:t>
      </w:r>
    </w:p>
    <w:p>
      <w:pPr>
        <w:spacing w:before="120" w:after="0"/>
        <w:ind w:firstLine="480"/>
      </w:pPr>
      <w:r>
        <w:rPr>
          <w:rFonts w:ascii="Times New Roman" w:hAnsi="Times New Roman" w:eastAsia="仿宋"/>
          <w:b/>
          <w:sz w:val="24"/>
        </w:rPr>
        <w:t>12. 增量能耗对标年份不接，等价折标系数与同期另一项目报送稿不一致</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增量能耗及与广东、佛山能耗空间比较章（页码待核）。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以等价值 108010.90 tce 与广东、佛山“十五五”能耗空间比较，同时对照 2025 年单位地区生产总值能耗目标。电力等价折标系数取 2.8534 tce/万 kWh。</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其一，本专册署期 2026 年 8 月，比较对象却同时出现“十五五”空间与 2025 年目标；2025 年目标属“十四五”期末口径，用已到期的年度目标论证 2026 年申报项目的增量能耗安排，依据年份不相接。本件不编造 2026 年或“十五五”的法定限额，只指出对标年份问题，由申请人自行说明现行有效依据。其二，经复核，同期报送的腾龙湾区项目稿内当量值、等价值反算的折标系数分别为 1.229 和 2.8369 tce/万 kWh，当量系数与本稿一致，等价系数比本稿的 2.8534 低 0.0165。两稿等价系数不一致，须以报送时现行有效的折标系数统一，究竟以何值为准待核。</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请列出据以比较的现行文件名称、文号、适用条款与有效期，说明 2025 年目标在 2026 年引用的效力，并明确 108010.90 tce 等价值拟从哪一级、哪一年度的能耗空间中安排；请说明 2.8534 tce/万 kWh 的出处，并与同期其他报送稿的口径统一。</w:t>
      </w:r>
    </w:p>
    <w:p>
      <w:pPr>
        <w:spacing w:before="120" w:after="0"/>
        <w:ind w:firstLine="480"/>
      </w:pPr>
      <w:r>
        <w:rPr>
          <w:rFonts w:ascii="Times New Roman" w:hAnsi="Times New Roman" w:eastAsia="仿宋"/>
          <w:b/>
          <w:sz w:val="24"/>
        </w:rPr>
        <w:t>13. 服务器由他方采购部署，IT 电量已计入，权属与不得剔除须书面锁定</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建设内容章及第 4 章能耗测算（页码待核）。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计算、存储设备由他方采购部署，不属本期资产；36MW IT 负荷已计入年电量与吨标准煤。</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本专册已把 IT 负荷全额计入能耗边界，该处理正确，是相对昨日申请书的实质进展。风险在于后续补正、答复或口头说明再次把客户侧电费从项目能耗中划出；同时须防止反向推导，即以 IT 电量已计入为由，把 36MW 写成申请人已落实的服务器投资规模。该风险不是假设：经复核，昨日申请书财务章电费按“36000kW×85%×0.75 元”计约 20104 万元，以 20104.2÷0.75÷26805.6 反算，其隐含 PUE 恰为 1.0，即只按 IT 电量计费、辅助电量电费未计。可见申请人在同期另一份材料中确已使用过把辅助用电排除在外的电量口径。本专册按全口径年电量 37818.35 万 kWh 计能耗，方向正确，但须书面锁定该口径不得回退到 IT-only 计法。按 320 号附件 1，本项目的大型分档由标准机架数、设计功率与综合能耗三项独立触及，不依赖服务器采购金额，“土建及配套、不进行服务器建设与投资”既不改变分档，也不改变能耗边界。</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请书面确认：凡在里水本址计量点内的 IT 用电，不论服务器由谁投资、电费由谁结算，均计入本项目年电量与吨标准煤，后续不得剔除；同时确认服务器、芯片不属本期建设内容与本期资产。请说明计量点、分表设置与电费结算主体。</w:t>
      </w:r>
    </w:p>
    <w:p>
      <w:pPr>
        <w:spacing w:before="240" w:after="80"/>
        <w:ind w:firstLine="600"/>
      </w:pPr>
      <w:r>
        <w:rPr>
          <w:rFonts w:ascii="Times New Roman" w:hAnsi="Times New Roman" w:eastAsia="黑体"/>
          <w:b w:val="0"/>
          <w:sz w:val="30"/>
        </w:rPr>
        <w:t>四、结论与风险分类建议</w:t>
      </w:r>
    </w:p>
    <w:p>
      <w:pPr>
        <w:spacing w:before="160" w:after="0"/>
        <w:ind w:firstLine="560"/>
      </w:pPr>
      <w:r>
        <w:rPr>
          <w:rFonts w:ascii="Times New Roman" w:hAnsi="Times New Roman" w:eastAsia="楷体"/>
          <w:b/>
          <w:sz w:val="28"/>
        </w:rPr>
        <w:t>（一）总体结论</w:t>
      </w:r>
    </w:p>
    <w:p>
      <w:pPr>
        <w:spacing w:before="0" w:after="0"/>
        <w:ind w:firstLine="480"/>
      </w:pPr>
      <w:r>
        <w:rPr>
          <w:rFonts w:ascii="Times New Roman" w:hAnsi="Times New Roman" w:eastAsia="仿宋"/>
          <w:b w:val="0"/>
          <w:sz w:val="24"/>
        </w:rPr>
        <w:t>一、中国电信佛山数据中心（南海里水）项目《两高建设报告》评审终稿现报送稿不宜出具肯定性两高审查意见。本轮形成的是问题清单与补正要求，不构成对年综合能耗量、PUE、绿电比例、能耗替代、用地合规及环境安全的任何肯定性结论。不得表述为“原则同意”“基本同意”或“条件具备、补正后实施”。</w:t>
      </w:r>
    </w:p>
    <w:p>
      <w:pPr>
        <w:spacing w:before="0" w:after="0"/>
        <w:ind w:firstLine="480"/>
      </w:pPr>
      <w:r>
        <w:rPr>
          <w:rFonts w:ascii="Times New Roman" w:hAnsi="Times New Roman" w:eastAsia="仿宋"/>
          <w:b w:val="0"/>
          <w:sz w:val="24"/>
        </w:rPr>
        <w:t>二、程序上，本项目属 320 号项下大型及以上算力基础设施，全部纳入“窗口指导”范围且不分投资主体；稿内未见已通过“窗口指导”的证明。在窗口结论形成前，两高审查不具备可依赖的前置结论，故不予出具肯定性意见。</w:t>
      </w:r>
    </w:p>
    <w:p>
      <w:pPr>
        <w:spacing w:before="0" w:after="0"/>
        <w:ind w:firstLine="480"/>
      </w:pPr>
      <w:r>
        <w:rPr>
          <w:rFonts w:ascii="Times New Roman" w:hAnsi="Times New Roman" w:eastAsia="仿宋"/>
          <w:b w:val="0"/>
          <w:sz w:val="24"/>
        </w:rPr>
        <w:t>三、审查边界锁定为里水 36MW。可相互印证的本期口径为里水大道中 36 号、46.55 亩、新建 1 栋 A1、实物机柜 492 台（35998kW）、折合 2.5kW 标准机架 14400 架、投资 94638 万元。韶塘园区材料为省内 IDC 机楼现状支撑文件，其 200MW、244.3 亩、6 栋、80000 架不进入本次申报边界，也不进入并场规模统计；本终稿未见该组字段，与里水口径一致。</w:t>
      </w:r>
    </w:p>
    <w:p>
      <w:pPr>
        <w:spacing w:before="0" w:after="0"/>
        <w:ind w:firstLine="480"/>
      </w:pPr>
      <w:r>
        <w:rPr>
          <w:rFonts w:ascii="Times New Roman" w:hAnsi="Times New Roman" w:eastAsia="仿宋"/>
          <w:b w:val="0"/>
          <w:sz w:val="24"/>
        </w:rPr>
        <w:t>四、下列事项本轮不予确认：设计 PUE 1.199 作为投运年度加权值；80% 绿电已实现；以绿电协议或购买省外绿证作为能耗替代；其他商服用地在调整完成前的用地合规前提；酒店、幼儿园与柴发储油同址的环境安全结论；等价值 108010.90 tce 已获得能耗空间；服务器及芯片作为本期资产；本址布局与“东数西算”要求相符。</w:t>
      </w:r>
    </w:p>
    <w:p>
      <w:pPr>
        <w:spacing w:before="160" w:after="0"/>
        <w:ind w:firstLine="560"/>
      </w:pPr>
      <w:r>
        <w:rPr>
          <w:rFonts w:ascii="Times New Roman" w:hAnsi="Times New Roman" w:eastAsia="楷体"/>
          <w:b/>
          <w:sz w:val="28"/>
        </w:rPr>
        <w:t>（二）分项判断</w:t>
      </w:r>
    </w:p>
    <w:p>
      <w:pPr>
        <w:spacing w:before="0" w:after="0"/>
        <w:ind w:firstLine="480"/>
      </w:pPr>
      <w:r>
        <w:rPr>
          <w:rFonts w:ascii="Times New Roman" w:hAnsi="Times New Roman" w:eastAsia="仿宋"/>
          <w:b w:val="0"/>
          <w:sz w:val="24"/>
        </w:rPr>
        <w:t>一、吨标准煤测算表已列出且算术可复核，但填表不等于通过。电力 37818.35 万 kWh 按 1.229、2.8534 折当量值 46478.75 tce、等价值 107910.88 tce，柴油 68.64 吨折 100.02 tce，合计 46578.77 tce、108010.90 tce，分项与合计在四舍五入范围内成立。该表证明申请人给出了一套满载年利用口径的数字，不证明计量边界、年加权工况与增量安排已闭合。</w:t>
      </w:r>
    </w:p>
    <w:p>
      <w:pPr>
        <w:spacing w:before="0" w:after="0"/>
        <w:ind w:firstLine="480"/>
      </w:pPr>
      <w:r>
        <w:rPr>
          <w:rFonts w:ascii="Times New Roman" w:hAnsi="Times New Roman" w:eastAsia="仿宋"/>
          <w:b w:val="0"/>
          <w:sz w:val="24"/>
        </w:rPr>
        <w:t>二、现场物理电量边界未闭合。年电量按 IT 满载加辅助系数拼出，未见与关口表、客户分表一致的计量边界图；绿电部分未落到里水本址计量点的物理结算电量。另据昨日申请书，供电协议相关附件（附件 1.6、1.11）标注“项目未启动，暂无”，即本项目尚无供电协议；在无供电协议的情况下，关口计量点位置、装表容量与分表方案均无从核验，80% 绿电对应的 30254.68 万 kWh 也就没有可指认的落点。在边界图、供电协议、分表方案与结算电量齐备前，不确认 37818.35 万 kWh 为可监管的现场电量。</w:t>
      </w:r>
    </w:p>
    <w:p>
      <w:pPr>
        <w:spacing w:before="0" w:after="0"/>
        <w:ind w:firstLine="480"/>
      </w:pPr>
      <w:r>
        <w:rPr>
          <w:rFonts w:ascii="Times New Roman" w:hAnsi="Times New Roman" w:eastAsia="仿宋"/>
          <w:b w:val="0"/>
          <w:sz w:val="24"/>
        </w:rPr>
        <w:t>三、年加权 PUE 未闭合。1.199 由功率比公式在负荷系数 1.0 下算得，属满载设计点；液冷虽已写入方案未见重算；50% 负载 1.245 未被本专册否定，且距 320 号 1.25 的控制要求仅余 0.005。未报送年加权值前不确认 1.199。</w:t>
      </w:r>
    </w:p>
    <w:p>
      <w:pPr>
        <w:spacing w:before="0" w:after="0"/>
        <w:ind w:firstLine="480"/>
      </w:pPr>
      <w:r>
        <w:rPr>
          <w:rFonts w:ascii="Times New Roman" w:hAnsi="Times New Roman" w:eastAsia="仿宋"/>
          <w:b w:val="0"/>
          <w:sz w:val="24"/>
        </w:rPr>
        <w:t>四、项目级绿电未闭合。现有材料为承诺函，实现路径含购买省外绿证，“韶关”9 处未逐条归类。绿证与省外合同不能无条件顶替年度绿电占比；80% 绿电本轮不予确认，且 320 号项下 80% 属优先支持门槛而非已实现结论。</w:t>
      </w:r>
    </w:p>
    <w:p>
      <w:pPr>
        <w:spacing w:before="0" w:after="0"/>
        <w:ind w:firstLine="480"/>
      </w:pPr>
      <w:r>
        <w:rPr>
          <w:rFonts w:ascii="Times New Roman" w:hAnsi="Times New Roman" w:eastAsia="仿宋"/>
          <w:b w:val="0"/>
          <w:sz w:val="24"/>
        </w:rPr>
        <w:t>五、能耗替代未闭合。第 4.7 节未给出可核验的替代项目、年度、数量与凭证；以购买绿证充抵替代本轮不予采纳。</w:t>
      </w:r>
    </w:p>
    <w:p>
      <w:pPr>
        <w:spacing w:before="0" w:after="0"/>
        <w:ind w:firstLine="480"/>
      </w:pPr>
      <w:r>
        <w:rPr>
          <w:rFonts w:ascii="Times New Roman" w:hAnsi="Times New Roman" w:eastAsia="仿宋"/>
          <w:b w:val="0"/>
          <w:sz w:val="24"/>
        </w:rPr>
        <w:t>六、用地与敏感点未闭合。其他商服用地用途调整未见完成；酒店约 1.06 万平方米、幼儿园约 0.14 万平方米仍在院内；26 台机组及储油与敏感点的距离与专项结论未见。总图与环境安全本轮不予确认。</w:t>
      </w:r>
    </w:p>
    <w:p>
      <w:pPr>
        <w:spacing w:before="0" w:after="0"/>
        <w:ind w:firstLine="480"/>
      </w:pPr>
      <w:r>
        <w:rPr>
          <w:rFonts w:ascii="Times New Roman" w:hAnsi="Times New Roman" w:eastAsia="仿宋"/>
          <w:b w:val="0"/>
          <w:sz w:val="24"/>
        </w:rPr>
        <w:t>七、布局相符性未论证。本址与国家枢纽节点算力中心集群起步区的位置关系、是否属国家有关方案明确布局的项目，稿中未见；该项未闭合直接影响能耗指标能否单列，从而影响 108010.90 tce 的安放路径。</w:t>
      </w:r>
    </w:p>
    <w:p>
      <w:pPr>
        <w:spacing w:before="0" w:after="0"/>
        <w:ind w:firstLine="480"/>
      </w:pPr>
      <w:r>
        <w:rPr>
          <w:rFonts w:ascii="Times New Roman" w:hAnsi="Times New Roman" w:eastAsia="仿宋"/>
          <w:b w:val="0"/>
          <w:sz w:val="24"/>
        </w:rPr>
        <w:t>八、程序性依据待核。广东省《节能审查和碳排放评价实施办法》红头原件未核，本件不引其条文；节能审查与碳排放评价的受理层级、文本要求与时限，由申请人按现行有效文件补齐。</w:t>
      </w:r>
    </w:p>
    <w:p>
      <w:pPr>
        <w:spacing w:before="160" w:after="0"/>
        <w:ind w:firstLine="560"/>
      </w:pPr>
      <w:r>
        <w:rPr>
          <w:rFonts w:ascii="Times New Roman" w:hAnsi="Times New Roman" w:eastAsia="楷体"/>
          <w:b/>
          <w:sz w:val="28"/>
        </w:rPr>
        <w:t>（三）风险分类建议</w:t>
      </w:r>
    </w:p>
    <w:p>
      <w:pPr>
        <w:spacing w:before="0" w:after="0"/>
        <w:ind w:firstLine="480"/>
      </w:pPr>
      <w:r>
        <w:rPr>
          <w:rFonts w:ascii="Times New Roman" w:hAnsi="Times New Roman" w:eastAsia="仿宋"/>
          <w:b w:val="0"/>
          <w:sz w:val="24"/>
        </w:rPr>
        <w:t>依 320 号的风险分类要求（非高风险／高风险，条款页码待核），并结合该文所列评估要素（主体实力、区域产业布局、应用需求、绿电、资金、经济效益、技术人才、国产生态），建议将本项目在两高环节列为高风险，理由如下：</w:t>
      </w:r>
    </w:p>
    <w:p>
      <w:pPr>
        <w:spacing w:before="0" w:after="0"/>
        <w:ind w:firstLine="480"/>
      </w:pPr>
      <w:r>
        <w:rPr>
          <w:rFonts w:ascii="Times New Roman" w:hAnsi="Times New Roman" w:eastAsia="仿宋"/>
          <w:b w:val="0"/>
          <w:sz w:val="24"/>
        </w:rPr>
        <w:t>一、程序要素：未见“窗口指导”结论，两高审查缺前置，属程序性高风险。</w:t>
      </w:r>
    </w:p>
    <w:p>
      <w:pPr>
        <w:spacing w:before="0" w:after="0"/>
        <w:ind w:firstLine="480"/>
      </w:pPr>
      <w:r>
        <w:rPr>
          <w:rFonts w:ascii="Times New Roman" w:hAnsi="Times New Roman" w:eastAsia="仿宋"/>
          <w:b w:val="0"/>
          <w:sz w:val="24"/>
        </w:rPr>
        <w:t>二、区域产业布局要素：大型及以上项目布局在国家枢纽节点算力中心集群起步区之外的可能性未排除，与 320 号“国家枢纽节点外原则上不得新建各类大型及超大型算力中心”的关系未论证。</w:t>
      </w:r>
    </w:p>
    <w:p>
      <w:pPr>
        <w:spacing w:before="0" w:after="0"/>
        <w:ind w:firstLine="480"/>
      </w:pPr>
      <w:r>
        <w:rPr>
          <w:rFonts w:ascii="Times New Roman" w:hAnsi="Times New Roman" w:eastAsia="仿宋"/>
          <w:b w:val="0"/>
          <w:sz w:val="24"/>
        </w:rPr>
        <w:t>三、绿电要素：80% 绿电以承诺函加省外绿证主张，本址物理电量路径缺位。</w:t>
      </w:r>
    </w:p>
    <w:p>
      <w:pPr>
        <w:spacing w:before="0" w:after="0"/>
        <w:ind w:firstLine="480"/>
      </w:pPr>
      <w:r>
        <w:rPr>
          <w:rFonts w:ascii="Times New Roman" w:hAnsi="Times New Roman" w:eastAsia="仿宋"/>
          <w:b w:val="0"/>
          <w:sz w:val="24"/>
        </w:rPr>
        <w:t>四、能效要素：以满载设计点 1.199 代替年加权值，且申请人自有材料的 50% 负载值 1.245 距 320 号 1.25 要求仅余 0.005。</w:t>
      </w:r>
    </w:p>
    <w:p>
      <w:pPr>
        <w:spacing w:before="0" w:after="0"/>
        <w:ind w:firstLine="480"/>
      </w:pPr>
      <w:r>
        <w:rPr>
          <w:rFonts w:ascii="Times New Roman" w:hAnsi="Times New Roman" w:eastAsia="仿宋"/>
          <w:b w:val="0"/>
          <w:sz w:val="24"/>
        </w:rPr>
        <w:t>五、用能安放要素：能耗替代来源缺位，108010.90 tce 等价值的能耗空间来源未明。</w:t>
      </w:r>
    </w:p>
    <w:p>
      <w:pPr>
        <w:spacing w:before="0" w:after="0"/>
        <w:ind w:firstLine="480"/>
      </w:pPr>
      <w:r>
        <w:rPr>
          <w:rFonts w:ascii="Times New Roman" w:hAnsi="Times New Roman" w:eastAsia="仿宋"/>
          <w:b w:val="0"/>
          <w:sz w:val="24"/>
        </w:rPr>
        <w:t>六、用地与环境要素：其他商服用地未完成调整，院内酒店、幼儿园与 57200kW 柴发及储油同址，专项结论缺位。</w:t>
      </w:r>
    </w:p>
    <w:p>
      <w:pPr>
        <w:spacing w:before="0" w:after="0"/>
        <w:ind w:firstLine="480"/>
      </w:pPr>
      <w:r>
        <w:rPr>
          <w:rFonts w:ascii="Times New Roman" w:hAnsi="Times New Roman" w:eastAsia="仿宋"/>
          <w:b w:val="0"/>
          <w:sz w:val="24"/>
        </w:rPr>
        <w:t>主体实力要素方面，申报主体为中国电信股份有限公司广东分公司，主体资质本身不构成风险；但主体资质不能替代上述六项证据，也不构成降低风险等级的理由。国产生态要素属客户侧设备口径，本件按第三部分第 13 条处理，不并入两高结论。</w:t>
      </w:r>
    </w:p>
    <w:p>
      <w:pPr>
        <w:spacing w:before="240" w:after="80"/>
        <w:ind w:firstLine="600"/>
      </w:pPr>
      <w:r>
        <w:rPr>
          <w:rFonts w:ascii="Times New Roman" w:hAnsi="Times New Roman" w:eastAsia="黑体"/>
          <w:b w:val="0"/>
          <w:sz w:val="30"/>
        </w:rPr>
        <w:t>五、补正清单</w:t>
      </w:r>
    </w:p>
    <w:p>
      <w:pPr>
        <w:spacing w:before="0" w:after="0"/>
        <w:ind w:firstLine="480"/>
      </w:pPr>
      <w:r>
        <w:rPr>
          <w:rFonts w:ascii="Times New Roman" w:hAnsi="Times New Roman" w:eastAsia="仿宋"/>
          <w:b w:val="0"/>
          <w:sz w:val="24"/>
        </w:rPr>
        <w:t>综合上述，建议本项目两高专册退回补正，补正齐备后另行安排审查。补正事项如下：</w:t>
      </w:r>
    </w:p>
    <w:p>
      <w:pPr>
        <w:spacing w:before="0" w:after="0"/>
        <w:ind w:firstLine="480"/>
      </w:pPr>
      <w:r>
        <w:rPr>
          <w:rFonts w:ascii="Times New Roman" w:hAnsi="Times New Roman" w:eastAsia="仿宋"/>
          <w:b w:val="0"/>
          <w:sz w:val="24"/>
        </w:rPr>
        <w:t>一、程序前置。提交“窗口指导”申请材料、受理凭证及结论文件；说明项目审批、备案现状及是否属 320 号印发前存量项目，并附证明。窗口结论形成前不得据本专册出具肯定性两高意见。</w:t>
      </w:r>
    </w:p>
    <w:p>
      <w:pPr>
        <w:spacing w:before="0" w:after="0"/>
        <w:ind w:firstLine="480"/>
      </w:pPr>
      <w:r>
        <w:rPr>
          <w:rFonts w:ascii="Times New Roman" w:hAnsi="Times New Roman" w:eastAsia="仿宋"/>
          <w:b w:val="0"/>
          <w:sz w:val="24"/>
        </w:rPr>
        <w:t>二、布局相符性。提交本址与国家枢纽节点算力中心集群起步区范围的位置关系说明及依据文件，说明是否属国家有关方案明确布局的项目；若在集群起步区外，说明符合 320 号布局要求的依据。</w:t>
      </w:r>
    </w:p>
    <w:p>
      <w:pPr>
        <w:spacing w:before="0" w:after="0"/>
        <w:ind w:firstLine="480"/>
      </w:pPr>
      <w:r>
        <w:rPr>
          <w:rFonts w:ascii="Times New Roman" w:hAnsi="Times New Roman" w:eastAsia="仿宋"/>
          <w:b w:val="0"/>
          <w:sz w:val="24"/>
        </w:rPr>
        <w:t>三、固定唯一边界。书面确认本次两高审查只审里水 36MW；韶塘园区材料标明为省内 IDC 机楼现状支撑，其规模、用地、栋数、机架数不进入本次申报边界；核明里水大院是否存在 A1 之外的后续楼栋或后续期，若有，按累计规模重列分档与能耗。</w:t>
      </w:r>
    </w:p>
    <w:p>
      <w:pPr>
        <w:spacing w:before="0" w:after="0"/>
        <w:ind w:firstLine="480"/>
      </w:pPr>
      <w:r>
        <w:rPr>
          <w:rFonts w:ascii="Times New Roman" w:hAnsi="Times New Roman" w:eastAsia="仿宋"/>
          <w:b w:val="0"/>
          <w:sz w:val="24"/>
        </w:rPr>
        <w:t>四、落实本址物理电量。提交里水关口与分表计量边界图，列明 IT、制冷、其他辅助与柴油发电的计量点；按同一边界重列年电量并说明与 37818.35 万 kWh 的对应关系。就供电一项，先行提交供电部门容量意见或用电报装受理材料，并说明昨日申请书中“项目未启动，暂无”的供电协议附件何时补齐。IT 用电不论服务器由谁投资均须计入。</w:t>
      </w:r>
    </w:p>
    <w:p>
      <w:pPr>
        <w:spacing w:before="0" w:after="0"/>
        <w:ind w:firstLine="480"/>
      </w:pPr>
      <w:r>
        <w:rPr>
          <w:rFonts w:ascii="Times New Roman" w:hAnsi="Times New Roman" w:eastAsia="仿宋"/>
          <w:b w:val="0"/>
          <w:sz w:val="24"/>
        </w:rPr>
        <w:t>五、重做年加权 PUE。按投运爬坡与达产分别给出逐月 IT 负荷、制冷及辅助用电，计算投运首年与达产年加权值，分列风冷与液冷；按 320 号 1.25 的控制要求对标，说明粤发改高技〔2022〕436 号在报送时的效力。不得以满载 1.199 代替年加权值；冷板液冷未确定投建的，撤回以其论证能效的文字。</w:t>
      </w:r>
    </w:p>
    <w:p>
      <w:pPr>
        <w:spacing w:before="0" w:after="0"/>
        <w:ind w:firstLine="480"/>
      </w:pPr>
      <w:r>
        <w:rPr>
          <w:rFonts w:ascii="Times New Roman" w:hAnsi="Times New Roman" w:eastAsia="仿宋"/>
          <w:b w:val="0"/>
          <w:sz w:val="24"/>
        </w:rPr>
        <w:t>六、提交项目级绿电证据。提供里水本址对应年度、对应电量、对应计量点的交易合同或具备约束力的供电协议，分列物理结算电量、绿证与环境权益，明确归属与注销主体；按 80% 计算的 30254.68 万 kWh 须有本址物理电量来源；逐条归类并处置“韶关”9 处；单列屋顶光伏装机与年发电量及其占比。</w:t>
      </w:r>
    </w:p>
    <w:p>
      <w:pPr>
        <w:spacing w:before="0" w:after="0"/>
        <w:ind w:firstLine="480"/>
      </w:pPr>
      <w:r>
        <w:rPr>
          <w:rFonts w:ascii="Times New Roman" w:hAnsi="Times New Roman" w:eastAsia="仿宋"/>
          <w:b w:val="0"/>
          <w:sz w:val="24"/>
        </w:rPr>
        <w:t>七、重写能耗替代。列明替代量、来源项目、来源年度与落实凭证，说明与 46578.77 tce 当量值、108010.90 tce 等价值的对应关系；无凭证的删除替代已落实的表述。购买省外绿证不得作为替代手段。</w:t>
      </w:r>
    </w:p>
    <w:p>
      <w:pPr>
        <w:spacing w:before="0" w:after="0"/>
        <w:ind w:firstLine="480"/>
      </w:pPr>
      <w:r>
        <w:rPr>
          <w:rFonts w:ascii="Times New Roman" w:hAnsi="Times New Roman" w:eastAsia="仿宋"/>
          <w:b w:val="0"/>
          <w:sz w:val="24"/>
        </w:rPr>
        <w:t>八、完成用地与敏感点前置工作。说明其他商服用地拟调整用途、办理机关与完成时点；在总图上标明酒店、幼儿园、A1、冷却设备、26 台机组、排气口与储油设施的最近距离；报送噪声、废气、防渗、防火及事故风险结论；补充第 5 章储油容积、形式与位置。</w:t>
      </w:r>
    </w:p>
    <w:p>
      <w:pPr>
        <w:spacing w:before="0" w:after="0"/>
        <w:ind w:firstLine="480"/>
      </w:pPr>
      <w:r>
        <w:rPr>
          <w:rFonts w:ascii="Times New Roman" w:hAnsi="Times New Roman" w:eastAsia="仿宋"/>
          <w:b w:val="0"/>
          <w:sz w:val="24"/>
        </w:rPr>
        <w:t>九、对齐供电容量与年运行功率。从 35998kW 逐级列至总有功、视在功率、变压器容量与运行台数、冗余方式，解释 40.95% 与复核值 43.17% 的差异，并与年电量对齐；说明柴油机组试验运行以外的油耗是否计入能耗边界。</w:t>
      </w:r>
    </w:p>
    <w:p>
      <w:pPr>
        <w:spacing w:before="0" w:after="0"/>
        <w:ind w:firstLine="480"/>
      </w:pPr>
      <w:r>
        <w:rPr>
          <w:rFonts w:ascii="Times New Roman" w:hAnsi="Times New Roman" w:eastAsia="仿宋"/>
          <w:b w:val="0"/>
          <w:sz w:val="24"/>
        </w:rPr>
        <w:t>十、统一机柜与辅助用电口径。出具唯一机柜清单，说明 82 台与 328 台 100kW 的关系，确认 14400 个标准机架仅作 320 号附件 1 分档折合；列出辅助用电分项、系数含义与依据，加总到 6284.102 万 kWh。</w:t>
      </w:r>
    </w:p>
    <w:p>
      <w:pPr>
        <w:spacing w:before="0" w:after="0"/>
        <w:ind w:firstLine="480"/>
      </w:pPr>
      <w:r>
        <w:rPr>
          <w:rFonts w:ascii="Times New Roman" w:hAnsi="Times New Roman" w:eastAsia="仿宋"/>
          <w:b w:val="0"/>
          <w:sz w:val="24"/>
        </w:rPr>
        <w:t>十一、说明增量能耗与折标依据。列出据以比较广东、佛山能耗空间的现行文件、文号、条款与有效期；说明 2.8534 tce/万 kWh 等价折标系数的出处，并与同期其他报送稿统一。2025 年目标已过适用期的，不得写成已获得的能耗空间。</w:t>
      </w:r>
    </w:p>
    <w:p>
      <w:pPr>
        <w:spacing w:before="0" w:after="0"/>
        <w:ind w:firstLine="480"/>
      </w:pPr>
      <w:r>
        <w:rPr>
          <w:rFonts w:ascii="Times New Roman" w:hAnsi="Times New Roman" w:eastAsia="仿宋"/>
          <w:b w:val="0"/>
          <w:sz w:val="24"/>
        </w:rPr>
        <w:t>十二、书面锁定服务器与电量口径。确认服务器、芯片由他方采购、不属本期资产，同时确认 36MW IT 用电不得从项目能耗中剔除；说明计量点、分表与电费结算主体；并书面确认后续测算不再使用昨日申请书财务章那种隐含 PUE＝1.0 的 IT-only 电量口径。</w:t>
      </w:r>
    </w:p>
    <w:p>
      <w:pPr>
        <w:spacing w:before="0" w:after="0"/>
        <w:ind w:firstLine="480"/>
      </w:pPr>
      <w:r>
        <w:rPr>
          <w:rFonts w:ascii="Times New Roman" w:hAnsi="Times New Roman" w:eastAsia="仿宋"/>
          <w:b w:val="0"/>
          <w:sz w:val="24"/>
        </w:rPr>
        <w:t>十三、补齐程序性依据。按报送时现行有效文件列明节能审查与碳排放评价的受理层级、文本要求、时限及与“窗口指导”的衔接；本件未核的红头文件不得作为已核依据引用。</w:t>
      </w:r>
    </w:p>
    <w:p>
      <w:pPr>
        <w:spacing w:before="0" w:after="0"/>
        <w:ind w:firstLine="480"/>
      </w:pPr>
      <w:r>
        <w:rPr>
          <w:rFonts w:ascii="Times New Roman" w:hAnsi="Times New Roman" w:eastAsia="仿宋"/>
          <w:b w:val="0"/>
          <w:sz w:val="24"/>
        </w:rPr>
        <w:t>十四、本件不构成对项目的任何肯定性评价，亦不得作为项目开工、用地、用能、供电、能耗替代和融资的依据。</w:t>
      </w:r>
    </w:p>
    <w:sectPr w:rsidR="00FC693F" w:rsidRPr="0006063C" w:rsidSect="00034616">
      <w:footerReference w:type="default" r:id="rId9"/>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仿宋"/>
        <w:b w:val="0"/>
        <w:sz w:val="2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60" w:after="0"/>
    </w:pPr>
    <w:rPr>
      <w:rFonts w:ascii="Times New Roman" w:hAnsi="Times New Roman"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