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jc w:val="center"/>
      </w:pPr>
      <w:r>
        <w:rPr>
          <w:rFonts w:ascii="Times New Roman" w:hAnsi="Times New Roman" w:eastAsia="方正小标宋简体"/>
          <w:b w:val="0"/>
          <w:sz w:val="40"/>
        </w:rPr>
        <w:t>中国电信佛山数据中心（南海里水）项目“窗口指导”审查意见</w:t>
      </w:r>
    </w:p>
    <w:p>
      <w:pPr>
        <w:spacing w:before="0" w:after="240"/>
        <w:jc w:val="center"/>
      </w:pPr>
      <w:r>
        <w:rPr>
          <w:rFonts w:ascii="Times New Roman" w:hAnsi="Times New Roman" w:eastAsia="楷体"/>
          <w:b w:val="0"/>
          <w:sz w:val="24"/>
        </w:rPr>
        <w:t>（二〇二六年九月二日 按发改高技〔2025〕320 号附件 2 审查用）</w:t>
      </w:r>
    </w:p>
    <w:p>
      <w:pPr>
        <w:spacing w:before="0" w:after="0"/>
        <w:ind w:firstLine="480"/>
      </w:pPr>
      <w:r>
        <w:rPr>
          <w:rFonts w:ascii="Times New Roman" w:hAnsi="Times New Roman" w:eastAsia="仿宋"/>
          <w:b w:val="0"/>
          <w:sz w:val="24"/>
        </w:rPr>
        <w:t>结论：中国电信佛山数据中心（南海里水）项目“窗口指导”申请材料（257 页）现报送稿不宜出具肯定性窗口指导意见，不得使用“原则同意”“基本同意”或任何等同表述。本项目按《国家发展改革委 工业和信息化部 国家数据局关于对算力基础设施实施“窗口指导”的通知》（发改高技〔2025〕320 号）附件 1（原件第 8 页）属大型及以上算力基础设施，全部纳入“窗口指导”范围且不分投资主体，本次申报应予受理，但《申请书》尚不满足该文附件 2《算力基础设施项目窗口指导申请书》编写要求（原件第 9 页起）的必备内容：八个部分中有三个部分存在必备字段整块缺失（主体财务状况、建设地点的集群起步区判定、技术人才），需求侧、绿电、财务三条证据链存在自相排斥的多套数字或不能成立的计价口径——其中电费一项经反算隐含 PUE 恰为 1.0，即辅助电量电费整块未计入成本；附件部分则存在把省内现状支撑数字误写入本次申报边界的边界错误。本轮只审里水 36MW，只形成问题清单与补正要求，不确认申请规模、应用需求、绿电供给、设计 PUE、投资与资金来源、财务指标及用地建设条件。</w:t>
      </w:r>
    </w:p>
    <w:p>
      <w:pPr>
        <w:spacing w:before="0" w:after="0"/>
        <w:ind w:firstLine="480"/>
      </w:pPr>
      <w:r>
        <w:rPr>
          <w:rFonts w:ascii="Times New Roman" w:hAnsi="Times New Roman" w:eastAsia="仿宋"/>
          <w:b w:val="0"/>
          <w:sz w:val="24"/>
        </w:rPr>
        <w:t>审查方法说明：本件按“窗口指导需要交什么”审查，即以 320 号附件 2 所列申请书编写要求为对照清单逐部分核对，不按可研报告或节能审查（两高）清单硬套。凡属两高环节的实体判断，另见本目录《中国电信佛山数据中心（南海里水）项目〈两高建设报告·评审终稿〉两高审查意见》，本件不重复出结论。</w:t>
      </w:r>
    </w:p>
    <w:p>
      <w:pPr>
        <w:spacing w:before="240" w:after="80"/>
        <w:ind w:firstLine="600"/>
      </w:pPr>
      <w:r>
        <w:rPr>
          <w:rFonts w:ascii="Times New Roman" w:hAnsi="Times New Roman" w:eastAsia="黑体"/>
          <w:b w:val="0"/>
          <w:sz w:val="30"/>
        </w:rPr>
        <w:t>说明（本件的证据口径）</w:t>
      </w:r>
    </w:p>
    <w:p>
      <w:pPr>
        <w:spacing w:before="0" w:after="0"/>
        <w:ind w:firstLine="480"/>
      </w:pPr>
      <w:r>
        <w:rPr>
          <w:rFonts w:ascii="Times New Roman" w:hAnsi="Times New Roman" w:eastAsia="仿宋"/>
          <w:b w:val="0"/>
          <w:sz w:val="24"/>
        </w:rPr>
        <w:t>一、位置与页码。《申请书》正文 257 页，本件仅取得索引表、摘要表及分章要点摘录，未取得连续页码。故各条“位置”栏以章节号、附件编号或字段名定位，页码一律标注“页码待核”；报送稿确实未提供的内容标注“稿中未见”；本件无法据现有材料判定的事项标注“待核”。</w:t>
      </w:r>
    </w:p>
    <w:p>
      <w:pPr>
        <w:spacing w:before="0" w:after="0"/>
        <w:ind w:firstLine="480"/>
      </w:pPr>
      <w:r>
        <w:rPr>
          <w:rFonts w:ascii="Times New Roman" w:hAnsi="Times New Roman" w:eastAsia="仿宋"/>
          <w:b w:val="0"/>
          <w:sz w:val="24"/>
        </w:rPr>
        <w:t>二、数字来源。本件所列数字分两类：一类直接引自报送稿披露值；一类是对披露值的四则运算复核结果，复核过程见本目录 verify_numbers.py。本件不引入外部假设，不为报送稿未披露项赋值，不编造未经核对的数字或依据。</w:t>
      </w:r>
    </w:p>
    <w:p>
      <w:pPr>
        <w:spacing w:before="0" w:after="0"/>
        <w:ind w:firstLine="480"/>
      </w:pPr>
      <w:r>
        <w:rPr>
          <w:rFonts w:ascii="Times New Roman" w:hAnsi="Times New Roman" w:eastAsia="仿宋"/>
          <w:b w:val="0"/>
          <w:sz w:val="24"/>
        </w:rPr>
        <w:t>三、政策原件的核对状态。320 号封面及发文字号（原件第 1 页）、适用范围与分类处理要求（原件第 3 页）、附件 1 规模分类标准（原件第 8 页）、附件 2 编写要求（一）至（三）的具体条目（原件第 9 页）已核原件；本件引用上述内容时直接标注原件页码。该文其余条款（评估八要素、风险分类、PUE 控制要求、绿电占比优先支持口径、未过窗口不得备案与能评及网络接入、禁止报小建大、分期按累计）及附件 2 第（四）至（八）部分的分部分标题，依已核原件摘要引用，具体页码待核。</w:t>
      </w:r>
    </w:p>
    <w:p>
      <w:pPr>
        <w:spacing w:before="0" w:after="0"/>
        <w:ind w:firstLine="480"/>
      </w:pPr>
      <w:r>
        <w:rPr>
          <w:rFonts w:ascii="Times New Roman" w:hAnsi="Times New Roman" w:eastAsia="仿宋"/>
          <w:b w:val="0"/>
          <w:sz w:val="24"/>
        </w:rPr>
        <w:t>四、附件 2 所列申请书八个部分（据已核原件摘要，（一）至（三）具体条目已核原件第 9 页）：（一）项目背景和必要性；（二）项目主体的基本情况和财务状况；（三）项目基本情况（含建设地点、建设周期、建设目标、建设内容、项目总投资和资金来源、应用需求、经济效益、绿电供给、技术人才、国产生态）；（四）建设方案；（五）建设条件；（六）财务指标；（七）风险与效益；（八）附件（含省内已投产规模及利用率、设备清单）。本件第三部分即按此八部分排列。</w:t>
      </w:r>
    </w:p>
    <w:p>
      <w:pPr>
        <w:spacing w:before="0" w:after="0"/>
        <w:ind w:firstLine="480"/>
      </w:pPr>
      <w:r>
        <w:rPr>
          <w:rFonts w:ascii="Times New Roman" w:hAnsi="Times New Roman" w:eastAsia="仿宋"/>
          <w:b w:val="0"/>
          <w:sz w:val="24"/>
        </w:rPr>
        <w:t>五、韶塘材料的定性（本轮锁定，不再改动）。申请人另附的韶塘园区材料是广东省内 IDC 机楼的现状支撑文件，不是第二套申报，也不是套版笔误。按附件 2 第（八）部分的要求，省内已投产规模及利用率本应作为附件提交，该材料在体系上正属此列，不应删除。问题在边界字段：摘要表将该支撑文件中的 200MW、244.3 亩、6 栋、80000 个 2.5kW 标准机架写入“本次申报范围”，属把现状支撑数字误写入申报边界。经复核，80000×2.5kW＝200000kW＝200MW，支撑文件内部自洽；244.3 亩为里水 46.55 亩的 5.25 倍。本次窗口只审里水 36MW，更正方式是修正“本次申报范围”字段并将该材料明确归入附件（八），不是把材料撤出。</w:t>
      </w:r>
    </w:p>
    <w:p>
      <w:pPr>
        <w:spacing w:before="0" w:after="0"/>
        <w:ind w:firstLine="480"/>
      </w:pPr>
      <w:r>
        <w:rPr>
          <w:rFonts w:ascii="Times New Roman" w:hAnsi="Times New Roman" w:eastAsia="仿宋"/>
          <w:b w:val="0"/>
          <w:sz w:val="24"/>
        </w:rPr>
        <w:t>六、三套规模口径分开声明（本轮锁定）。本件区分并分别使用以下三套口径，互不换算填充：其一，2.5kW 标准机架数，仅用于 320 号附件 1 的规模分档判定；其二，IT 功率（MW）及实物机柜功率，用于能耗、能效与供电测算；其三，FP16 算力（PFLOPS）及芯片张数，仅属客户侧设备口径。凡报送稿未披露的项，本件不以其他口径推算填充。</w:t>
      </w:r>
    </w:p>
    <w:p>
      <w:pPr>
        <w:spacing w:before="0" w:after="0"/>
        <w:ind w:firstLine="480"/>
      </w:pPr>
      <w:r>
        <w:rPr>
          <w:rFonts w:ascii="Times New Roman" w:hAnsi="Times New Roman" w:eastAsia="仿宋"/>
          <w:b w:val="0"/>
          <w:sz w:val="24"/>
        </w:rPr>
        <w:t>七、程序性依据待核。广东省《节能审查和碳排放评价实施办法》（据称 2026 年 8 月 20 日）红头原件未核。本件不引用其条文，不将其表述为已核实的现行条款；凡涉及节能审查与碳排放评价具体程序、受理层级、时限和文本要求的判断，一律标注“待核”。</w:t>
      </w:r>
    </w:p>
    <w:p>
      <w:pPr>
        <w:spacing w:before="240" w:after="80"/>
        <w:ind w:firstLine="600"/>
      </w:pPr>
      <w:r>
        <w:rPr>
          <w:rFonts w:ascii="Times New Roman" w:hAnsi="Times New Roman" w:eastAsia="黑体"/>
          <w:b w:val="0"/>
          <w:sz w:val="30"/>
        </w:rPr>
        <w:t>一、项目概况</w:t>
      </w:r>
    </w:p>
    <w:p>
      <w:pPr>
        <w:spacing w:before="0" w:after="0"/>
        <w:ind w:firstLine="480"/>
      </w:pPr>
      <w:r>
        <w:rPr>
          <w:rFonts w:ascii="Times New Roman" w:hAnsi="Times New Roman" w:eastAsia="仿宋"/>
          <w:b w:val="0"/>
          <w:sz w:val="24"/>
        </w:rPr>
        <w:t>项目名称：中国电信佛山数据中心（南海里水）项目。建设地点：佛山市南海区里水大道中 36 号里水电信大院。申报主体：稿内见“中国电信广东公司”与“中国电信股份有限公司广东分公司”两种表述。建设范围：稿内表述为“土建及配套、不进行服务器建设与投资”。</w:t>
      </w:r>
    </w:p>
    <w:p>
      <w:pPr>
        <w:spacing w:before="0" w:after="0"/>
        <w:ind w:firstLine="480"/>
      </w:pPr>
      <w:r>
        <w:rPr>
          <w:rFonts w:ascii="Times New Roman" w:hAnsi="Times New Roman" w:eastAsia="仿宋"/>
          <w:b w:val="0"/>
          <w:sz w:val="24"/>
        </w:rPr>
        <w:t>本次可相互印证的里水本期口径：用地 46.55 亩，属存量用地，用地性质待调整；新建 1 栋；折合 2.5kW 标准机架 14400 个；IT 功率 36MW；投资 94638 万元；建设期 2027 年 3 月至 2028 年 6 月。经复核，14400×2.5kW 恰为 36000kW；投资额折合 2628.83 万元/MW、6.5721 万元/标准架，与 36MW 边界自洽。</w:t>
      </w:r>
    </w:p>
    <w:p>
      <w:pPr>
        <w:spacing w:before="0" w:after="0"/>
        <w:ind w:firstLine="480"/>
      </w:pPr>
      <w:r>
        <w:rPr>
          <w:rFonts w:ascii="Times New Roman" w:hAnsi="Times New Roman" w:eastAsia="仿宋"/>
          <w:b w:val="0"/>
          <w:sz w:val="24"/>
        </w:rPr>
        <w:t>索引表口径：已签约 IT 功率 36MW；本次申请 36MW；投资 94638 万元；规划智能算力 11483 PFLOPS（FP16）；芯片“以昇腾 950DT 为例”20992 张；运营上架率 85.10%；回收期 7.78 年。</w:t>
      </w:r>
    </w:p>
    <w:p>
      <w:pPr>
        <w:spacing w:before="0" w:after="0"/>
        <w:ind w:firstLine="480"/>
      </w:pPr>
      <w:r>
        <w:rPr>
          <w:rFonts w:ascii="Times New Roman" w:hAnsi="Times New Roman" w:eastAsia="仿宋"/>
          <w:b w:val="0"/>
          <w:sz w:val="24"/>
        </w:rPr>
        <w:t>摘要表另载字段：项目名称“中国电信粤港澳大湾区一体化数据中心（韶塘园区）”、总用地 244.3 亩、规划 6 栋、80000 个 2.5kW 标准机架、IT 功率 200MW（标注为本次申报范围）；净现值 132490 万元、内部收益率 17.6%、投资利润率 8.48%；绿色环境价值补充交易电价 5 元/兆瓦时；节能审查栏“项目未启动，暂无”。该组规模字段的定性见说明第五条。</w:t>
      </w:r>
    </w:p>
    <w:p>
      <w:pPr>
        <w:spacing w:before="0" w:after="0"/>
        <w:ind w:firstLine="480"/>
      </w:pPr>
      <w:r>
        <w:rPr>
          <w:rFonts w:ascii="Times New Roman" w:hAnsi="Times New Roman" w:eastAsia="仿宋"/>
          <w:b w:val="0"/>
          <w:sz w:val="24"/>
        </w:rPr>
        <w:t>能效与能耗：满载测算 IT 电量 36000kW×8760 小时＝3.1536 亿 kWh，辅助电量 0.628 亿 kWh，设计 PUE 1.199；微模块材料另载华南地区 50% 负载 PUE 1.245；液冷机柜标注“本期暂不建，与服务器同期建设”。附件 1.6、1.11 均为“项目未启动，暂无”。</w:t>
      </w:r>
    </w:p>
    <w:p>
      <w:pPr>
        <w:spacing w:before="0" w:after="0"/>
        <w:ind w:firstLine="480"/>
      </w:pPr>
      <w:r>
        <w:rPr>
          <w:rFonts w:ascii="Times New Roman" w:hAnsi="Times New Roman" w:eastAsia="仿宋"/>
          <w:b w:val="0"/>
          <w:sz w:val="24"/>
        </w:rPr>
        <w:t>需求情况：索引表载“已签约 IT 36MW，本次申请 36MW”；3.6 章节摘要载“已签约 200MW 需求”；3.7.1 载“62MW 需求”，其中邦程智算 7MW 的需求书地点写东莞，唯颐 55MW 称 24000P、其号称算力可能高于本期规划、附件 1.9 仅为“合作需求书”。</w:t>
      </w:r>
    </w:p>
    <w:p>
      <w:pPr>
        <w:spacing w:before="0" w:after="0"/>
        <w:ind w:firstLine="480"/>
      </w:pPr>
      <w:r>
        <w:rPr>
          <w:rFonts w:ascii="Times New Roman" w:hAnsi="Times New Roman" w:eastAsia="仿宋"/>
          <w:b w:val="0"/>
          <w:sz w:val="24"/>
        </w:rPr>
        <w:t>绿电情况：承诺绿电比例大于 80%，路径为绿电承诺函加环境价值／绿证；屋顶光伏规模很小；附件 1.8 为 2025 年韶关园区绿电交易合同；另列 2024 年全省专项采购 2.5 亿 kWh、2025 年 2 亿 kWh。</w:t>
      </w:r>
    </w:p>
    <w:p>
      <w:pPr>
        <w:spacing w:before="0" w:after="0"/>
        <w:ind w:firstLine="480"/>
      </w:pPr>
      <w:r>
        <w:rPr>
          <w:rFonts w:ascii="Times New Roman" w:hAnsi="Times New Roman" w:eastAsia="仿宋"/>
          <w:b w:val="0"/>
          <w:sz w:val="24"/>
        </w:rPr>
        <w:t>财务情况：达产年收入 43338 万元、成本 20788.4 万元、利润总额 29561 万元、回收期 8 年、税后内部收益率 8.3%；其他收入按“11483P×3.3 万元/P/月×85%”计 32210 万元；电费按“36000kW×85%×0.75 元”计约 20104 万元；利润表、现金流表为空表。</w:t>
      </w:r>
    </w:p>
    <w:p>
      <w:pPr>
        <w:spacing w:before="0" w:after="0"/>
        <w:ind w:firstLine="480"/>
      </w:pPr>
      <w:r>
        <w:rPr>
          <w:rFonts w:ascii="Times New Roman" w:hAnsi="Times New Roman" w:eastAsia="仿宋"/>
          <w:b w:val="0"/>
          <w:sz w:val="24"/>
        </w:rPr>
        <w:t>场地现状：里水电信大院内现有综合楼、酒店、幼儿园；用地性质待调整。柴发机组及储油资料在《申请书》摘录中未见。</w:t>
      </w:r>
    </w:p>
    <w:p>
      <w:pPr>
        <w:spacing w:before="240" w:after="80"/>
        <w:ind w:firstLine="600"/>
      </w:pPr>
      <w:r>
        <w:rPr>
          <w:rFonts w:ascii="Times New Roman" w:hAnsi="Times New Roman" w:eastAsia="黑体"/>
          <w:b w:val="0"/>
          <w:sz w:val="30"/>
        </w:rPr>
        <w:t>二、适用政策与审查边界</w:t>
      </w:r>
    </w:p>
    <w:p>
      <w:pPr>
        <w:spacing w:before="160" w:after="0"/>
        <w:ind w:firstLine="560"/>
      </w:pPr>
      <w:r>
        <w:rPr>
          <w:rFonts w:ascii="Times New Roman" w:hAnsi="Times New Roman" w:eastAsia="楷体"/>
          <w:b/>
          <w:sz w:val="28"/>
        </w:rPr>
        <w:t>（一）本项目应予受理，且不存在按投资主体豁免的空间</w:t>
      </w:r>
    </w:p>
    <w:p>
      <w:pPr>
        <w:spacing w:before="0" w:after="0"/>
        <w:ind w:firstLine="480"/>
      </w:pPr>
      <w:r>
        <w:rPr>
          <w:rFonts w:ascii="Times New Roman" w:hAnsi="Times New Roman" w:eastAsia="仿宋"/>
          <w:b w:val="0"/>
          <w:sz w:val="24"/>
        </w:rPr>
        <w:t>依 320 号附件 1（原件第 8 页），大型及以上的判定条件为“设计规模达 3000 标准机架及以上（即设计功率 7500KW 以上，或综合能耗达到 1 万吨标准煤【当量值】或 2.4 万吨标准煤【等价值】），或服务器采购金额 10 亿元以上”，各条件为“或”的关系。经复核，本项目折合 2.5kW 标准机架 14400 架，为 3000 架阈值的 4.8 倍；设计功率 36000kW，为 7500kW 阈值的 4.8 倍（按同期两高专册实物机柜合计 35998kW 计为 4.7997 倍）；按同期报送的两高专册数据，年综合能耗当量值 46578.77 tce、等价值 108010.90 tce，分别为 1 万 tce、2.4 万 tce 阈值的 4.6579 倍和 4.5005 倍。据 320 号第二部分（原件第 3 页），大型及以上算力基础设施“全部纳入'窗口指导'范围”，该表述未附加投资主体限定。本项目分档不依赖服务器采购金额一项，索引表所载“土建及配套、不进行服务器建设与投资”不改变分档结论，也不构成豁免理由。</w:t>
      </w:r>
    </w:p>
    <w:p>
      <w:pPr>
        <w:spacing w:before="160" w:after="0"/>
        <w:ind w:firstLine="560"/>
      </w:pPr>
      <w:r>
        <w:rPr>
          <w:rFonts w:ascii="Times New Roman" w:hAnsi="Times New Roman" w:eastAsia="楷体"/>
          <w:b/>
          <w:sz w:val="28"/>
        </w:rPr>
        <w:t>（二）审查依据为附件 2 的必备内容，不套用可研或两高清单</w:t>
      </w:r>
    </w:p>
    <w:p>
      <w:pPr>
        <w:spacing w:before="0" w:after="0"/>
        <w:ind w:firstLine="480"/>
      </w:pPr>
      <w:r>
        <w:rPr>
          <w:rFonts w:ascii="Times New Roman" w:hAnsi="Times New Roman" w:eastAsia="仿宋"/>
          <w:b w:val="0"/>
          <w:sz w:val="24"/>
        </w:rPr>
        <w:t>本件按附件 2 逐部分核对《申请书》是否交足、交对、交得可核。凡附件 2 未要求的内容，本件不作为退回理由；凡附件 2 明示要求而稿中未见的，一律列为缺件并标“待补”。附件 2 第（一）至（三）部分的具体条目已核原件第 9 页，本件在相应条目下直接引用原件表述。</w:t>
      </w:r>
    </w:p>
    <w:p>
      <w:pPr>
        <w:spacing w:before="160" w:after="0"/>
        <w:ind w:firstLine="560"/>
      </w:pPr>
      <w:r>
        <w:rPr>
          <w:rFonts w:ascii="Times New Roman" w:hAnsi="Times New Roman" w:eastAsia="楷体"/>
          <w:b/>
          <w:sz w:val="28"/>
        </w:rPr>
        <w:t>（三）审查边界与规模累计</w:t>
      </w:r>
    </w:p>
    <w:p>
      <w:pPr>
        <w:spacing w:before="0" w:after="0"/>
        <w:ind w:firstLine="480"/>
      </w:pPr>
      <w:r>
        <w:rPr>
          <w:rFonts w:ascii="Times New Roman" w:hAnsi="Times New Roman" w:eastAsia="仿宋"/>
          <w:b w:val="0"/>
          <w:sz w:val="24"/>
        </w:rPr>
        <w:t>本次窗口审查的唯一边界为里水本址 36MW。另依 320 号关于禁止报小建大、分期建设按累计规模计的要求（条款页码待核），须核里水大院是否存在本期 1 栋之外的后续楼栋或后续期；若存在，规模分档与申报规模须按累计口径重列。本项目是否属该文印发之日（2025 年 3 月 20 日）前已完成审批、备案但未开工的存量项目，稿中未见；依附件 1 备注 1（原件第 8 页），有新建机房楼需求的项目以是否取得开工许可证为分类标志，该状态待核。</w:t>
      </w:r>
    </w:p>
    <w:p>
      <w:pPr>
        <w:spacing w:before="160" w:after="0"/>
        <w:ind w:firstLine="560"/>
      </w:pPr>
      <w:r>
        <w:rPr>
          <w:rFonts w:ascii="Times New Roman" w:hAnsi="Times New Roman" w:eastAsia="楷体"/>
          <w:b/>
          <w:sz w:val="28"/>
        </w:rPr>
        <w:t>（四）窗口结论与后续环节的先后关系</w:t>
      </w:r>
    </w:p>
    <w:p>
      <w:pPr>
        <w:spacing w:before="0" w:after="0"/>
        <w:ind w:firstLine="480"/>
      </w:pPr>
      <w:r>
        <w:rPr>
          <w:rFonts w:ascii="Times New Roman" w:hAnsi="Times New Roman" w:eastAsia="仿宋"/>
          <w:b w:val="0"/>
          <w:sz w:val="24"/>
        </w:rPr>
        <w:t>依 320 号，未通过“窗口指导”的项目不得开展备案、节能审查（能评）和网络接入（条款页码待核）。据此，摘要表节能审查栏及附件 1.6、1.11 标注“项目未启动，暂无”本身不必然构成实体缺陷，但申请人须在《申请书》中正面说明程序先后安排，而非以“暂无”留白代替说明；同时不得在窗口结论形成前，以尚未取得的能评成果反过来支撑窗口申请中的能耗、能效结论。</w:t>
      </w:r>
    </w:p>
    <w:p>
      <w:pPr>
        <w:spacing w:before="160" w:after="0"/>
        <w:ind w:firstLine="560"/>
      </w:pPr>
      <w:r>
        <w:rPr>
          <w:rFonts w:ascii="Times New Roman" w:hAnsi="Times New Roman" w:eastAsia="楷体"/>
          <w:b/>
          <w:sz w:val="28"/>
        </w:rPr>
        <w:t>（五）韶塘材料归位与三套口径分开声明</w:t>
      </w:r>
    </w:p>
    <w:p>
      <w:pPr>
        <w:spacing w:before="0" w:after="0"/>
        <w:ind w:firstLine="480"/>
      </w:pPr>
      <w:r>
        <w:rPr>
          <w:rFonts w:ascii="Times New Roman" w:hAnsi="Times New Roman" w:eastAsia="仿宋"/>
          <w:b w:val="0"/>
          <w:sz w:val="24"/>
        </w:rPr>
        <w:t>见说明第五条、第六条。</w:t>
      </w:r>
    </w:p>
    <w:p>
      <w:pPr>
        <w:spacing w:before="240" w:after="80"/>
        <w:ind w:firstLine="600"/>
      </w:pPr>
      <w:r>
        <w:rPr>
          <w:rFonts w:ascii="Times New Roman" w:hAnsi="Times New Roman" w:eastAsia="黑体"/>
          <w:b w:val="0"/>
          <w:sz w:val="30"/>
        </w:rPr>
        <w:t>三、审查细则（按附件 2 八部分逐部分核对）</w:t>
      </w:r>
    </w:p>
    <w:p>
      <w:pPr>
        <w:spacing w:before="0" w:after="0"/>
        <w:ind w:firstLine="480"/>
      </w:pPr>
      <w:r>
        <w:rPr>
          <w:rFonts w:ascii="Times New Roman" w:hAnsi="Times New Roman" w:eastAsia="仿宋"/>
          <w:b w:val="0"/>
          <w:sz w:val="24"/>
        </w:rPr>
        <w:t>本部分共 22 项，其中高风险 10 项、中风险 12 项。每项列风险等级、位置、稿内表述、问题及须补正或待核事项。</w:t>
      </w:r>
    </w:p>
    <w:p>
      <w:pPr>
        <w:spacing w:before="160" w:after="0"/>
        <w:ind w:firstLine="560"/>
      </w:pPr>
      <w:r>
        <w:rPr>
          <w:rFonts w:ascii="Times New Roman" w:hAnsi="Times New Roman" w:eastAsia="楷体"/>
          <w:b/>
          <w:sz w:val="28"/>
        </w:rPr>
        <w:t>（一）项目背景和必要性</w:t>
      </w:r>
    </w:p>
    <w:p>
      <w:pPr>
        <w:spacing w:before="0" w:after="0"/>
        <w:ind w:firstLine="480"/>
      </w:pPr>
      <w:r>
        <w:rPr>
          <w:rFonts w:ascii="Times New Roman" w:hAnsi="Times New Roman" w:eastAsia="仿宋"/>
          <w:b w:val="0"/>
          <w:sz w:val="24"/>
        </w:rPr>
        <w:t>附件 2（一）原文（原件第 9 页）：“介绍项目建设的背景，阐述项目实施的必要性。”</w:t>
      </w:r>
    </w:p>
    <w:p>
      <w:pPr>
        <w:spacing w:before="120" w:after="0"/>
        <w:ind w:firstLine="480"/>
      </w:pPr>
      <w:r>
        <w:rPr>
          <w:rFonts w:ascii="Times New Roman" w:hAnsi="Times New Roman" w:eastAsia="仿宋"/>
          <w:b/>
          <w:sz w:val="24"/>
        </w:rPr>
        <w:t>1. 背景与必要性章未按 320 号论证纳入范围、规模分档与布局相符性</w:t>
      </w:r>
    </w:p>
    <w:p>
      <w:pPr>
        <w:spacing w:before="0" w:after="0"/>
        <w:ind w:firstLine="480"/>
      </w:pPr>
      <w:r>
        <w:rPr>
          <w:rFonts w:ascii="Times New Roman" w:hAnsi="Times New Roman" w:eastAsia="黑体"/>
          <w:b w:val="0"/>
          <w:sz w:val="24"/>
        </w:rPr>
        <w:t>【风险】</w:t>
      </w:r>
      <w:r>
        <w:rPr>
          <w:rFonts w:ascii="Times New Roman" w:hAnsi="Times New Roman" w:eastAsia="仿宋"/>
          <w:b w:val="0"/>
          <w:sz w:val="24"/>
        </w:rPr>
        <w:t>高。</w:t>
      </w:r>
    </w:p>
    <w:p>
      <w:pPr>
        <w:spacing w:before="0" w:after="0"/>
        <w:ind w:firstLine="480"/>
      </w:pPr>
      <w:r>
        <w:rPr>
          <w:rFonts w:ascii="Times New Roman" w:hAnsi="Times New Roman" w:eastAsia="黑体"/>
          <w:b w:val="0"/>
          <w:sz w:val="24"/>
        </w:rPr>
        <w:t>【位置】</w:t>
      </w:r>
      <w:r>
        <w:rPr>
          <w:rFonts w:ascii="Times New Roman" w:hAnsi="Times New Roman" w:eastAsia="仿宋"/>
          <w:b w:val="0"/>
          <w:sz w:val="24"/>
        </w:rPr>
        <w:t>项目背景和必要性章、政策依据章（页码待核）。</w:t>
      </w:r>
    </w:p>
    <w:p>
      <w:pPr>
        <w:spacing w:before="0" w:after="0"/>
        <w:ind w:firstLine="480"/>
      </w:pPr>
      <w:r>
        <w:rPr>
          <w:rFonts w:ascii="Times New Roman" w:hAnsi="Times New Roman" w:eastAsia="黑体"/>
          <w:b w:val="0"/>
          <w:sz w:val="24"/>
        </w:rPr>
        <w:t>【稿内】</w:t>
      </w:r>
      <w:r>
        <w:rPr>
          <w:rFonts w:ascii="Times New Roman" w:hAnsi="Times New Roman" w:eastAsia="仿宋"/>
          <w:b w:val="0"/>
          <w:sz w:val="24"/>
        </w:rPr>
        <w:t>《申请书》摘录中，本项目按 320 号属何分档、依何条款纳入“窗口指导”范围、与“东数西算”布局要求的关系，均稿中未见。</w:t>
      </w:r>
    </w:p>
    <w:p>
      <w:pPr>
        <w:spacing w:before="0" w:after="0"/>
        <w:ind w:firstLine="480"/>
      </w:pPr>
      <w:r>
        <w:rPr>
          <w:rFonts w:ascii="Times New Roman" w:hAnsi="Times New Roman" w:eastAsia="黑体"/>
          <w:b w:val="0"/>
          <w:sz w:val="24"/>
        </w:rPr>
        <w:t>【问题】</w:t>
      </w:r>
      <w:r>
        <w:rPr>
          <w:rFonts w:ascii="Times New Roman" w:hAnsi="Times New Roman" w:eastAsia="仿宋"/>
          <w:b w:val="0"/>
          <w:sz w:val="24"/>
        </w:rPr>
        <w:t>本项目为 320 号项下大型及以上算力基础设施，其必要性论证应首先回答两个政策问题：一是本项目落在该文哪一档、依何条款纳入窗口范围；二是该文第二部分（原件第 3 页）“国家枢纽节点外原则上不得新建各类大型及超大型算力中心”的要求如何满足。现稿以业务需求和区域数字化叙述代替上述论证，使必要性与政策相符性脱节。此项与本部分第 5 条（建设地点的集群起步区判定）互为一体，缺一即不能成立。</w:t>
      </w:r>
    </w:p>
    <w:p>
      <w:pPr>
        <w:spacing w:before="0" w:after="0"/>
        <w:ind w:firstLine="480"/>
      </w:pPr>
      <w:r>
        <w:rPr>
          <w:rFonts w:ascii="Times New Roman" w:hAnsi="Times New Roman" w:eastAsia="黑体"/>
          <w:b w:val="0"/>
          <w:sz w:val="24"/>
        </w:rPr>
        <w:t>【须补/待核】</w:t>
      </w:r>
      <w:r>
        <w:rPr>
          <w:rFonts w:ascii="Times New Roman" w:hAnsi="Times New Roman" w:eastAsia="仿宋"/>
          <w:b w:val="0"/>
          <w:sz w:val="24"/>
        </w:rPr>
        <w:t>请在背景与必要性章列明：本项目的规模分档判定过程及所引附件 1 条件；纳入“窗口指导”范围的条款依据；与“东数西算”布局要求相符性的论证；是否属国家有关方案已明确布局的项目及其文件。</w:t>
      </w:r>
    </w:p>
    <w:p>
      <w:pPr>
        <w:spacing w:before="120" w:after="0"/>
        <w:ind w:firstLine="480"/>
      </w:pPr>
      <w:r>
        <w:rPr>
          <w:rFonts w:ascii="Times New Roman" w:hAnsi="Times New Roman" w:eastAsia="仿宋"/>
          <w:b/>
          <w:sz w:val="24"/>
        </w:rPr>
        <w:t>2. 支撑本次申报的现行政策依据稿中未见，时效未说明</w:t>
      </w:r>
    </w:p>
    <w:p>
      <w:pPr>
        <w:spacing w:before="0" w:after="0"/>
        <w:ind w:firstLine="480"/>
      </w:pPr>
      <w:r>
        <w:rPr>
          <w:rFonts w:ascii="Times New Roman" w:hAnsi="Times New Roman" w:eastAsia="黑体"/>
          <w:b w:val="0"/>
          <w:sz w:val="24"/>
        </w:rPr>
        <w:t>【风险】</w:t>
      </w:r>
      <w:r>
        <w:rPr>
          <w:rFonts w:ascii="Times New Roman" w:hAnsi="Times New Roman" w:eastAsia="仿宋"/>
          <w:b w:val="0"/>
          <w:sz w:val="24"/>
        </w:rPr>
        <w:t>中。</w:t>
      </w:r>
    </w:p>
    <w:p>
      <w:pPr>
        <w:spacing w:before="0" w:after="0"/>
        <w:ind w:firstLine="480"/>
      </w:pPr>
      <w:r>
        <w:rPr>
          <w:rFonts w:ascii="Times New Roman" w:hAnsi="Times New Roman" w:eastAsia="黑体"/>
          <w:b w:val="0"/>
          <w:sz w:val="24"/>
        </w:rPr>
        <w:t>【位置】</w:t>
      </w:r>
      <w:r>
        <w:rPr>
          <w:rFonts w:ascii="Times New Roman" w:hAnsi="Times New Roman" w:eastAsia="仿宋"/>
          <w:b w:val="0"/>
          <w:sz w:val="24"/>
        </w:rPr>
        <w:t>政策依据章（页码待核）。</w:t>
      </w:r>
    </w:p>
    <w:p>
      <w:pPr>
        <w:spacing w:before="0" w:after="0"/>
        <w:ind w:firstLine="480"/>
      </w:pPr>
      <w:r>
        <w:rPr>
          <w:rFonts w:ascii="Times New Roman" w:hAnsi="Times New Roman" w:eastAsia="黑体"/>
          <w:b w:val="0"/>
          <w:sz w:val="24"/>
        </w:rPr>
        <w:t>【稿内】</w:t>
      </w:r>
      <w:r>
        <w:rPr>
          <w:rFonts w:ascii="Times New Roman" w:hAnsi="Times New Roman" w:eastAsia="仿宋"/>
          <w:b w:val="0"/>
          <w:sz w:val="24"/>
        </w:rPr>
        <w:t>《申请书》摘录中，支撑本次窗口申报的政策名称、文号及有效期均稿中未见；能效对标见于同期两高专册，对标粤发改高技〔2022〕436 号“省内新建 PUE≤1.3”。</w:t>
      </w:r>
    </w:p>
    <w:p>
      <w:pPr>
        <w:spacing w:before="0" w:after="0"/>
        <w:ind w:firstLine="480"/>
      </w:pPr>
      <w:r>
        <w:rPr>
          <w:rFonts w:ascii="Times New Roman" w:hAnsi="Times New Roman" w:eastAsia="黑体"/>
          <w:b w:val="0"/>
          <w:sz w:val="24"/>
        </w:rPr>
        <w:t>【问题】</w:t>
      </w:r>
      <w:r>
        <w:rPr>
          <w:rFonts w:ascii="Times New Roman" w:hAnsi="Times New Roman" w:eastAsia="仿宋"/>
          <w:b w:val="0"/>
          <w:sz w:val="24"/>
        </w:rPr>
        <w:t>无法核验申报门槛、能效指标、能耗、绿电比例及用地结论所采用的是现行依据还是历史口径。就能效一项而言，320 号要求 PUE 控制在 1.25 以内（条款页码待核），稿内对标的 1.3 低于该要求；以 1.3 为对标不足以支撑窗口结论。广东省《节能审查和碳排放评价实施办法》红头原件本件未核，不作为依据引用，相关程序判断标“待核”。</w:t>
      </w:r>
    </w:p>
    <w:p>
      <w:pPr>
        <w:spacing w:before="0" w:after="0"/>
        <w:ind w:firstLine="480"/>
      </w:pPr>
      <w:r>
        <w:rPr>
          <w:rFonts w:ascii="Times New Roman" w:hAnsi="Times New Roman" w:eastAsia="黑体"/>
          <w:b w:val="0"/>
          <w:sz w:val="24"/>
        </w:rPr>
        <w:t>【须补/待核】</w:t>
      </w:r>
      <w:r>
        <w:rPr>
          <w:rFonts w:ascii="Times New Roman" w:hAnsi="Times New Roman" w:eastAsia="仿宋"/>
          <w:b w:val="0"/>
          <w:sz w:val="24"/>
        </w:rPr>
        <w:t>请列出截至报送时仍然有效的逐项依据、文号、适用条款与有效期；按 320 号 1.25 的控制要求重新对标；说明粤发改高技〔2022〕436 号在报送时的效力。历史文件只可作背景表述，不得写成当前准入结论。</w:t>
      </w:r>
    </w:p>
    <w:p>
      <w:pPr>
        <w:spacing w:before="160" w:after="0"/>
        <w:ind w:firstLine="560"/>
      </w:pPr>
      <w:r>
        <w:rPr>
          <w:rFonts w:ascii="Times New Roman" w:hAnsi="Times New Roman" w:eastAsia="楷体"/>
          <w:b/>
          <w:sz w:val="28"/>
        </w:rPr>
        <w:t>（二）项目主体的基本情况和财务状况</w:t>
      </w:r>
    </w:p>
    <w:p>
      <w:pPr>
        <w:spacing w:before="0" w:after="0"/>
        <w:ind w:firstLine="480"/>
      </w:pPr>
      <w:r>
        <w:rPr>
          <w:rFonts w:ascii="Times New Roman" w:hAnsi="Times New Roman" w:eastAsia="仿宋"/>
          <w:b w:val="0"/>
          <w:sz w:val="24"/>
        </w:rPr>
        <w:t>附件 2（二）原文（原件第 9 页）：“提供项目承担单位的概况，包括项目投资主体、建设主体、运营主体、财务情况、项目负责人基本情况及其他相关信息。”</w:t>
      </w:r>
    </w:p>
    <w:p>
      <w:pPr>
        <w:spacing w:before="120" w:after="0"/>
        <w:ind w:firstLine="480"/>
      </w:pPr>
      <w:r>
        <w:rPr>
          <w:rFonts w:ascii="Times New Roman" w:hAnsi="Times New Roman" w:eastAsia="仿宋"/>
          <w:b/>
          <w:sz w:val="24"/>
        </w:rPr>
        <w:t>3. 主体财务状况与项目负责人情况整块缺失</w:t>
      </w:r>
    </w:p>
    <w:p>
      <w:pPr>
        <w:spacing w:before="0" w:after="0"/>
        <w:ind w:firstLine="480"/>
      </w:pPr>
      <w:r>
        <w:rPr>
          <w:rFonts w:ascii="Times New Roman" w:hAnsi="Times New Roman" w:eastAsia="黑体"/>
          <w:b w:val="0"/>
          <w:sz w:val="24"/>
        </w:rPr>
        <w:t>【风险】</w:t>
      </w:r>
      <w:r>
        <w:rPr>
          <w:rFonts w:ascii="Times New Roman" w:hAnsi="Times New Roman" w:eastAsia="仿宋"/>
          <w:b w:val="0"/>
          <w:sz w:val="24"/>
        </w:rPr>
        <w:t>高。</w:t>
      </w:r>
    </w:p>
    <w:p>
      <w:pPr>
        <w:spacing w:before="0" w:after="0"/>
        <w:ind w:firstLine="480"/>
      </w:pPr>
      <w:r>
        <w:rPr>
          <w:rFonts w:ascii="Times New Roman" w:hAnsi="Times New Roman" w:eastAsia="黑体"/>
          <w:b w:val="0"/>
          <w:sz w:val="24"/>
        </w:rPr>
        <w:t>【位置】</w:t>
      </w:r>
      <w:r>
        <w:rPr>
          <w:rFonts w:ascii="Times New Roman" w:hAnsi="Times New Roman" w:eastAsia="仿宋"/>
          <w:b w:val="0"/>
          <w:sz w:val="24"/>
        </w:rPr>
        <w:t>项目主体基本情况和财务状况章（页码待核）。</w:t>
      </w:r>
    </w:p>
    <w:p>
      <w:pPr>
        <w:spacing w:before="0" w:after="0"/>
        <w:ind w:firstLine="480"/>
      </w:pPr>
      <w:r>
        <w:rPr>
          <w:rFonts w:ascii="Times New Roman" w:hAnsi="Times New Roman" w:eastAsia="黑体"/>
          <w:b w:val="0"/>
          <w:sz w:val="24"/>
        </w:rPr>
        <w:t>【稿内】</w:t>
      </w:r>
      <w:r>
        <w:rPr>
          <w:rFonts w:ascii="Times New Roman" w:hAnsi="Times New Roman" w:eastAsia="仿宋"/>
          <w:b w:val="0"/>
          <w:sz w:val="24"/>
        </w:rPr>
        <w:t>《申请书》摘录中，投资主体、建设主体、运营主体的分别列示，承担单位近年财务情况（资产负债、营业收入、利润、资产负债率等），以及项目负责人基本情况，均稿中未见。</w:t>
      </w:r>
    </w:p>
    <w:p>
      <w:pPr>
        <w:spacing w:before="0" w:after="0"/>
        <w:ind w:firstLine="480"/>
      </w:pPr>
      <w:r>
        <w:rPr>
          <w:rFonts w:ascii="Times New Roman" w:hAnsi="Times New Roman" w:eastAsia="黑体"/>
          <w:b w:val="0"/>
          <w:sz w:val="24"/>
        </w:rPr>
        <w:t>【问题】</w:t>
      </w:r>
      <w:r>
        <w:rPr>
          <w:rFonts w:ascii="Times New Roman" w:hAnsi="Times New Roman" w:eastAsia="仿宋"/>
          <w:b w:val="0"/>
          <w:sz w:val="24"/>
        </w:rPr>
        <w:t>附件 2（二）为必备部分，且明示要求投资、建设、运营三类主体与财务情况、项目负责人情况。现稿仅有申报主体名称，属必备内容整块缺失。该部分同时是 320 号评估要素中“主体实力”与“资金”两项的直接依据，缺失将使这两项评估无从进行；亦使第（六）部分财务指标失去主体侧的偿债与出资能力支撑。</w:t>
      </w:r>
    </w:p>
    <w:p>
      <w:pPr>
        <w:spacing w:before="0" w:after="0"/>
        <w:ind w:firstLine="480"/>
      </w:pPr>
      <w:r>
        <w:rPr>
          <w:rFonts w:ascii="Times New Roman" w:hAnsi="Times New Roman" w:eastAsia="黑体"/>
          <w:b w:val="0"/>
          <w:sz w:val="24"/>
        </w:rPr>
        <w:t>【须补/待核】</w:t>
      </w:r>
      <w:r>
        <w:rPr>
          <w:rFonts w:ascii="Times New Roman" w:hAnsi="Times New Roman" w:eastAsia="仿宋"/>
          <w:b w:val="0"/>
          <w:sz w:val="24"/>
        </w:rPr>
        <w:t>请分别列明投资主体、建设主体、运营主体的名称、统一社会信用代码与权责划分；提供承担单位近三年财务情况；提供项目负责人基本情况。属分公司口径的，请说明与法人主体的关系及授权范围。</w:t>
      </w:r>
    </w:p>
    <w:p>
      <w:pPr>
        <w:spacing w:before="120" w:after="0"/>
        <w:ind w:firstLine="480"/>
      </w:pPr>
      <w:r>
        <w:rPr>
          <w:rFonts w:ascii="Times New Roman" w:hAnsi="Times New Roman" w:eastAsia="仿宋"/>
          <w:b/>
          <w:sz w:val="24"/>
        </w:rPr>
        <w:t>4. 申报主体名称与层级两种表述并存，签约与资产持有主体待核</w:t>
      </w:r>
    </w:p>
    <w:p>
      <w:pPr>
        <w:spacing w:before="0" w:after="0"/>
        <w:ind w:firstLine="480"/>
      </w:pPr>
      <w:r>
        <w:rPr>
          <w:rFonts w:ascii="Times New Roman" w:hAnsi="Times New Roman" w:eastAsia="黑体"/>
          <w:b w:val="0"/>
          <w:sz w:val="24"/>
        </w:rPr>
        <w:t>【风险】</w:t>
      </w:r>
      <w:r>
        <w:rPr>
          <w:rFonts w:ascii="Times New Roman" w:hAnsi="Times New Roman" w:eastAsia="仿宋"/>
          <w:b w:val="0"/>
          <w:sz w:val="24"/>
        </w:rPr>
        <w:t>中。</w:t>
      </w:r>
    </w:p>
    <w:p>
      <w:pPr>
        <w:spacing w:before="0" w:after="0"/>
        <w:ind w:firstLine="480"/>
      </w:pPr>
      <w:r>
        <w:rPr>
          <w:rFonts w:ascii="Times New Roman" w:hAnsi="Times New Roman" w:eastAsia="黑体"/>
          <w:b w:val="0"/>
          <w:sz w:val="24"/>
        </w:rPr>
        <w:t>【位置】</w:t>
      </w:r>
      <w:r>
        <w:rPr>
          <w:rFonts w:ascii="Times New Roman" w:hAnsi="Times New Roman" w:eastAsia="仿宋"/>
          <w:b w:val="0"/>
          <w:sz w:val="24"/>
        </w:rPr>
        <w:t>封面、索引表、项目主体章（页码待核）。</w:t>
      </w:r>
    </w:p>
    <w:p>
      <w:pPr>
        <w:spacing w:before="0" w:after="0"/>
        <w:ind w:firstLine="480"/>
      </w:pPr>
      <w:r>
        <w:rPr>
          <w:rFonts w:ascii="Times New Roman" w:hAnsi="Times New Roman" w:eastAsia="黑体"/>
          <w:b w:val="0"/>
          <w:sz w:val="24"/>
        </w:rPr>
        <w:t>【稿内】</w:t>
      </w:r>
      <w:r>
        <w:rPr>
          <w:rFonts w:ascii="Times New Roman" w:hAnsi="Times New Roman" w:eastAsia="仿宋"/>
          <w:b w:val="0"/>
          <w:sz w:val="24"/>
        </w:rPr>
        <w:t>稿内见“中国电信广东公司”与“中国电信股份有限公司广东分公司”两种表述。</w:t>
      </w:r>
    </w:p>
    <w:p>
      <w:pPr>
        <w:spacing w:before="0" w:after="0"/>
        <w:ind w:firstLine="480"/>
      </w:pPr>
      <w:r>
        <w:rPr>
          <w:rFonts w:ascii="Times New Roman" w:hAnsi="Times New Roman" w:eastAsia="黑体"/>
          <w:b w:val="0"/>
          <w:sz w:val="24"/>
        </w:rPr>
        <w:t>【问题】</w:t>
      </w:r>
      <w:r>
        <w:rPr>
          <w:rFonts w:ascii="Times New Roman" w:hAnsi="Times New Roman" w:eastAsia="仿宋"/>
          <w:b w:val="0"/>
          <w:sz w:val="24"/>
        </w:rPr>
        <w:t>两种表述指向不同的法律层级。分公司不具备独立法人资格，土地取得、资产持有、电力与绿电交易签约、客户合同签署及能耗与环境责任的承担主体须逐项明确，否则后续窗口结论的责任对象不确定。此项亦影响第（三）部分绿电供给与第（六）部分财务指标的签约主体认定。</w:t>
      </w:r>
    </w:p>
    <w:p>
      <w:pPr>
        <w:spacing w:before="0" w:after="0"/>
        <w:ind w:firstLine="480"/>
      </w:pPr>
      <w:r>
        <w:rPr>
          <w:rFonts w:ascii="Times New Roman" w:hAnsi="Times New Roman" w:eastAsia="黑体"/>
          <w:b w:val="0"/>
          <w:sz w:val="24"/>
        </w:rPr>
        <w:t>【须补/待核】</w:t>
      </w:r>
      <w:r>
        <w:rPr>
          <w:rFonts w:ascii="Times New Roman" w:hAnsi="Times New Roman" w:eastAsia="仿宋"/>
          <w:b w:val="0"/>
          <w:sz w:val="24"/>
        </w:rPr>
        <w:t>请统一申报主体全称，并逐项说明土地、资产、供电协议、绿电交易、客户合同及能耗环境责任的承担主体；若由法人主体授权分公司办理，请附授权文件。</w:t>
      </w:r>
    </w:p>
    <w:p>
      <w:pPr>
        <w:spacing w:before="160" w:after="0"/>
        <w:ind w:firstLine="560"/>
      </w:pPr>
      <w:r>
        <w:rPr>
          <w:rFonts w:ascii="Times New Roman" w:hAnsi="Times New Roman" w:eastAsia="楷体"/>
          <w:b/>
          <w:sz w:val="28"/>
        </w:rPr>
        <w:t>（三）项目基本情况</w:t>
      </w:r>
    </w:p>
    <w:p>
      <w:pPr>
        <w:spacing w:before="0" w:after="0"/>
        <w:ind w:firstLine="480"/>
      </w:pPr>
      <w:r>
        <w:rPr>
          <w:rFonts w:ascii="Times New Roman" w:hAnsi="Times New Roman" w:eastAsia="仿宋"/>
          <w:b w:val="0"/>
          <w:sz w:val="24"/>
        </w:rPr>
        <w:t>附件 2（三）就建设地点、建设内容、项目总投资和资金来源三项另有明示要求（原件第 9 页），本部分逐条对照。</w:t>
      </w:r>
    </w:p>
    <w:p>
      <w:pPr>
        <w:spacing w:before="120" w:after="0"/>
        <w:ind w:firstLine="480"/>
      </w:pPr>
      <w:r>
        <w:rPr>
          <w:rFonts w:ascii="Times New Roman" w:hAnsi="Times New Roman" w:eastAsia="仿宋"/>
          <w:b/>
          <w:sz w:val="24"/>
        </w:rPr>
        <w:t>5. 建设地点未按附件 2 明示要求判定是否位于十个国家数据中心集群起步区内</w:t>
      </w:r>
    </w:p>
    <w:p>
      <w:pPr>
        <w:spacing w:before="0" w:after="0"/>
        <w:ind w:firstLine="480"/>
      </w:pPr>
      <w:r>
        <w:rPr>
          <w:rFonts w:ascii="Times New Roman" w:hAnsi="Times New Roman" w:eastAsia="黑体"/>
          <w:b w:val="0"/>
          <w:sz w:val="24"/>
        </w:rPr>
        <w:t>【风险】</w:t>
      </w:r>
      <w:r>
        <w:rPr>
          <w:rFonts w:ascii="Times New Roman" w:hAnsi="Times New Roman" w:eastAsia="仿宋"/>
          <w:b w:val="0"/>
          <w:sz w:val="24"/>
        </w:rPr>
        <w:t>高。</w:t>
      </w:r>
    </w:p>
    <w:p>
      <w:pPr>
        <w:spacing w:before="0" w:after="0"/>
        <w:ind w:firstLine="480"/>
      </w:pPr>
      <w:r>
        <w:rPr>
          <w:rFonts w:ascii="Times New Roman" w:hAnsi="Times New Roman" w:eastAsia="黑体"/>
          <w:b w:val="0"/>
          <w:sz w:val="24"/>
        </w:rPr>
        <w:t>【位置】</w:t>
      </w:r>
      <w:r>
        <w:rPr>
          <w:rFonts w:ascii="Times New Roman" w:hAnsi="Times New Roman" w:eastAsia="仿宋"/>
          <w:b w:val="0"/>
          <w:sz w:val="24"/>
        </w:rPr>
        <w:t>3.1 建设地点章（页码待核）。</w:t>
      </w:r>
    </w:p>
    <w:p>
      <w:pPr>
        <w:spacing w:before="0" w:after="0"/>
        <w:ind w:firstLine="480"/>
      </w:pPr>
      <w:r>
        <w:rPr>
          <w:rFonts w:ascii="Times New Roman" w:hAnsi="Times New Roman" w:eastAsia="黑体"/>
          <w:b w:val="0"/>
          <w:sz w:val="24"/>
        </w:rPr>
        <w:t>【稿内】</w:t>
      </w:r>
      <w:r>
        <w:rPr>
          <w:rFonts w:ascii="Times New Roman" w:hAnsi="Times New Roman" w:eastAsia="仿宋"/>
          <w:b w:val="0"/>
          <w:sz w:val="24"/>
        </w:rPr>
        <w:t>3.1 载“里水大道中 36 号……46.55 亩；新建 1 栋……14400 标准机架；IT 36MW”。本址是否位于国家数据中心集群起步区内、是否位于西部大型风电光伏基地内、是否利用当地自然条件天然优势，均稿中未见。</w:t>
      </w:r>
    </w:p>
    <w:p>
      <w:pPr>
        <w:spacing w:before="0" w:after="0"/>
        <w:ind w:firstLine="480"/>
      </w:pPr>
      <w:r>
        <w:rPr>
          <w:rFonts w:ascii="Times New Roman" w:hAnsi="Times New Roman" w:eastAsia="黑体"/>
          <w:b w:val="0"/>
          <w:sz w:val="24"/>
        </w:rPr>
        <w:t>【问题】</w:t>
      </w:r>
      <w:r>
        <w:rPr>
          <w:rFonts w:ascii="Times New Roman" w:hAnsi="Times New Roman" w:eastAsia="仿宋"/>
          <w:b w:val="0"/>
          <w:sz w:val="24"/>
        </w:rPr>
        <w:t>附件 2（三）原文（原件第 9 页）明示：“其中，建设地点方面，明确建设位置、规模、是否建设在十个国家数据中心集群起步区内或西部大型风电光伏基地内，是否利用当地自然条件天然优势。”该三项判定是《申请书》建设地点部分的必填内容，现稿只写位置与规模，判定项整块缺失。该缺失不是文字疏漏：320 号第二部分（原件第 3 页）载“国家枢纽节点外原则上不得新建各类大型及超大型算力中心”，同页并载布局在集群起步区的项目“国家层面将统筹资源，给予能耗指标单列、资金补助等支持”。本项目为大型及以上、位于佛山市南海区，该判定结果直接决定项目能否新建以及能耗指标能否单列，是本次窗口的首要事实。申请人自有的省内现状支撑材料中另有园区（名称含“粤港澳大湾区一体化数据中心”，所在地及是否位于集群起步区待核）；若该园区在集群起步区内而本址在集群起步区外，则“为何不向集群集聚而在集群外新建大型算力中心”须由申请人正面回答。</w:t>
      </w:r>
    </w:p>
    <w:p>
      <w:pPr>
        <w:spacing w:before="0" w:after="0"/>
        <w:ind w:firstLine="480"/>
      </w:pPr>
      <w:r>
        <w:rPr>
          <w:rFonts w:ascii="Times New Roman" w:hAnsi="Times New Roman" w:eastAsia="黑体"/>
          <w:b w:val="0"/>
          <w:sz w:val="24"/>
        </w:rPr>
        <w:t>【须补/待核】</w:t>
      </w:r>
      <w:r>
        <w:rPr>
          <w:rFonts w:ascii="Times New Roman" w:hAnsi="Times New Roman" w:eastAsia="仿宋"/>
          <w:b w:val="0"/>
          <w:sz w:val="24"/>
        </w:rPr>
        <w:t>请按附件 2（三）逐项填报：本址是否位于十个国家数据中心集群起步区内（并附范围依据）；是否位于西部大型风电光伏基地内；是否利用当地自然条件天然优势及其具体内容。若在集群起步区外，请说明符合 320 号布局要求的依据，以及是否属国家有关方案明确布局的项目。集群起步区的具体范围以现行国家文件为准，待核，本件不代为拟定。</w:t>
      </w:r>
    </w:p>
    <w:p>
      <w:pPr>
        <w:spacing w:before="120" w:after="0"/>
        <w:ind w:firstLine="480"/>
      </w:pPr>
      <w:r>
        <w:rPr>
          <w:rFonts w:ascii="Times New Roman" w:hAnsi="Times New Roman" w:eastAsia="仿宋"/>
          <w:b/>
          <w:sz w:val="24"/>
        </w:rPr>
        <w:t>6. 应用需求存在三套互相排斥的数字，且证据不落在本址</w:t>
      </w:r>
    </w:p>
    <w:p>
      <w:pPr>
        <w:spacing w:before="0" w:after="0"/>
        <w:ind w:firstLine="480"/>
      </w:pPr>
      <w:r>
        <w:rPr>
          <w:rFonts w:ascii="Times New Roman" w:hAnsi="Times New Roman" w:eastAsia="黑体"/>
          <w:b w:val="0"/>
          <w:sz w:val="24"/>
        </w:rPr>
        <w:t>【风险】</w:t>
      </w:r>
      <w:r>
        <w:rPr>
          <w:rFonts w:ascii="Times New Roman" w:hAnsi="Times New Roman" w:eastAsia="仿宋"/>
          <w:b w:val="0"/>
          <w:sz w:val="24"/>
        </w:rPr>
        <w:t>高。</w:t>
      </w:r>
    </w:p>
    <w:p>
      <w:pPr>
        <w:spacing w:before="0" w:after="0"/>
        <w:ind w:firstLine="480"/>
      </w:pPr>
      <w:r>
        <w:rPr>
          <w:rFonts w:ascii="Times New Roman" w:hAnsi="Times New Roman" w:eastAsia="黑体"/>
          <w:b w:val="0"/>
          <w:sz w:val="24"/>
        </w:rPr>
        <w:t>【位置】</w:t>
      </w:r>
      <w:r>
        <w:rPr>
          <w:rFonts w:ascii="Times New Roman" w:hAnsi="Times New Roman" w:eastAsia="仿宋"/>
          <w:b w:val="0"/>
          <w:sz w:val="24"/>
        </w:rPr>
        <w:t>索引表、3.6 章节摘要、3.6.2、3.7.1、附件 1.9（页码待核）。</w:t>
      </w:r>
    </w:p>
    <w:p>
      <w:pPr>
        <w:spacing w:before="0" w:after="0"/>
        <w:ind w:firstLine="480"/>
      </w:pPr>
      <w:r>
        <w:rPr>
          <w:rFonts w:ascii="Times New Roman" w:hAnsi="Times New Roman" w:eastAsia="黑体"/>
          <w:b w:val="0"/>
          <w:sz w:val="24"/>
        </w:rPr>
        <w:t>【稿内】</w:t>
      </w:r>
      <w:r>
        <w:rPr>
          <w:rFonts w:ascii="Times New Roman" w:hAnsi="Times New Roman" w:eastAsia="仿宋"/>
          <w:b w:val="0"/>
          <w:sz w:val="24"/>
        </w:rPr>
        <w:t>索引表“已签约 IT 36MW，本次申请 36MW”；3.6“已签约 200MW 需求”；3.7.1“62MW 需求”，其中邦程智算 7MW 的需求书地点写东莞，唯颐 55MW 称 24000P、其号称算力可能高于本期规划的 11483 PFLOPS，附件 1.9 仅为“合作需求书”。</w:t>
      </w:r>
    </w:p>
    <w:p>
      <w:pPr>
        <w:spacing w:before="0" w:after="0"/>
        <w:ind w:firstLine="480"/>
      </w:pPr>
      <w:r>
        <w:rPr>
          <w:rFonts w:ascii="Times New Roman" w:hAnsi="Times New Roman" w:eastAsia="黑体"/>
          <w:b w:val="0"/>
          <w:sz w:val="24"/>
        </w:rPr>
        <w:t>【问题】</w:t>
      </w:r>
      <w:r>
        <w:rPr>
          <w:rFonts w:ascii="Times New Roman" w:hAnsi="Times New Roman" w:eastAsia="仿宋"/>
          <w:b w:val="0"/>
          <w:sz w:val="24"/>
        </w:rPr>
        <w:t>经复核，7MW＋55MW＝62MW，可解释 3.7.1 的需求总量；36MW 占 62MW 的 58.06%。但邦程的需求书地点写东莞，唯颐的支撑材料仅为合作需求书，二者均不能自然等同于里水同址已签约 36MW，更不能支撑 3.6 所称已签约 200MW。同一文本中出现“已签约 36MW”“已签约 200MW”“需求 62MW”三个相互排斥的数字，需求侧证据目前不成立。唯颐一项另有内部矛盾：其号称算力高于本期规划 11483 PFLOPS，而本期不投服务器，算力由客户侧设备决定，稿内未说明该需求如何在 36MW 的 IT 功率边界内实现。应用需求是 320 号评估要素之一，其缺位直接影响项目必要性与规模合理性。</w:t>
      </w:r>
    </w:p>
    <w:p>
      <w:pPr>
        <w:spacing w:before="0" w:after="0"/>
        <w:ind w:firstLine="480"/>
      </w:pPr>
      <w:r>
        <w:rPr>
          <w:rFonts w:ascii="Times New Roman" w:hAnsi="Times New Roman" w:eastAsia="黑体"/>
          <w:b w:val="0"/>
          <w:sz w:val="24"/>
        </w:rPr>
        <w:t>【须补/待核】</w:t>
      </w:r>
      <w:r>
        <w:rPr>
          <w:rFonts w:ascii="Times New Roman" w:hAnsi="Times New Roman" w:eastAsia="仿宋"/>
          <w:b w:val="0"/>
          <w:sz w:val="24"/>
        </w:rPr>
        <w:t>请逐客户列明合同性质、签署主体、服务地址、IT 功率、算力规模、交付期与解约条款，明确本次 36MW 由哪些里水同址有效合同构成；意向需求单独列示，不得计作已锁定消纳量；说明 3.6“已签约 200MW”的来源，若系省内现状支撑数据，应移入附件（八）并更正表述。唯颐 55MW 是否具有里水本址约束力合同，待核。</w:t>
      </w:r>
    </w:p>
    <w:p>
      <w:pPr>
        <w:spacing w:before="120" w:after="0"/>
        <w:ind w:firstLine="480"/>
      </w:pPr>
      <w:r>
        <w:rPr>
          <w:rFonts w:ascii="Times New Roman" w:hAnsi="Times New Roman" w:eastAsia="仿宋"/>
          <w:b/>
          <w:sz w:val="24"/>
        </w:rPr>
        <w:t>7. 绿电供给以承诺函加环境价值／绿证主张，本址物理电量路径缺位</w:t>
      </w:r>
    </w:p>
    <w:p>
      <w:pPr>
        <w:spacing w:before="0" w:after="0"/>
        <w:ind w:firstLine="480"/>
      </w:pPr>
      <w:r>
        <w:rPr>
          <w:rFonts w:ascii="Times New Roman" w:hAnsi="Times New Roman" w:eastAsia="黑体"/>
          <w:b w:val="0"/>
          <w:sz w:val="24"/>
        </w:rPr>
        <w:t>【风险】</w:t>
      </w:r>
      <w:r>
        <w:rPr>
          <w:rFonts w:ascii="Times New Roman" w:hAnsi="Times New Roman" w:eastAsia="仿宋"/>
          <w:b w:val="0"/>
          <w:sz w:val="24"/>
        </w:rPr>
        <w:t>高。</w:t>
      </w:r>
    </w:p>
    <w:p>
      <w:pPr>
        <w:spacing w:before="0" w:after="0"/>
        <w:ind w:firstLine="480"/>
      </w:pPr>
      <w:r>
        <w:rPr>
          <w:rFonts w:ascii="Times New Roman" w:hAnsi="Times New Roman" w:eastAsia="黑体"/>
          <w:b w:val="0"/>
          <w:sz w:val="24"/>
        </w:rPr>
        <w:t>【位置】</w:t>
      </w:r>
      <w:r>
        <w:rPr>
          <w:rFonts w:ascii="Times New Roman" w:hAnsi="Times New Roman" w:eastAsia="仿宋"/>
          <w:b w:val="0"/>
          <w:sz w:val="24"/>
        </w:rPr>
        <w:t>摘要表、3.8 绿电供给章、附件 1.8（页码待核）。</w:t>
      </w:r>
    </w:p>
    <w:p>
      <w:pPr>
        <w:spacing w:before="0" w:after="0"/>
        <w:ind w:firstLine="480"/>
      </w:pPr>
      <w:r>
        <w:rPr>
          <w:rFonts w:ascii="Times New Roman" w:hAnsi="Times New Roman" w:eastAsia="黑体"/>
          <w:b w:val="0"/>
          <w:sz w:val="24"/>
        </w:rPr>
        <w:t>【稿内】</w:t>
      </w:r>
      <w:r>
        <w:rPr>
          <w:rFonts w:ascii="Times New Roman" w:hAnsi="Times New Roman" w:eastAsia="仿宋"/>
          <w:b w:val="0"/>
          <w:sz w:val="24"/>
        </w:rPr>
        <w:t>“本项目承诺&gt;80%”；附件 1.8 为 2025 年韶关园区绿电交易合同；摘要表载绿色环境价值补充交易电价 5 元/兆瓦时；另列 2024 年全省专项采购 2.5 亿 kWh、2025 年 2 亿 kWh；屋顶光伏规模很小。</w:t>
      </w:r>
    </w:p>
    <w:p>
      <w:pPr>
        <w:spacing w:before="0" w:after="0"/>
        <w:ind w:firstLine="480"/>
      </w:pPr>
      <w:r>
        <w:rPr>
          <w:rFonts w:ascii="Times New Roman" w:hAnsi="Times New Roman" w:eastAsia="黑体"/>
          <w:b w:val="0"/>
          <w:sz w:val="24"/>
        </w:rPr>
        <w:t>【问题】</w:t>
      </w:r>
      <w:r>
        <w:rPr>
          <w:rFonts w:ascii="Times New Roman" w:hAnsi="Times New Roman" w:eastAsia="仿宋"/>
          <w:b w:val="0"/>
          <w:sz w:val="24"/>
        </w:rPr>
        <w:t>本轮明确：绿电占比以本址可计量、可结算的物理电量路径为准，绿证与省外合同不能无条件顶替年度绿电占比。2025 年韶关园区的绿电交易合同不能证明 2027 至 2028 年里水本址的绿电供给；全省历史采购量未见向本项目的分配安排；“绿色环境价值补充交易电价”只体现环境权益的价格，不体现本址结算电量。按同期两高专册年电量 37818.35 万 kWh 计，80% 对应物理绿电电量 30254.68 万 kWh，该电量的合同年度、计量点、结算主体、权益归属与注销安排稿中均未见。屋顶光伏规模很小，稿内未列装机与年发电量，无法计入占比。另据 320 号，绿电占比超过 80% 属优先支持情形（条款页码待核），即 80% 是获得优先支持的门槛而非已实现的结论，以承诺函主张该占比不产生优先支持效果。附件 1.8 所涉园区按本轮口径属省内现状支撑范畴，其绿电合同同样不能作为里水本址的项目级证据。</w:t>
      </w:r>
    </w:p>
    <w:p>
      <w:pPr>
        <w:spacing w:before="0" w:after="0"/>
        <w:ind w:firstLine="480"/>
      </w:pPr>
      <w:r>
        <w:rPr>
          <w:rFonts w:ascii="Times New Roman" w:hAnsi="Times New Roman" w:eastAsia="黑体"/>
          <w:b w:val="0"/>
          <w:sz w:val="24"/>
        </w:rPr>
        <w:t>【须补/待核】</w:t>
      </w:r>
      <w:r>
        <w:rPr>
          <w:rFonts w:ascii="Times New Roman" w:hAnsi="Times New Roman" w:eastAsia="仿宋"/>
          <w:b w:val="0"/>
          <w:sz w:val="24"/>
        </w:rPr>
        <w:t>请提交里水本址对应年度、对应电量、对应计量点的电力交易合同或具备约束力的供电协议，分列物理结算电量、绿证数量与环境权益，明确归属与注销主体，并说明 30254.68 万 kWh 如何落到本址表计；单列屋顶光伏装机、年发电量及其占本址年电量的比例；说明与韶关园区不存在重复计量。</w:t>
      </w:r>
    </w:p>
    <w:p>
      <w:pPr>
        <w:spacing w:before="120" w:after="0"/>
        <w:ind w:firstLine="480"/>
      </w:pPr>
      <w:r>
        <w:rPr>
          <w:rFonts w:ascii="Times New Roman" w:hAnsi="Times New Roman" w:eastAsia="仿宋"/>
          <w:b/>
          <w:sz w:val="24"/>
        </w:rPr>
        <w:t>8. 建设内容缺网络性能和资费，机柜资源利用率与能效、财务三处负荷口径不一致</w:t>
      </w:r>
    </w:p>
    <w:p>
      <w:pPr>
        <w:spacing w:before="0" w:after="0"/>
        <w:ind w:firstLine="480"/>
      </w:pPr>
      <w:r>
        <w:rPr>
          <w:rFonts w:ascii="Times New Roman" w:hAnsi="Times New Roman" w:eastAsia="黑体"/>
          <w:b w:val="0"/>
          <w:sz w:val="24"/>
        </w:rPr>
        <w:t>【风险】</w:t>
      </w:r>
      <w:r>
        <w:rPr>
          <w:rFonts w:ascii="Times New Roman" w:hAnsi="Times New Roman" w:eastAsia="仿宋"/>
          <w:b w:val="0"/>
          <w:sz w:val="24"/>
        </w:rPr>
        <w:t>中。</w:t>
      </w:r>
    </w:p>
    <w:p>
      <w:pPr>
        <w:spacing w:before="0" w:after="0"/>
        <w:ind w:firstLine="480"/>
      </w:pPr>
      <w:r>
        <w:rPr>
          <w:rFonts w:ascii="Times New Roman" w:hAnsi="Times New Roman" w:eastAsia="黑体"/>
          <w:b w:val="0"/>
          <w:sz w:val="24"/>
        </w:rPr>
        <w:t>【位置】</w:t>
      </w:r>
      <w:r>
        <w:rPr>
          <w:rFonts w:ascii="Times New Roman" w:hAnsi="Times New Roman" w:eastAsia="仿宋"/>
          <w:b w:val="0"/>
          <w:sz w:val="24"/>
        </w:rPr>
        <w:t>索引表、3.3 建设内容章、PUE 测算章、6.2.2.1 收入及成本表（页码待核）。</w:t>
      </w:r>
    </w:p>
    <w:p>
      <w:pPr>
        <w:spacing w:before="0" w:after="0"/>
        <w:ind w:firstLine="480"/>
      </w:pPr>
      <w:r>
        <w:rPr>
          <w:rFonts w:ascii="Times New Roman" w:hAnsi="Times New Roman" w:eastAsia="黑体"/>
          <w:b w:val="0"/>
          <w:sz w:val="24"/>
        </w:rPr>
        <w:t>【稿内】</w:t>
      </w:r>
      <w:r>
        <w:rPr>
          <w:rFonts w:ascii="Times New Roman" w:hAnsi="Times New Roman" w:eastAsia="仿宋"/>
          <w:b w:val="0"/>
          <w:sz w:val="24"/>
        </w:rPr>
        <w:t>附件 2（三）原文（原件第 9 页）：“建设内容方面，简要介绍计算、存储、网络等硬件资源配置情况和机柜资源利用率、算力负荷、网络性能和资费、设计 PUE 等基本情况。”稿内已给机柜资源利用率（上架率）85.10%、算力负荷 11483 PFLOPS（FP16）、设计 PUE 1.199；网络性能指标与资费稿中未见。</w:t>
      </w:r>
    </w:p>
    <w:p>
      <w:pPr>
        <w:spacing w:before="0" w:after="0"/>
        <w:ind w:firstLine="480"/>
      </w:pPr>
      <w:r>
        <w:rPr>
          <w:rFonts w:ascii="Times New Roman" w:hAnsi="Times New Roman" w:eastAsia="黑体"/>
          <w:b w:val="0"/>
          <w:sz w:val="24"/>
        </w:rPr>
        <w:t>【问题】</w:t>
      </w:r>
      <w:r>
        <w:rPr>
          <w:rFonts w:ascii="Times New Roman" w:hAnsi="Times New Roman" w:eastAsia="仿宋"/>
          <w:b w:val="0"/>
          <w:sz w:val="24"/>
        </w:rPr>
        <w:t>其一，附件 2（三）明示要求的“网络性能和资费”整项缺失。其二，同一项目在三处使用三套负荷口径：索引表上架率 85.10%、能效章负荷率 1.0（满载 8760 小时）、财务章负荷率 85%。经复核，按 85.10% 计 IT 电量为 26837.136 万 kWh，按 85% 计为 26805.6 万 kWh，二者相差 31.536 万 kWh；而能效章按 1.0 计 IT 电量 31534.248 万 kWh，与财务章相差 4728.648 万 kWh，与全口径年电量 37818.35 万 kWh 相差 11012.75 万 kWh。同一份《申请书》内负荷率取 1.0、0.851、0.85 三值而未作调平说明，使 PUE、能耗与收入成本三项互不衔接。</w:t>
      </w:r>
    </w:p>
    <w:p>
      <w:pPr>
        <w:spacing w:before="0" w:after="0"/>
        <w:ind w:firstLine="480"/>
      </w:pPr>
      <w:r>
        <w:rPr>
          <w:rFonts w:ascii="Times New Roman" w:hAnsi="Times New Roman" w:eastAsia="黑体"/>
          <w:b w:val="0"/>
          <w:sz w:val="24"/>
        </w:rPr>
        <w:t>【须补/待核】</w:t>
      </w:r>
      <w:r>
        <w:rPr>
          <w:rFonts w:ascii="Times New Roman" w:hAnsi="Times New Roman" w:eastAsia="仿宋"/>
          <w:b w:val="0"/>
          <w:sz w:val="24"/>
        </w:rPr>
        <w:t>请补充网络性能指标（时延、带宽、可用率等）与资费方案；在 36MW 统一边界下重列 IT 电量、辅助电量、总电量、负荷率、电价，说明 1.0、85.10%、85% 三套负荷口径各自的用途与相互关系，并按同一口径重算 PUE 与收入成本。</w:t>
      </w:r>
    </w:p>
    <w:p>
      <w:pPr>
        <w:spacing w:before="120" w:after="0"/>
        <w:ind w:firstLine="480"/>
      </w:pPr>
      <w:r>
        <w:rPr>
          <w:rFonts w:ascii="Times New Roman" w:hAnsi="Times New Roman" w:eastAsia="仿宋"/>
          <w:b/>
          <w:sz w:val="24"/>
        </w:rPr>
        <w:t>9. 项目总投资和资金来源未按附件 2 明示要求列明构成、出资方及国企出资与政策支持方式</w:t>
      </w:r>
    </w:p>
    <w:p>
      <w:pPr>
        <w:spacing w:before="0" w:after="0"/>
        <w:ind w:firstLine="480"/>
      </w:pPr>
      <w:r>
        <w:rPr>
          <w:rFonts w:ascii="Times New Roman" w:hAnsi="Times New Roman" w:eastAsia="黑体"/>
          <w:b w:val="0"/>
          <w:sz w:val="24"/>
        </w:rPr>
        <w:t>【风险】</w:t>
      </w:r>
      <w:r>
        <w:rPr>
          <w:rFonts w:ascii="Times New Roman" w:hAnsi="Times New Roman" w:eastAsia="仿宋"/>
          <w:b w:val="0"/>
          <w:sz w:val="24"/>
        </w:rPr>
        <w:t>中。</w:t>
      </w:r>
    </w:p>
    <w:p>
      <w:pPr>
        <w:spacing w:before="0" w:after="0"/>
        <w:ind w:firstLine="480"/>
      </w:pPr>
      <w:r>
        <w:rPr>
          <w:rFonts w:ascii="Times New Roman" w:hAnsi="Times New Roman" w:eastAsia="黑体"/>
          <w:b w:val="0"/>
          <w:sz w:val="24"/>
        </w:rPr>
        <w:t>【位置】</w:t>
      </w:r>
      <w:r>
        <w:rPr>
          <w:rFonts w:ascii="Times New Roman" w:hAnsi="Times New Roman" w:eastAsia="仿宋"/>
          <w:b w:val="0"/>
          <w:sz w:val="24"/>
        </w:rPr>
        <w:t>索引表、3.4 投资与资金来源章（页码待核）。</w:t>
      </w:r>
    </w:p>
    <w:p>
      <w:pPr>
        <w:spacing w:before="0" w:after="0"/>
        <w:ind w:firstLine="480"/>
      </w:pPr>
      <w:r>
        <w:rPr>
          <w:rFonts w:ascii="Times New Roman" w:hAnsi="Times New Roman" w:eastAsia="黑体"/>
          <w:b w:val="0"/>
          <w:sz w:val="24"/>
        </w:rPr>
        <w:t>【稿内】</w:t>
      </w:r>
      <w:r>
        <w:rPr>
          <w:rFonts w:ascii="Times New Roman" w:hAnsi="Times New Roman" w:eastAsia="仿宋"/>
          <w:b w:val="0"/>
          <w:sz w:val="24"/>
        </w:rPr>
        <w:t>投资 94638 万元，建设范围为“土建及配套、不进行服务器建设与投资”。投资金额构成（土建、机电、其他费用分项）、出资方、资本金比例、借款规模、利率及建设期利息，均稿中未见。</w:t>
      </w:r>
    </w:p>
    <w:p>
      <w:pPr>
        <w:spacing w:before="0" w:after="0"/>
        <w:ind w:firstLine="480"/>
      </w:pPr>
      <w:r>
        <w:rPr>
          <w:rFonts w:ascii="Times New Roman" w:hAnsi="Times New Roman" w:eastAsia="黑体"/>
          <w:b w:val="0"/>
          <w:sz w:val="24"/>
        </w:rPr>
        <w:t>【问题】</w:t>
      </w:r>
      <w:r>
        <w:rPr>
          <w:rFonts w:ascii="Times New Roman" w:hAnsi="Times New Roman" w:eastAsia="仿宋"/>
          <w:b w:val="0"/>
          <w:sz w:val="24"/>
        </w:rPr>
        <w:t>附件 2（三）原文（原件第 9 页）：“项目总投资和资金来源方面，明确投资金额构成及出资方。对于政府或国企出资的，要明确采取的出资和政策支持方式（包括股权、贴息、补助等各类方式）及金额。”申报主体为中国电信股份有限公司广东分公司，属国有企业出资范畴，该条明示要求适用于本项目，现稿未见按此填报。资金来源缺位使 320 号“资金”评估要素无从判断，也使第（六）部分的收益指标失去资本结构基础。</w:t>
      </w:r>
    </w:p>
    <w:p>
      <w:pPr>
        <w:spacing w:before="0" w:after="0"/>
        <w:ind w:firstLine="480"/>
      </w:pPr>
      <w:r>
        <w:rPr>
          <w:rFonts w:ascii="Times New Roman" w:hAnsi="Times New Roman" w:eastAsia="黑体"/>
          <w:b w:val="0"/>
          <w:sz w:val="24"/>
        </w:rPr>
        <w:t>【须补/待核】</w:t>
      </w:r>
      <w:r>
        <w:rPr>
          <w:rFonts w:ascii="Times New Roman" w:hAnsi="Times New Roman" w:eastAsia="仿宋"/>
          <w:b w:val="0"/>
          <w:sz w:val="24"/>
        </w:rPr>
        <w:t>请列明 94638 万元的投资构成分项与出资方；按附件 2 要求明确国企出资所采取的出资和政策支持方式（股权、贴息、补助等）及金额；列明资本金比例、借款规模、利率与建设期利息。</w:t>
      </w:r>
    </w:p>
    <w:p>
      <w:pPr>
        <w:spacing w:before="120" w:after="0"/>
        <w:ind w:firstLine="480"/>
      </w:pPr>
      <w:r>
        <w:rPr>
          <w:rFonts w:ascii="Times New Roman" w:hAnsi="Times New Roman" w:eastAsia="仿宋"/>
          <w:b/>
          <w:sz w:val="24"/>
        </w:rPr>
        <w:t>10. 国产生态口径冲突，且算力不属本期确定建设内容</w:t>
      </w:r>
    </w:p>
    <w:p>
      <w:pPr>
        <w:spacing w:before="0" w:after="0"/>
        <w:ind w:firstLine="480"/>
      </w:pPr>
      <w:r>
        <w:rPr>
          <w:rFonts w:ascii="Times New Roman" w:hAnsi="Times New Roman" w:eastAsia="黑体"/>
          <w:b w:val="0"/>
          <w:sz w:val="24"/>
        </w:rPr>
        <w:t>【风险】</w:t>
      </w:r>
      <w:r>
        <w:rPr>
          <w:rFonts w:ascii="Times New Roman" w:hAnsi="Times New Roman" w:eastAsia="仿宋"/>
          <w:b w:val="0"/>
          <w:sz w:val="24"/>
        </w:rPr>
        <w:t>中。</w:t>
      </w:r>
    </w:p>
    <w:p>
      <w:pPr>
        <w:spacing w:before="0" w:after="0"/>
        <w:ind w:firstLine="480"/>
      </w:pPr>
      <w:r>
        <w:rPr>
          <w:rFonts w:ascii="Times New Roman" w:hAnsi="Times New Roman" w:eastAsia="黑体"/>
          <w:b w:val="0"/>
          <w:sz w:val="24"/>
        </w:rPr>
        <w:t>【位置】</w:t>
      </w:r>
      <w:r>
        <w:rPr>
          <w:rFonts w:ascii="Times New Roman" w:hAnsi="Times New Roman" w:eastAsia="仿宋"/>
          <w:b w:val="0"/>
          <w:sz w:val="24"/>
        </w:rPr>
        <w:t>索引表、3.9 算力及设备章、建设范围（页码待核）。</w:t>
      </w:r>
    </w:p>
    <w:p>
      <w:pPr>
        <w:spacing w:before="0" w:after="0"/>
        <w:ind w:firstLine="480"/>
      </w:pPr>
      <w:r>
        <w:rPr>
          <w:rFonts w:ascii="Times New Roman" w:hAnsi="Times New Roman" w:eastAsia="黑体"/>
          <w:b w:val="0"/>
          <w:sz w:val="24"/>
        </w:rPr>
        <w:t>【稿内】</w:t>
      </w:r>
      <w:r>
        <w:rPr>
          <w:rFonts w:ascii="Times New Roman" w:hAnsi="Times New Roman" w:eastAsia="仿宋"/>
          <w:b w:val="0"/>
          <w:sz w:val="24"/>
        </w:rPr>
        <w:t>索引表载智算 11483 PFLOPS（FP16）；一期及终期“以 20992 张昇腾 950DT 为例”；3.9 正文另写 1.71 万张 910C；建设范围为“土建及配套、不进行服务器建设与投资”。</w:t>
      </w:r>
    </w:p>
    <w:p>
      <w:pPr>
        <w:spacing w:before="0" w:after="0"/>
        <w:ind w:firstLine="480"/>
      </w:pPr>
      <w:r>
        <w:rPr>
          <w:rFonts w:ascii="Times New Roman" w:hAnsi="Times New Roman" w:eastAsia="黑体"/>
          <w:b w:val="0"/>
          <w:sz w:val="24"/>
        </w:rPr>
        <w:t>【问题】</w:t>
      </w:r>
      <w:r>
        <w:rPr>
          <w:rFonts w:ascii="Times New Roman" w:hAnsi="Times New Roman" w:eastAsia="仿宋"/>
          <w:b w:val="0"/>
          <w:sz w:val="24"/>
        </w:rPr>
        <w:t>经复核，11483 PFLOPS÷20992 张＝547.02 TFLOPS/张，11483 PFLOPS÷17100 张＝671.52 TFLOPS/张，两套芯片方案对应的单卡算力相差 124.50 TFLOPS，不能同时成立；按同期两高专册实物机柜 492 台计，20992÷492＝42.67 张/台，非整数，单柜配置口径待核。又因服务器不由本期投资，11483 PFLOPS 无法落实到确定的采购主体、机柜位置与投产时间。按本轮口径声明，FP16 算力与芯片张数仅属客户侧设备口径，不得与 IT 功率或标准机架数互相换算填充。国产生态是 320 号评估要素之一，现稿仅以“为例”表述，不具确定性。</w:t>
      </w:r>
    </w:p>
    <w:p>
      <w:pPr>
        <w:spacing w:before="0" w:after="0"/>
        <w:ind w:firstLine="480"/>
      </w:pPr>
      <w:r>
        <w:rPr>
          <w:rFonts w:ascii="Times New Roman" w:hAnsi="Times New Roman" w:eastAsia="黑体"/>
          <w:b w:val="0"/>
          <w:sz w:val="24"/>
        </w:rPr>
        <w:t>【须补/待核】</w:t>
      </w:r>
      <w:r>
        <w:rPr>
          <w:rFonts w:ascii="Times New Roman" w:hAnsi="Times New Roman" w:eastAsia="仿宋"/>
          <w:b w:val="0"/>
          <w:sz w:val="24"/>
        </w:rPr>
        <w:t>请统一芯片型号与数量口径，说明 11483 PFLOPS 依据哪一套芯片、按何种单卡参数与整机配置计算，由谁采购、是否已有合同、何时安装；若仅为举例，请明确该算力不作为本期确定建设内容与收入测算基础，并单独说明国产生态的可核承诺内容。</w:t>
      </w:r>
    </w:p>
    <w:p>
      <w:pPr>
        <w:spacing w:before="120" w:after="0"/>
        <w:ind w:firstLine="480"/>
      </w:pPr>
      <w:r>
        <w:rPr>
          <w:rFonts w:ascii="Times New Roman" w:hAnsi="Times New Roman" w:eastAsia="仿宋"/>
          <w:b/>
          <w:sz w:val="24"/>
        </w:rPr>
        <w:t>11. 技术人才部分稿中未见</w:t>
      </w:r>
    </w:p>
    <w:p>
      <w:pPr>
        <w:spacing w:before="0" w:after="0"/>
        <w:ind w:firstLine="480"/>
      </w:pPr>
      <w:r>
        <w:rPr>
          <w:rFonts w:ascii="Times New Roman" w:hAnsi="Times New Roman" w:eastAsia="黑体"/>
          <w:b w:val="0"/>
          <w:sz w:val="24"/>
        </w:rPr>
        <w:t>【风险】</w:t>
      </w:r>
      <w:r>
        <w:rPr>
          <w:rFonts w:ascii="Times New Roman" w:hAnsi="Times New Roman" w:eastAsia="仿宋"/>
          <w:b w:val="0"/>
          <w:sz w:val="24"/>
        </w:rPr>
        <w:t>中。</w:t>
      </w:r>
    </w:p>
    <w:p>
      <w:pPr>
        <w:spacing w:before="0" w:after="0"/>
        <w:ind w:firstLine="480"/>
      </w:pPr>
      <w:r>
        <w:rPr>
          <w:rFonts w:ascii="Times New Roman" w:hAnsi="Times New Roman" w:eastAsia="黑体"/>
          <w:b w:val="0"/>
          <w:sz w:val="24"/>
        </w:rPr>
        <w:t>【位置】</w:t>
      </w:r>
      <w:r>
        <w:rPr>
          <w:rFonts w:ascii="Times New Roman" w:hAnsi="Times New Roman" w:eastAsia="仿宋"/>
          <w:b w:val="0"/>
          <w:sz w:val="24"/>
        </w:rPr>
        <w:t>项目基本情况章（页码待核）。</w:t>
      </w:r>
    </w:p>
    <w:p>
      <w:pPr>
        <w:spacing w:before="0" w:after="0"/>
        <w:ind w:firstLine="480"/>
      </w:pPr>
      <w:r>
        <w:rPr>
          <w:rFonts w:ascii="Times New Roman" w:hAnsi="Times New Roman" w:eastAsia="黑体"/>
          <w:b w:val="0"/>
          <w:sz w:val="24"/>
        </w:rPr>
        <w:t>【稿内】</w:t>
      </w:r>
      <w:r>
        <w:rPr>
          <w:rFonts w:ascii="Times New Roman" w:hAnsi="Times New Roman" w:eastAsia="仿宋"/>
          <w:b w:val="0"/>
          <w:sz w:val="24"/>
        </w:rPr>
        <w:t>附件 2（三）将“技术人才”列为项目基本情况的组成内容；《申请书》摘录中，运维与技术团队规模、专业构成、来源及培养安排均稿中未见。</w:t>
      </w:r>
    </w:p>
    <w:p>
      <w:pPr>
        <w:spacing w:before="0" w:after="0"/>
        <w:ind w:firstLine="480"/>
      </w:pPr>
      <w:r>
        <w:rPr>
          <w:rFonts w:ascii="Times New Roman" w:hAnsi="Times New Roman" w:eastAsia="黑体"/>
          <w:b w:val="0"/>
          <w:sz w:val="24"/>
        </w:rPr>
        <w:t>【问题】</w:t>
      </w:r>
      <w:r>
        <w:rPr>
          <w:rFonts w:ascii="Times New Roman" w:hAnsi="Times New Roman" w:eastAsia="仿宋"/>
          <w:b w:val="0"/>
          <w:sz w:val="24"/>
        </w:rPr>
        <w:t>技术人才是 320 号评估要素之一，属必备内容缺失。本项目不投服务器、由他方部署算力设备，运维责任在申请人与客户之间如何划分尤须写明，否则无法判断 36MW、492 台高功率机柜（平均 73.17kW/台，含 100kW 档 328 台）的运维能力是否具备。</w:t>
      </w:r>
    </w:p>
    <w:p>
      <w:pPr>
        <w:spacing w:before="0" w:after="0"/>
        <w:ind w:firstLine="480"/>
      </w:pPr>
      <w:r>
        <w:rPr>
          <w:rFonts w:ascii="Times New Roman" w:hAnsi="Times New Roman" w:eastAsia="黑体"/>
          <w:b w:val="0"/>
          <w:sz w:val="24"/>
        </w:rPr>
        <w:t>【须补/待核】</w:t>
      </w:r>
      <w:r>
        <w:rPr>
          <w:rFonts w:ascii="Times New Roman" w:hAnsi="Times New Roman" w:eastAsia="仿宋"/>
          <w:b w:val="0"/>
          <w:sz w:val="24"/>
        </w:rPr>
        <w:t>请列明本项目运维团队编制、专业构成、来源与培养计划，并说明高功率机柜与液冷系统的运维责任划分及资质要求。</w:t>
      </w:r>
    </w:p>
    <w:p>
      <w:pPr>
        <w:spacing w:before="120" w:after="0"/>
        <w:ind w:firstLine="480"/>
      </w:pPr>
      <w:r>
        <w:rPr>
          <w:rFonts w:ascii="Times New Roman" w:hAnsi="Times New Roman" w:eastAsia="仿宋"/>
          <w:b/>
          <w:sz w:val="24"/>
        </w:rPr>
        <w:t>12. 建设周期与前置程序的衔接未说明</w:t>
      </w:r>
    </w:p>
    <w:p>
      <w:pPr>
        <w:spacing w:before="0" w:after="0"/>
        <w:ind w:firstLine="480"/>
      </w:pPr>
      <w:r>
        <w:rPr>
          <w:rFonts w:ascii="Times New Roman" w:hAnsi="Times New Roman" w:eastAsia="黑体"/>
          <w:b w:val="0"/>
          <w:sz w:val="24"/>
        </w:rPr>
        <w:t>【风险】</w:t>
      </w:r>
      <w:r>
        <w:rPr>
          <w:rFonts w:ascii="Times New Roman" w:hAnsi="Times New Roman" w:eastAsia="仿宋"/>
          <w:b w:val="0"/>
          <w:sz w:val="24"/>
        </w:rPr>
        <w:t>中。</w:t>
      </w:r>
    </w:p>
    <w:p>
      <w:pPr>
        <w:spacing w:before="0" w:after="0"/>
        <w:ind w:firstLine="480"/>
      </w:pPr>
      <w:r>
        <w:rPr>
          <w:rFonts w:ascii="Times New Roman" w:hAnsi="Times New Roman" w:eastAsia="黑体"/>
          <w:b w:val="0"/>
          <w:sz w:val="24"/>
        </w:rPr>
        <w:t>【位置】</w:t>
      </w:r>
      <w:r>
        <w:rPr>
          <w:rFonts w:ascii="Times New Roman" w:hAnsi="Times New Roman" w:eastAsia="仿宋"/>
          <w:b w:val="0"/>
          <w:sz w:val="24"/>
        </w:rPr>
        <w:t>3.2 建设周期章（页码待核）。</w:t>
      </w:r>
    </w:p>
    <w:p>
      <w:pPr>
        <w:spacing w:before="0" w:after="0"/>
        <w:ind w:firstLine="480"/>
      </w:pPr>
      <w:r>
        <w:rPr>
          <w:rFonts w:ascii="Times New Roman" w:hAnsi="Times New Roman" w:eastAsia="黑体"/>
          <w:b w:val="0"/>
          <w:sz w:val="24"/>
        </w:rPr>
        <w:t>【稿内】</w:t>
      </w:r>
      <w:r>
        <w:rPr>
          <w:rFonts w:ascii="Times New Roman" w:hAnsi="Times New Roman" w:eastAsia="仿宋"/>
          <w:b w:val="0"/>
          <w:sz w:val="24"/>
        </w:rPr>
        <w:t>建设期 2027 年 3 月至 2028 年 6 月；用地性质待调整；摘要表节能审查栏及附件 1.6、1.11 均为“项目未启动，暂无”。</w:t>
      </w:r>
    </w:p>
    <w:p>
      <w:pPr>
        <w:spacing w:before="0" w:after="0"/>
        <w:ind w:firstLine="480"/>
      </w:pPr>
      <w:r>
        <w:rPr>
          <w:rFonts w:ascii="Times New Roman" w:hAnsi="Times New Roman" w:eastAsia="黑体"/>
          <w:b w:val="0"/>
          <w:sz w:val="24"/>
        </w:rPr>
        <w:t>【问题】</w:t>
      </w:r>
      <w:r>
        <w:rPr>
          <w:rFonts w:ascii="Times New Roman" w:hAnsi="Times New Roman" w:eastAsia="仿宋"/>
          <w:b w:val="0"/>
          <w:sz w:val="24"/>
        </w:rPr>
        <w:t>依 320 号，未过窗口不得备案、能评与网络接入（条款页码待核）；同时用地性质调整尚未完成。现稿未说明窗口结论、备案、用地用途调整、节能审查与 2027 年 3 月开工之间的时序安排，也未说明任一前置事项延后对建设周期的影响。附件 1 备注 1（原件第 8 页）以是否取得开工许可证区分未开工存量项目的类别，本项目该状态待核。</w:t>
      </w:r>
    </w:p>
    <w:p>
      <w:pPr>
        <w:spacing w:before="0" w:after="0"/>
        <w:ind w:firstLine="480"/>
      </w:pPr>
      <w:r>
        <w:rPr>
          <w:rFonts w:ascii="Times New Roman" w:hAnsi="Times New Roman" w:eastAsia="黑体"/>
          <w:b w:val="0"/>
          <w:sz w:val="24"/>
        </w:rPr>
        <w:t>【须补/待核】</w:t>
      </w:r>
      <w:r>
        <w:rPr>
          <w:rFonts w:ascii="Times New Roman" w:hAnsi="Times New Roman" w:eastAsia="仿宋"/>
          <w:b w:val="0"/>
          <w:sz w:val="24"/>
        </w:rPr>
        <w:t>请提交前置程序时序表，列明窗口指导、备案、用地用途调整、节能审查与碳排放评价、供电接入的办理主体、预计完成时点及与开工节点的关系；说明项目审批备案现状及是否属 320 号印发前存量项目。</w:t>
      </w:r>
    </w:p>
    <w:p>
      <w:pPr>
        <w:spacing w:before="160" w:after="0"/>
        <w:ind w:firstLine="560"/>
      </w:pPr>
      <w:r>
        <w:rPr>
          <w:rFonts w:ascii="Times New Roman" w:hAnsi="Times New Roman" w:eastAsia="楷体"/>
          <w:b/>
          <w:sz w:val="28"/>
        </w:rPr>
        <w:t>（四）建设方案</w:t>
      </w:r>
    </w:p>
    <w:p>
      <w:pPr>
        <w:spacing w:before="120" w:after="0"/>
        <w:ind w:firstLine="480"/>
      </w:pPr>
      <w:r>
        <w:rPr>
          <w:rFonts w:ascii="Times New Roman" w:hAnsi="Times New Roman" w:eastAsia="仿宋"/>
          <w:b/>
          <w:sz w:val="24"/>
        </w:rPr>
        <w:t>13. 液冷“本期暂不建”与设计 PUE 1.199 并列，机柜口径与同期两高专册不一致</w:t>
      </w:r>
    </w:p>
    <w:p>
      <w:pPr>
        <w:spacing w:before="0" w:after="0"/>
        <w:ind w:firstLine="480"/>
      </w:pPr>
      <w:r>
        <w:rPr>
          <w:rFonts w:ascii="Times New Roman" w:hAnsi="Times New Roman" w:eastAsia="黑体"/>
          <w:b w:val="0"/>
          <w:sz w:val="24"/>
        </w:rPr>
        <w:t>【风险】</w:t>
      </w:r>
      <w:r>
        <w:rPr>
          <w:rFonts w:ascii="Times New Roman" w:hAnsi="Times New Roman" w:eastAsia="仿宋"/>
          <w:b w:val="0"/>
          <w:sz w:val="24"/>
        </w:rPr>
        <w:t>中。</w:t>
      </w:r>
    </w:p>
    <w:p>
      <w:pPr>
        <w:spacing w:before="0" w:after="0"/>
        <w:ind w:firstLine="480"/>
      </w:pPr>
      <w:r>
        <w:rPr>
          <w:rFonts w:ascii="Times New Roman" w:hAnsi="Times New Roman" w:eastAsia="黑体"/>
          <w:b w:val="0"/>
          <w:sz w:val="24"/>
        </w:rPr>
        <w:t>【位置】</w:t>
      </w:r>
      <w:r>
        <w:rPr>
          <w:rFonts w:ascii="Times New Roman" w:hAnsi="Times New Roman" w:eastAsia="仿宋"/>
          <w:b w:val="0"/>
          <w:sz w:val="24"/>
        </w:rPr>
        <w:t>制冷及机柜配置章、PUE 测算章（页码待核）。</w:t>
      </w:r>
    </w:p>
    <w:p>
      <w:pPr>
        <w:spacing w:before="0" w:after="0"/>
        <w:ind w:firstLine="480"/>
      </w:pPr>
      <w:r>
        <w:rPr>
          <w:rFonts w:ascii="Times New Roman" w:hAnsi="Times New Roman" w:eastAsia="黑体"/>
          <w:b w:val="0"/>
          <w:sz w:val="24"/>
        </w:rPr>
        <w:t>【稿内】</w:t>
      </w:r>
      <w:r>
        <w:rPr>
          <w:rFonts w:ascii="Times New Roman" w:hAnsi="Times New Roman" w:eastAsia="仿宋"/>
          <w:b w:val="0"/>
          <w:sz w:val="24"/>
        </w:rPr>
        <w:t>液冷机柜“本期暂不建，与服务器同期建设”；满载 IT 电量 3.1536 亿 kWh、辅助 0.628 亿 kWh、设计 PUE 1.199；微模块材料另载华南地区 50% 负载 PUE 1.245；机柜口径为 14400 个 2.5kW 标准机架。</w:t>
      </w:r>
    </w:p>
    <w:p>
      <w:pPr>
        <w:spacing w:before="0" w:after="0"/>
        <w:ind w:firstLine="480"/>
      </w:pPr>
      <w:r>
        <w:rPr>
          <w:rFonts w:ascii="Times New Roman" w:hAnsi="Times New Roman" w:eastAsia="黑体"/>
          <w:b w:val="0"/>
          <w:sz w:val="24"/>
        </w:rPr>
        <w:t>【问题】</w:t>
      </w:r>
      <w:r>
        <w:rPr>
          <w:rFonts w:ascii="Times New Roman" w:hAnsi="Times New Roman" w:eastAsia="仿宋"/>
          <w:b w:val="0"/>
          <w:sz w:val="24"/>
        </w:rPr>
        <w:t>经复核，（3.1536＋0.628）÷3.1536≈1.1991，满载算术成立，但该值建立在负荷率 1.0 的全年满载假设上，且本期不建液冷，无法以未来液冷收益支撑本期能效；申请人自有材料的 50% 负载值 1.245 高于 1.199，且距 320 号 1.25 的控制要求仅余 0.005。机柜口径方面，《申请书》以 14400 个标准机架为主计数，同期两高专册已改为实物机柜 492 台（100kW×328、24kW×82、15kW×82，合计 35998kW，平均 73.17kW/台）；两份同期报送材料的建设方案主口径不一致。按本轮声明，14400 架仅用于 320 号附件 1 分档折合。</w:t>
      </w:r>
    </w:p>
    <w:p>
      <w:pPr>
        <w:spacing w:before="0" w:after="0"/>
        <w:ind w:firstLine="480"/>
      </w:pPr>
      <w:r>
        <w:rPr>
          <w:rFonts w:ascii="Times New Roman" w:hAnsi="Times New Roman" w:eastAsia="黑体"/>
          <w:b w:val="0"/>
          <w:sz w:val="24"/>
        </w:rPr>
        <w:t>【须补/待核】</w:t>
      </w:r>
      <w:r>
        <w:rPr>
          <w:rFonts w:ascii="Times New Roman" w:hAnsi="Times New Roman" w:eastAsia="仿宋"/>
          <w:b w:val="0"/>
          <w:sz w:val="24"/>
        </w:rPr>
        <w:t>请以实物机柜清单为建设方案主口径，列明各功率档台数、冷却方式与楼层，并说明与 14400 标准架折合值的关系；明确液冷是否属本期建设内容，若不属，删除以液冷论证能效的表述；按 320 号 1.25 要求给出设计点、满载点与年加权 PUE，并解释 1.245 与 1.199 的关系。</w:t>
      </w:r>
    </w:p>
    <w:p>
      <w:pPr>
        <w:spacing w:before="120" w:after="0"/>
        <w:ind w:firstLine="480"/>
      </w:pPr>
      <w:r>
        <w:rPr>
          <w:rFonts w:ascii="Times New Roman" w:hAnsi="Times New Roman" w:eastAsia="仿宋"/>
          <w:b/>
          <w:sz w:val="24"/>
        </w:rPr>
        <w:t>14. 供电容量口径不清，36MW、“机电投资 60000kW”与 100000kVA 之间未桥接</w:t>
      </w:r>
    </w:p>
    <w:p>
      <w:pPr>
        <w:spacing w:before="0" w:after="0"/>
        <w:ind w:firstLine="480"/>
      </w:pPr>
      <w:r>
        <w:rPr>
          <w:rFonts w:ascii="Times New Roman" w:hAnsi="Times New Roman" w:eastAsia="黑体"/>
          <w:b w:val="0"/>
          <w:sz w:val="24"/>
        </w:rPr>
        <w:t>【风险】</w:t>
      </w:r>
      <w:r>
        <w:rPr>
          <w:rFonts w:ascii="Times New Roman" w:hAnsi="Times New Roman" w:eastAsia="仿宋"/>
          <w:b w:val="0"/>
          <w:sz w:val="24"/>
        </w:rPr>
        <w:t>中。</w:t>
      </w:r>
    </w:p>
    <w:p>
      <w:pPr>
        <w:spacing w:before="0" w:after="0"/>
        <w:ind w:firstLine="480"/>
      </w:pPr>
      <w:r>
        <w:rPr>
          <w:rFonts w:ascii="Times New Roman" w:hAnsi="Times New Roman" w:eastAsia="黑体"/>
          <w:b w:val="0"/>
          <w:sz w:val="24"/>
        </w:rPr>
        <w:t>【位置】</w:t>
      </w:r>
      <w:r>
        <w:rPr>
          <w:rFonts w:ascii="Times New Roman" w:hAnsi="Times New Roman" w:eastAsia="仿宋"/>
          <w:b w:val="0"/>
          <w:sz w:val="24"/>
        </w:rPr>
        <w:t>机电配置章、变配电章（页码待核）。</w:t>
      </w:r>
    </w:p>
    <w:p>
      <w:pPr>
        <w:spacing w:before="0" w:after="0"/>
        <w:ind w:firstLine="480"/>
      </w:pPr>
      <w:r>
        <w:rPr>
          <w:rFonts w:ascii="Times New Roman" w:hAnsi="Times New Roman" w:eastAsia="黑体"/>
          <w:b w:val="0"/>
          <w:sz w:val="24"/>
        </w:rPr>
        <w:t>【稿内】</w:t>
      </w:r>
      <w:r>
        <w:rPr>
          <w:rFonts w:ascii="Times New Roman" w:hAnsi="Times New Roman" w:eastAsia="仿宋"/>
          <w:b w:val="0"/>
          <w:sz w:val="24"/>
        </w:rPr>
        <w:t>“机电投资 60000kW”；变压器容量 100000kVA；本次申请 IT 功率 36MW；同期两高专册载负荷率 40.95%、年电量 37818.35 万 kWh。</w:t>
      </w:r>
    </w:p>
    <w:p>
      <w:pPr>
        <w:spacing w:before="0" w:after="0"/>
        <w:ind w:firstLine="480"/>
      </w:pPr>
      <w:r>
        <w:rPr>
          <w:rFonts w:ascii="Times New Roman" w:hAnsi="Times New Roman" w:eastAsia="黑体"/>
          <w:b w:val="0"/>
          <w:sz w:val="24"/>
        </w:rPr>
        <w:t>【问题】</w:t>
      </w:r>
      <w:r>
        <w:rPr>
          <w:rFonts w:ascii="Times New Roman" w:hAnsi="Times New Roman" w:eastAsia="仿宋"/>
          <w:b w:val="0"/>
          <w:sz w:val="24"/>
        </w:rPr>
        <w:t>“投资”以千瓦为单位，含义不清，究竟指机电容量、供电申请容量还是笔误，稿中未见说明。36MW IT 负荷、60000kW 与 100000kVA 之间的辅助负荷、冗余配置、功率因数、分期启用与备用容量未见逐级桥接。经复核，按两高专册年电量折算年平均运行功率 43171.63kW，占 100000kVA 的 43.17%，与稿载 40.95% 不一致（100000kVA×40.95%＝40950kVA）。容量口径不清将使供电申请、能耗测算与分期建设三者不是同一套数。</w:t>
      </w:r>
    </w:p>
    <w:p>
      <w:pPr>
        <w:spacing w:before="0" w:after="0"/>
        <w:ind w:firstLine="480"/>
      </w:pPr>
      <w:r>
        <w:rPr>
          <w:rFonts w:ascii="Times New Roman" w:hAnsi="Times New Roman" w:eastAsia="黑体"/>
          <w:b w:val="0"/>
          <w:sz w:val="24"/>
        </w:rPr>
        <w:t>【须补/待核】</w:t>
      </w:r>
      <w:r>
        <w:rPr>
          <w:rFonts w:ascii="Times New Roman" w:hAnsi="Times New Roman" w:eastAsia="仿宋"/>
          <w:b w:val="0"/>
          <w:sz w:val="24"/>
        </w:rPr>
        <w:t>请澄清“机电投资 60000kW”的含义；从 36MW IT 负荷逐级列至总有功功率、视在功率、变压器容量与运行台数、冗余方式，区分本期与终期容量，并与年电量及负荷率对齐。</w:t>
      </w:r>
    </w:p>
    <w:p>
      <w:pPr>
        <w:spacing w:before="160" w:after="0"/>
        <w:ind w:firstLine="560"/>
      </w:pPr>
      <w:r>
        <w:rPr>
          <w:rFonts w:ascii="Times New Roman" w:hAnsi="Times New Roman" w:eastAsia="楷体"/>
          <w:b/>
          <w:sz w:val="28"/>
        </w:rPr>
        <w:t>（五）建设条件</w:t>
      </w:r>
    </w:p>
    <w:p>
      <w:pPr>
        <w:spacing w:before="120" w:after="0"/>
        <w:ind w:firstLine="480"/>
      </w:pPr>
      <w:r>
        <w:rPr>
          <w:rFonts w:ascii="Times New Roman" w:hAnsi="Times New Roman" w:eastAsia="仿宋"/>
          <w:b/>
          <w:sz w:val="24"/>
        </w:rPr>
        <w:t>15. 用地性质待调整，院内酒店、幼儿园与柴发储油条件缺项</w:t>
      </w:r>
    </w:p>
    <w:p>
      <w:pPr>
        <w:spacing w:before="0" w:after="0"/>
        <w:ind w:firstLine="480"/>
      </w:pPr>
      <w:r>
        <w:rPr>
          <w:rFonts w:ascii="Times New Roman" w:hAnsi="Times New Roman" w:eastAsia="黑体"/>
          <w:b w:val="0"/>
          <w:sz w:val="24"/>
        </w:rPr>
        <w:t>【风险】</w:t>
      </w:r>
      <w:r>
        <w:rPr>
          <w:rFonts w:ascii="Times New Roman" w:hAnsi="Times New Roman" w:eastAsia="仿宋"/>
          <w:b w:val="0"/>
          <w:sz w:val="24"/>
        </w:rPr>
        <w:t>高。</w:t>
      </w:r>
    </w:p>
    <w:p>
      <w:pPr>
        <w:spacing w:before="0" w:after="0"/>
        <w:ind w:firstLine="480"/>
      </w:pPr>
      <w:r>
        <w:rPr>
          <w:rFonts w:ascii="Times New Roman" w:hAnsi="Times New Roman" w:eastAsia="黑体"/>
          <w:b w:val="0"/>
          <w:sz w:val="24"/>
        </w:rPr>
        <w:t>【位置】</w:t>
      </w:r>
      <w:r>
        <w:rPr>
          <w:rFonts w:ascii="Times New Roman" w:hAnsi="Times New Roman" w:eastAsia="仿宋"/>
          <w:b w:val="0"/>
          <w:sz w:val="24"/>
        </w:rPr>
        <w:t>3.1、3.2 建设条件相关章（页码待核）。</w:t>
      </w:r>
    </w:p>
    <w:p>
      <w:pPr>
        <w:spacing w:before="0" w:after="0"/>
        <w:ind w:firstLine="480"/>
      </w:pPr>
      <w:r>
        <w:rPr>
          <w:rFonts w:ascii="Times New Roman" w:hAnsi="Times New Roman" w:eastAsia="黑体"/>
          <w:b w:val="0"/>
          <w:sz w:val="24"/>
        </w:rPr>
        <w:t>【稿内】</w:t>
      </w:r>
      <w:r>
        <w:rPr>
          <w:rFonts w:ascii="Times New Roman" w:hAnsi="Times New Roman" w:eastAsia="仿宋"/>
          <w:b w:val="0"/>
          <w:sz w:val="24"/>
        </w:rPr>
        <w:t>里水电信大院 46.55 亩，属存量用地，用地性质待调整；院内现有综合楼、酒店、幼儿园；建设期 2027 年 3 月至 2028 年 6 月。柴发机组与储油设施在《申请书》摘录中未见；同期两高专册载 26 台 10kV、2200kW 机组（装机合计 57200kW）及第 5 章储油。</w:t>
      </w:r>
    </w:p>
    <w:p>
      <w:pPr>
        <w:spacing w:before="0" w:after="0"/>
        <w:ind w:firstLine="480"/>
      </w:pPr>
      <w:r>
        <w:rPr>
          <w:rFonts w:ascii="Times New Roman" w:hAnsi="Times New Roman" w:eastAsia="黑体"/>
          <w:b w:val="0"/>
          <w:sz w:val="24"/>
        </w:rPr>
        <w:t>【问题】</w:t>
      </w:r>
      <w:r>
        <w:rPr>
          <w:rFonts w:ascii="Times New Roman" w:hAnsi="Times New Roman" w:eastAsia="仿宋"/>
          <w:b w:val="0"/>
          <w:sz w:val="24"/>
        </w:rPr>
        <w:t>用地用途尚未完成调整，窗口申请的用地合规前提未成立，且调整完成时点与 2027 年 3 月开工的关系未见说明。院内酒店与幼儿园属人群聚集及敏感场所，拟建机房、冷却设备与上述场所的最近距离、噪声与废气预测、交通组织方案均未见。更须指出的是，同期两高专册已载 26 台 2200kW 柴发机组与储油内容，而《申请书》建设条件部分未见柴发与储油，属同期两份报送材料建设条件不一致，且《申请书》一侧为缺项。</w:t>
      </w:r>
    </w:p>
    <w:p>
      <w:pPr>
        <w:spacing w:before="0" w:after="0"/>
        <w:ind w:firstLine="480"/>
      </w:pPr>
      <w:r>
        <w:rPr>
          <w:rFonts w:ascii="Times New Roman" w:hAnsi="Times New Roman" w:eastAsia="黑体"/>
          <w:b w:val="0"/>
          <w:sz w:val="24"/>
        </w:rPr>
        <w:t>【须补/待核】</w:t>
      </w:r>
      <w:r>
        <w:rPr>
          <w:rFonts w:ascii="Times New Roman" w:hAnsi="Times New Roman" w:eastAsia="仿宋"/>
          <w:b w:val="0"/>
          <w:sz w:val="24"/>
        </w:rPr>
        <w:t>请说明用地现状用途、拟调整用途、办理机关、办理程序与完成时点，以及未完成前可否开工及其依据；在总平面图上标明酒店、幼儿园、机房、冷却设备、柴发机组、排气口与储油设施的位置及最近距离，补充噪声、废气、防渗、防火与事故风险结论；将柴发与储油内容补入《申请书》建设条件部分，并与两高专册口径一致。</w:t>
      </w:r>
    </w:p>
    <w:p>
      <w:pPr>
        <w:spacing w:before="120" w:after="0"/>
        <w:ind w:firstLine="480"/>
      </w:pPr>
      <w:r>
        <w:rPr>
          <w:rFonts w:ascii="Times New Roman" w:hAnsi="Times New Roman" w:eastAsia="仿宋"/>
          <w:b/>
          <w:sz w:val="24"/>
        </w:rPr>
        <w:t>16. 节能审查与供电协议附件均以“项目未启动，暂无”留白，供电与计量条件因此无从核验</w:t>
      </w:r>
    </w:p>
    <w:p>
      <w:pPr>
        <w:spacing w:before="0" w:after="0"/>
        <w:ind w:firstLine="480"/>
      </w:pPr>
      <w:r>
        <w:rPr>
          <w:rFonts w:ascii="Times New Roman" w:hAnsi="Times New Roman" w:eastAsia="黑体"/>
          <w:b w:val="0"/>
          <w:sz w:val="24"/>
        </w:rPr>
        <w:t>【风险】</w:t>
      </w:r>
      <w:r>
        <w:rPr>
          <w:rFonts w:ascii="Times New Roman" w:hAnsi="Times New Roman" w:eastAsia="仿宋"/>
          <w:b w:val="0"/>
          <w:sz w:val="24"/>
        </w:rPr>
        <w:t>中。</w:t>
      </w:r>
    </w:p>
    <w:p>
      <w:pPr>
        <w:spacing w:before="0" w:after="0"/>
        <w:ind w:firstLine="480"/>
      </w:pPr>
      <w:r>
        <w:rPr>
          <w:rFonts w:ascii="Times New Roman" w:hAnsi="Times New Roman" w:eastAsia="黑体"/>
          <w:b w:val="0"/>
          <w:sz w:val="24"/>
        </w:rPr>
        <w:t>【位置】</w:t>
      </w:r>
      <w:r>
        <w:rPr>
          <w:rFonts w:ascii="Times New Roman" w:hAnsi="Times New Roman" w:eastAsia="仿宋"/>
          <w:b w:val="0"/>
          <w:sz w:val="24"/>
        </w:rPr>
        <w:t>摘要表节能审查栏、附件 1.6、附件 1.11（页码待核）。</w:t>
      </w:r>
    </w:p>
    <w:p>
      <w:pPr>
        <w:spacing w:before="0" w:after="0"/>
        <w:ind w:firstLine="480"/>
      </w:pPr>
      <w:r>
        <w:rPr>
          <w:rFonts w:ascii="Times New Roman" w:hAnsi="Times New Roman" w:eastAsia="黑体"/>
          <w:b w:val="0"/>
          <w:sz w:val="24"/>
        </w:rPr>
        <w:t>【稿内】</w:t>
      </w:r>
      <w:r>
        <w:rPr>
          <w:rFonts w:ascii="Times New Roman" w:hAnsi="Times New Roman" w:eastAsia="仿宋"/>
          <w:b w:val="0"/>
          <w:sz w:val="24"/>
        </w:rPr>
        <w:t>摘要表节能审查栏“项目未启动，暂无”；节能审查与供电协议相关附件（附件 1.6、1.11）“项目未启动，暂无”。</w:t>
      </w:r>
    </w:p>
    <w:p>
      <w:pPr>
        <w:spacing w:before="0" w:after="0"/>
        <w:ind w:firstLine="480"/>
      </w:pPr>
      <w:r>
        <w:rPr>
          <w:rFonts w:ascii="Times New Roman" w:hAnsi="Times New Roman" w:eastAsia="黑体"/>
          <w:b w:val="0"/>
          <w:sz w:val="24"/>
        </w:rPr>
        <w:t>【问题】</w:t>
      </w:r>
      <w:r>
        <w:rPr>
          <w:rFonts w:ascii="Times New Roman" w:hAnsi="Times New Roman" w:eastAsia="仿宋"/>
          <w:b w:val="0"/>
          <w:sz w:val="24"/>
        </w:rPr>
        <w:t>依 320 号，未过窗口不得开展备案、能评与网络接入（条款页码待核），故窗口申报时尚无节能审查成果本身可以理解；但《申请书》不应以“暂无”留白代替说明，而应写明该两份附件应为何种文件、办理主体、拟办理时点及与窗口结论的先后关系。供电协议一项的影响更直接：在无供电协议的情况下，供电容量（本部分第 14 条的 100000kVA 与“机电投资 60000kW”）、关口计量点设置、分表方案以及第（三）部分第 7 条要求的绿电结算电量落点，均无从核验；本项目 80% 绿电对应的 30254.68 万 kWh 物理电量究竟落在哪个计量点上，因此不具备回答条件。同时，在能评成果缺位的情况下，《申请书》中的能耗、能效数据只能作为申报测算，不得表述为已经审查通过的结论。广东省节能审查与碳排放评价的具体程序依现行有效文件确定，待核。</w:t>
      </w:r>
    </w:p>
    <w:p>
      <w:pPr>
        <w:spacing w:before="0" w:after="0"/>
        <w:ind w:firstLine="480"/>
      </w:pPr>
      <w:r>
        <w:rPr>
          <w:rFonts w:ascii="Times New Roman" w:hAnsi="Times New Roman" w:eastAsia="黑体"/>
          <w:b w:val="0"/>
          <w:sz w:val="24"/>
        </w:rPr>
        <w:t>【须补/待核】</w:t>
      </w:r>
      <w:r>
        <w:rPr>
          <w:rFonts w:ascii="Times New Roman" w:hAnsi="Times New Roman" w:eastAsia="仿宋"/>
          <w:b w:val="0"/>
          <w:sz w:val="24"/>
        </w:rPr>
        <w:t>请说明附件 1.6、1.11 应为何种文件、办理主体与拟提交时点，并在《申请书》中写明窗口结论与节能审查、碳排放评价、备案、网络接入的先后关系；就供电一项，先行提交供电部门的容量意见或用电报装受理材料，并列明拟设关口计量点、分表方案及与绿电结算电量的对应关系；明确稿内能耗能效数据的申报测算性质。</w:t>
      </w:r>
    </w:p>
    <w:p>
      <w:pPr>
        <w:spacing w:before="160" w:after="0"/>
        <w:ind w:firstLine="560"/>
      </w:pPr>
      <w:r>
        <w:rPr>
          <w:rFonts w:ascii="Times New Roman" w:hAnsi="Times New Roman" w:eastAsia="楷体"/>
          <w:b/>
          <w:sz w:val="28"/>
        </w:rPr>
        <w:t>（六）财务指标</w:t>
      </w:r>
    </w:p>
    <w:p>
      <w:pPr>
        <w:spacing w:before="120" w:after="0"/>
        <w:ind w:firstLine="480"/>
      </w:pPr>
      <w:r>
        <w:rPr>
          <w:rFonts w:ascii="Times New Roman" w:hAnsi="Times New Roman" w:eastAsia="仿宋"/>
          <w:b/>
          <w:sz w:val="24"/>
        </w:rPr>
        <w:t>17. “其他收入”按“万元/P/月”单价直接并入达产年收入，计价口径本身不能成立</w:t>
      </w:r>
    </w:p>
    <w:p>
      <w:pPr>
        <w:spacing w:before="0" w:after="0"/>
        <w:ind w:firstLine="480"/>
      </w:pPr>
      <w:r>
        <w:rPr>
          <w:rFonts w:ascii="Times New Roman" w:hAnsi="Times New Roman" w:eastAsia="黑体"/>
          <w:b w:val="0"/>
          <w:sz w:val="24"/>
        </w:rPr>
        <w:t>【风险】</w:t>
      </w:r>
      <w:r>
        <w:rPr>
          <w:rFonts w:ascii="Times New Roman" w:hAnsi="Times New Roman" w:eastAsia="仿宋"/>
          <w:b w:val="0"/>
          <w:sz w:val="24"/>
        </w:rPr>
        <w:t>高。</w:t>
      </w:r>
    </w:p>
    <w:p>
      <w:pPr>
        <w:spacing w:before="0" w:after="0"/>
        <w:ind w:firstLine="480"/>
      </w:pPr>
      <w:r>
        <w:rPr>
          <w:rFonts w:ascii="Times New Roman" w:hAnsi="Times New Roman" w:eastAsia="黑体"/>
          <w:b w:val="0"/>
          <w:sz w:val="24"/>
        </w:rPr>
        <w:t>【位置】</w:t>
      </w:r>
      <w:r>
        <w:rPr>
          <w:rFonts w:ascii="Times New Roman" w:hAnsi="Times New Roman" w:eastAsia="仿宋"/>
          <w:b w:val="0"/>
          <w:sz w:val="24"/>
        </w:rPr>
        <w:t>3.7.3、6.2.2.1 收入表（页码待核）。</w:t>
      </w:r>
    </w:p>
    <w:p>
      <w:pPr>
        <w:spacing w:before="0" w:after="0"/>
        <w:ind w:firstLine="480"/>
      </w:pPr>
      <w:r>
        <w:rPr>
          <w:rFonts w:ascii="Times New Roman" w:hAnsi="Times New Roman" w:eastAsia="黑体"/>
          <w:b w:val="0"/>
          <w:sz w:val="24"/>
        </w:rPr>
        <w:t>【稿内】</w:t>
      </w:r>
      <w:r>
        <w:rPr>
          <w:rFonts w:ascii="Times New Roman" w:hAnsi="Times New Roman" w:eastAsia="仿宋"/>
          <w:b w:val="0"/>
          <w:sz w:val="24"/>
        </w:rPr>
        <w:t>“其他收入 11483P×3.3 万元/P/月×85%＝32210 万元”；达产年收入 43338 万元；建设范围为“土建及配套、不进行服务器建设与投资”。</w:t>
      </w:r>
    </w:p>
    <w:p>
      <w:pPr>
        <w:spacing w:before="0" w:after="0"/>
        <w:ind w:firstLine="480"/>
      </w:pPr>
      <w:r>
        <w:rPr>
          <w:rFonts w:ascii="Times New Roman" w:hAnsi="Times New Roman" w:eastAsia="黑体"/>
          <w:b w:val="0"/>
          <w:sz w:val="24"/>
        </w:rPr>
        <w:t>【问题】</w:t>
      </w:r>
      <w:r>
        <w:rPr>
          <w:rFonts w:ascii="Times New Roman" w:hAnsi="Times New Roman" w:eastAsia="仿宋"/>
          <w:b w:val="0"/>
          <w:sz w:val="24"/>
        </w:rPr>
        <w:t>经复核，11483×3.3×0.85＝32209.815 万元，与稿内 32210 万元一致，但按所列“万元/P/月”单位，该结果仅对应一个月；若按 12 个月计，其他收入为 386517.78 万元，为项目总投资 94638 万元的 4.08 倍，量级明显不能成立。两种读法均有问题：按一个月读，则直接并入达产年收入存在期间错误；按十二个月读，则单价本身不成立。经复核，其他收入 32210 万元占达产年收入 43338 万元的 74.32%，即收入结构的四分之三建立在该项之上，该项口径不成立将使整个财务指标部分失效。另一重矛盾在于：本期不投服务器，却按算力（P）计价收取算力服务收入；算力由客户侧设备形成，申请人以何法律关系取得该收入，稿中未见说明。</w:t>
      </w:r>
    </w:p>
    <w:p>
      <w:pPr>
        <w:spacing w:before="0" w:after="0"/>
        <w:ind w:firstLine="480"/>
      </w:pPr>
      <w:r>
        <w:rPr>
          <w:rFonts w:ascii="Times New Roman" w:hAnsi="Times New Roman" w:eastAsia="黑体"/>
          <w:b w:val="0"/>
          <w:sz w:val="24"/>
        </w:rPr>
        <w:t>【须补/待核】</w:t>
      </w:r>
      <w:r>
        <w:rPr>
          <w:rFonts w:ascii="Times New Roman" w:hAnsi="Times New Roman" w:eastAsia="仿宋"/>
          <w:b w:val="0"/>
          <w:sz w:val="24"/>
        </w:rPr>
        <w:t>请更正“万元/P/月”与年度收入之间的期间关系，或更正单价，并重列达产年收入；说明不投服务器情况下按算力计价的收入来源、合同依据与结算方式；若该项收入不能成立，请撤回相应收入、利润与收益指标。</w:t>
      </w:r>
    </w:p>
    <w:p>
      <w:pPr>
        <w:spacing w:before="120" w:after="0"/>
        <w:ind w:firstLine="480"/>
      </w:pPr>
      <w:r>
        <w:rPr>
          <w:rFonts w:ascii="Times New Roman" w:hAnsi="Times New Roman" w:eastAsia="仿宋"/>
          <w:b/>
          <w:sz w:val="24"/>
        </w:rPr>
        <w:t>18. 利润总额大于收入减成本，两套收益指标并存，利润表与现金流表为空表</w:t>
      </w:r>
    </w:p>
    <w:p>
      <w:pPr>
        <w:spacing w:before="0" w:after="0"/>
        <w:ind w:firstLine="480"/>
      </w:pPr>
      <w:r>
        <w:rPr>
          <w:rFonts w:ascii="Times New Roman" w:hAnsi="Times New Roman" w:eastAsia="黑体"/>
          <w:b w:val="0"/>
          <w:sz w:val="24"/>
        </w:rPr>
        <w:t>【风险】</w:t>
      </w:r>
      <w:r>
        <w:rPr>
          <w:rFonts w:ascii="Times New Roman" w:hAnsi="Times New Roman" w:eastAsia="仿宋"/>
          <w:b w:val="0"/>
          <w:sz w:val="24"/>
        </w:rPr>
        <w:t>高。</w:t>
      </w:r>
    </w:p>
    <w:p>
      <w:pPr>
        <w:spacing w:before="0" w:after="0"/>
        <w:ind w:firstLine="480"/>
      </w:pPr>
      <w:r>
        <w:rPr>
          <w:rFonts w:ascii="Times New Roman" w:hAnsi="Times New Roman" w:eastAsia="黑体"/>
          <w:b w:val="0"/>
          <w:sz w:val="24"/>
        </w:rPr>
        <w:t>【位置】</w:t>
      </w:r>
      <w:r>
        <w:rPr>
          <w:rFonts w:ascii="Times New Roman" w:hAnsi="Times New Roman" w:eastAsia="仿宋"/>
          <w:b w:val="0"/>
          <w:sz w:val="24"/>
        </w:rPr>
        <w:t>3.7.3、6.2.2.1 收入表、利润表、现金流表、索引表、摘要表（页码待核）。</w:t>
      </w:r>
    </w:p>
    <w:p>
      <w:pPr>
        <w:spacing w:before="0" w:after="0"/>
        <w:ind w:firstLine="480"/>
      </w:pPr>
      <w:r>
        <w:rPr>
          <w:rFonts w:ascii="Times New Roman" w:hAnsi="Times New Roman" w:eastAsia="黑体"/>
          <w:b w:val="0"/>
          <w:sz w:val="24"/>
        </w:rPr>
        <w:t>【稿内】</w:t>
      </w:r>
      <w:r>
        <w:rPr>
          <w:rFonts w:ascii="Times New Roman" w:hAnsi="Times New Roman" w:eastAsia="仿宋"/>
          <w:b w:val="0"/>
          <w:sz w:val="24"/>
        </w:rPr>
        <w:t>达产年收入 43338 万元、成本 20788.4 万元、利润总额 29561 万元、回收期 8 年、税后内部收益率 8.3%；索引表回收期 7.78 年；摘要表净现值 132490 万元、内部收益率 17.6%、投资利润率 8.48%；利润表、现金流表为空表。</w:t>
      </w:r>
    </w:p>
    <w:p>
      <w:pPr>
        <w:spacing w:before="0" w:after="0"/>
        <w:ind w:firstLine="480"/>
      </w:pPr>
      <w:r>
        <w:rPr>
          <w:rFonts w:ascii="Times New Roman" w:hAnsi="Times New Roman" w:eastAsia="黑体"/>
          <w:b w:val="0"/>
          <w:sz w:val="24"/>
        </w:rPr>
        <w:t>【问题】</w:t>
      </w:r>
      <w:r>
        <w:rPr>
          <w:rFonts w:ascii="Times New Roman" w:hAnsi="Times New Roman" w:eastAsia="仿宋"/>
          <w:b w:val="0"/>
          <w:sz w:val="24"/>
        </w:rPr>
        <w:t>经复核，收入四项 7344＋3600＋184＋32210＝43338 万元，与稿内合计一致；但 43338－20788.4＝22549.6 万元，并非所列利润总额 29561 万元，两者相差 7011.4 万元，占达产年收入的 16.18%。该差额未见任何说明。内部收益率 17.6% 与税后内部收益率 8.3% 相差悬殊，回收期亦有 7.78 年与 8 年两套表述，稿中未见口径说明（税前或税后、项目口径或资本金口径）。在利润表与现金流表为空的情况下，净现值、内部收益率、回收期与投资利润率均不可复核。经济效益是 320 号评估要素之一，现稿不具备可核性。</w:t>
      </w:r>
    </w:p>
    <w:p>
      <w:pPr>
        <w:spacing w:before="0" w:after="0"/>
        <w:ind w:firstLine="480"/>
      </w:pPr>
      <w:r>
        <w:rPr>
          <w:rFonts w:ascii="Times New Roman" w:hAnsi="Times New Roman" w:eastAsia="黑体"/>
          <w:b w:val="0"/>
          <w:sz w:val="24"/>
        </w:rPr>
        <w:t>【须补/待核】</w:t>
      </w:r>
      <w:r>
        <w:rPr>
          <w:rFonts w:ascii="Times New Roman" w:hAnsi="Times New Roman" w:eastAsia="仿宋"/>
          <w:b w:val="0"/>
          <w:sz w:val="24"/>
        </w:rPr>
        <w:t>请说明利润总额为何大于收入减成本，提交非空的利润表与现金流量表，列明折旧、税费、融资成本与电费明细；统一两套内部收益率与回收期的口径；按同一投资额 94638 万元、同一收入成本边界与同一服务器边界重算各项收益指标，并说明原测算结论是否撤回。</w:t>
      </w:r>
    </w:p>
    <w:p>
      <w:pPr>
        <w:spacing w:before="120" w:after="0"/>
        <w:ind w:firstLine="480"/>
      </w:pPr>
      <w:r>
        <w:rPr>
          <w:rFonts w:ascii="Times New Roman" w:hAnsi="Times New Roman" w:eastAsia="仿宋"/>
          <w:b/>
          <w:sz w:val="24"/>
        </w:rPr>
        <w:t>19. 达产年电费按 IT 电量单独计价，反算隐含 PUE 恰为 1.0，辅助电量电费整块未计入成本</w:t>
      </w:r>
    </w:p>
    <w:p>
      <w:pPr>
        <w:spacing w:before="0" w:after="0"/>
        <w:ind w:firstLine="480"/>
      </w:pPr>
      <w:r>
        <w:rPr>
          <w:rFonts w:ascii="Times New Roman" w:hAnsi="Times New Roman" w:eastAsia="黑体"/>
          <w:b w:val="0"/>
          <w:sz w:val="24"/>
        </w:rPr>
        <w:t>【风险】</w:t>
      </w:r>
      <w:r>
        <w:rPr>
          <w:rFonts w:ascii="Times New Roman" w:hAnsi="Times New Roman" w:eastAsia="仿宋"/>
          <w:b w:val="0"/>
          <w:sz w:val="24"/>
        </w:rPr>
        <w:t>高。</w:t>
      </w:r>
    </w:p>
    <w:p>
      <w:pPr>
        <w:spacing w:before="0" w:after="0"/>
        <w:ind w:firstLine="480"/>
      </w:pPr>
      <w:r>
        <w:rPr>
          <w:rFonts w:ascii="Times New Roman" w:hAnsi="Times New Roman" w:eastAsia="黑体"/>
          <w:b w:val="0"/>
          <w:sz w:val="24"/>
        </w:rPr>
        <w:t>【位置】</w:t>
      </w:r>
      <w:r>
        <w:rPr>
          <w:rFonts w:ascii="Times New Roman" w:hAnsi="Times New Roman" w:eastAsia="仿宋"/>
          <w:b w:val="0"/>
          <w:sz w:val="24"/>
        </w:rPr>
        <w:t>6.2.2.1 成本表电费项、PUE 测算章（页码待核）。</w:t>
      </w:r>
    </w:p>
    <w:p>
      <w:pPr>
        <w:spacing w:before="0" w:after="0"/>
        <w:ind w:firstLine="480"/>
      </w:pPr>
      <w:r>
        <w:rPr>
          <w:rFonts w:ascii="Times New Roman" w:hAnsi="Times New Roman" w:eastAsia="黑体"/>
          <w:b w:val="0"/>
          <w:sz w:val="24"/>
        </w:rPr>
        <w:t>【稿内】</w:t>
      </w:r>
      <w:r>
        <w:rPr>
          <w:rFonts w:ascii="Times New Roman" w:hAnsi="Times New Roman" w:eastAsia="仿宋"/>
          <w:b w:val="0"/>
          <w:sz w:val="24"/>
        </w:rPr>
        <w:t>电费按“36000kW×85%×0.75 元”计，约 20104 万元；同章 PUE 测算按 IT 电量 3.1536 亿 kWh 加辅助电量 0.628 亿 kWh、设计 PUE 1.199；达产年成本合计 20788.4 万元。</w:t>
      </w:r>
    </w:p>
    <w:p>
      <w:pPr>
        <w:spacing w:before="0" w:after="0"/>
        <w:ind w:firstLine="480"/>
      </w:pPr>
      <w:r>
        <w:rPr>
          <w:rFonts w:ascii="Times New Roman" w:hAnsi="Times New Roman" w:eastAsia="黑体"/>
          <w:b w:val="0"/>
          <w:sz w:val="24"/>
        </w:rPr>
        <w:t>【问题】</w:t>
      </w:r>
      <w:r>
        <w:rPr>
          <w:rFonts w:ascii="Times New Roman" w:hAnsi="Times New Roman" w:eastAsia="仿宋"/>
          <w:b w:val="0"/>
          <w:sz w:val="24"/>
        </w:rPr>
        <w:t>经复核，36000kW×85%×8760 小时＝26805.6 万 kWh，乘 0.75 元/kWh 为 20104.2 万元，与稿内约 20104 万元一致，算术本身成立。但以稿内电费反算：20104.2÷0.75÷26805.6＝1.0，即该电费所隐含的 PUE 恰为 1.0，说明制冷及其他辅助用电的电费在成本表中整块未计入。这与同章能效测算自相矛盾：能效章已明确辅助电量为 0.628 亿 kWh、设计 PUE 为 1.199，成本章却按 PUE＝1.0 计费。经复核，若在同一 85% 负荷下按设计 PUE 1.199 计，电量为 32139.91 万 kWh、电费为 24104.94 万元，比稿载多 4000.74 万元；若按两高专册全口径年电量 37818.35 万 kWh 计，电费为 28363.76 万元，比稿载多 8259.56 万元。仅 85% 负荷口径下的 4000.74 万元，已相当于稿载利润总额 29561 万元的 13.53%，而达产年成本合计仅 20788.4 万元，即电费一项少计额约占全部成本的五分之一。此项与第 18 条的 7011.4 万元利润差是两个独立错误，方向一致且相互叠加：收入被高估、成本被低估，各项收益指标（净现值 132490 万元、内部收益率 17.6%／8.3%、回收期 7.78 年／8 年、投资利润率 8.48%）无一可用。</w:t>
      </w:r>
    </w:p>
    <w:p>
      <w:pPr>
        <w:spacing w:before="0" w:after="0"/>
        <w:ind w:firstLine="480"/>
      </w:pPr>
      <w:r>
        <w:rPr>
          <w:rFonts w:ascii="Times New Roman" w:hAnsi="Times New Roman" w:eastAsia="黑体"/>
          <w:b w:val="0"/>
          <w:sz w:val="24"/>
        </w:rPr>
        <w:t>【须补/待核】</w:t>
      </w:r>
      <w:r>
        <w:rPr>
          <w:rFonts w:ascii="Times New Roman" w:hAnsi="Times New Roman" w:eastAsia="仿宋"/>
          <w:b w:val="0"/>
          <w:sz w:val="24"/>
        </w:rPr>
        <w:t>请按统一口径重列电费：以年总电量（含 IT、制冷及其他辅助用电）乘电价计列，说明所采用的负荷率、PUE 与电价，并与能效章的年电量对齐；说明成本表电费为何按 PUE＝1.0 计。若电费由客户分表另行结算，请说明结算主体、分表设置与哪部分电量不进入本项目成本，并同步说明该处理与项目能耗边界（IT 电量全额计入）如何并存。重列后重算成本、利润与全部收益指标。</w:t>
      </w:r>
    </w:p>
    <w:p>
      <w:pPr>
        <w:spacing w:before="160" w:after="0"/>
        <w:ind w:firstLine="560"/>
      </w:pPr>
      <w:r>
        <w:rPr>
          <w:rFonts w:ascii="Times New Roman" w:hAnsi="Times New Roman" w:eastAsia="楷体"/>
          <w:b/>
          <w:sz w:val="28"/>
        </w:rPr>
        <w:t>（七）风险与效益</w:t>
      </w:r>
    </w:p>
    <w:p>
      <w:pPr>
        <w:spacing w:before="120" w:after="0"/>
        <w:ind w:firstLine="480"/>
      </w:pPr>
      <w:r>
        <w:rPr>
          <w:rFonts w:ascii="Times New Roman" w:hAnsi="Times New Roman" w:eastAsia="仿宋"/>
          <w:b/>
          <w:sz w:val="24"/>
        </w:rPr>
        <w:t>20. 风险分析未覆盖窗口、布局、用地、需求、绿电五类实质风险</w:t>
      </w:r>
    </w:p>
    <w:p>
      <w:pPr>
        <w:spacing w:before="0" w:after="0"/>
        <w:ind w:firstLine="480"/>
      </w:pPr>
      <w:r>
        <w:rPr>
          <w:rFonts w:ascii="Times New Roman" w:hAnsi="Times New Roman" w:eastAsia="黑体"/>
          <w:b w:val="0"/>
          <w:sz w:val="24"/>
        </w:rPr>
        <w:t>【风险】</w:t>
      </w:r>
      <w:r>
        <w:rPr>
          <w:rFonts w:ascii="Times New Roman" w:hAnsi="Times New Roman" w:eastAsia="仿宋"/>
          <w:b w:val="0"/>
          <w:sz w:val="24"/>
        </w:rPr>
        <w:t>中。</w:t>
      </w:r>
    </w:p>
    <w:p>
      <w:pPr>
        <w:spacing w:before="0" w:after="0"/>
        <w:ind w:firstLine="480"/>
      </w:pPr>
      <w:r>
        <w:rPr>
          <w:rFonts w:ascii="Times New Roman" w:hAnsi="Times New Roman" w:eastAsia="黑体"/>
          <w:b w:val="0"/>
          <w:sz w:val="24"/>
        </w:rPr>
        <w:t>【位置】</w:t>
      </w:r>
      <w:r>
        <w:rPr>
          <w:rFonts w:ascii="Times New Roman" w:hAnsi="Times New Roman" w:eastAsia="仿宋"/>
          <w:b w:val="0"/>
          <w:sz w:val="24"/>
        </w:rPr>
        <w:t>风险与效益章（页码待核）。</w:t>
      </w:r>
    </w:p>
    <w:p>
      <w:pPr>
        <w:spacing w:before="0" w:after="0"/>
        <w:ind w:firstLine="480"/>
      </w:pPr>
      <w:r>
        <w:rPr>
          <w:rFonts w:ascii="Times New Roman" w:hAnsi="Times New Roman" w:eastAsia="黑体"/>
          <w:b w:val="0"/>
          <w:sz w:val="24"/>
        </w:rPr>
        <w:t>【稿内】</w:t>
      </w:r>
      <w:r>
        <w:rPr>
          <w:rFonts w:ascii="Times New Roman" w:hAnsi="Times New Roman" w:eastAsia="仿宋"/>
          <w:b w:val="0"/>
          <w:sz w:val="24"/>
        </w:rPr>
        <w:t>《申请书》摘录中，针对本项目窗口审查结论、集群起步区布局判定、用地用途调整、需求签约与绿电落实的风险识别及应对措施均稿中未见。</w:t>
      </w:r>
    </w:p>
    <w:p>
      <w:pPr>
        <w:spacing w:before="0" w:after="0"/>
        <w:ind w:firstLine="480"/>
      </w:pPr>
      <w:r>
        <w:rPr>
          <w:rFonts w:ascii="Times New Roman" w:hAnsi="Times New Roman" w:eastAsia="黑体"/>
          <w:b w:val="0"/>
          <w:sz w:val="24"/>
        </w:rPr>
        <w:t>【问题】</w:t>
      </w:r>
      <w:r>
        <w:rPr>
          <w:rFonts w:ascii="Times New Roman" w:hAnsi="Times New Roman" w:eastAsia="仿宋"/>
          <w:b w:val="0"/>
          <w:sz w:val="24"/>
        </w:rPr>
        <w:t>本项目的实质风险集中在五处：一是窗口结论未定即安排 2027 年 3 月开工；二是大型项目在集群起步区外的布局相符性未判定；三是用地性质待调整；四是需求侧三套数字互相排斥且证据不在本址；五是绿电占比依赖承诺函与绿证。上述风险在稿内均未作识别与应对，效益部分又建立在第 17 至 19 条所述不可复核的财务测算之上，故风险与效益部分整体缺乏支撑。</w:t>
      </w:r>
    </w:p>
    <w:p>
      <w:pPr>
        <w:spacing w:before="0" w:after="0"/>
        <w:ind w:firstLine="480"/>
      </w:pPr>
      <w:r>
        <w:rPr>
          <w:rFonts w:ascii="Times New Roman" w:hAnsi="Times New Roman" w:eastAsia="黑体"/>
          <w:b w:val="0"/>
          <w:sz w:val="24"/>
        </w:rPr>
        <w:t>【须补/待核】</w:t>
      </w:r>
      <w:r>
        <w:rPr>
          <w:rFonts w:ascii="Times New Roman" w:hAnsi="Times New Roman" w:eastAsia="仿宋"/>
          <w:b w:val="0"/>
          <w:sz w:val="24"/>
        </w:rPr>
        <w:t>请就上述五类风险逐项列明识别、影响、应对措施与责任主体；效益部分待财务指标重算后重新出具，不得以现有不可复核测算结论支撑。</w:t>
      </w:r>
    </w:p>
    <w:p>
      <w:pPr>
        <w:spacing w:before="160" w:after="0"/>
        <w:ind w:firstLine="560"/>
      </w:pPr>
      <w:r>
        <w:rPr>
          <w:rFonts w:ascii="Times New Roman" w:hAnsi="Times New Roman" w:eastAsia="楷体"/>
          <w:b/>
          <w:sz w:val="28"/>
        </w:rPr>
        <w:t>（八）附件</w:t>
      </w:r>
    </w:p>
    <w:p>
      <w:pPr>
        <w:spacing w:before="0" w:after="0"/>
        <w:ind w:firstLine="480"/>
      </w:pPr>
      <w:r>
        <w:rPr>
          <w:rFonts w:ascii="Times New Roman" w:hAnsi="Times New Roman" w:eastAsia="仿宋"/>
          <w:b w:val="0"/>
          <w:sz w:val="24"/>
        </w:rPr>
        <w:t>附件 2（八）（据已核原件摘要，页码待核）要求附件包含省内已投产规模及利用率、设备清单等。</w:t>
      </w:r>
    </w:p>
    <w:p>
      <w:pPr>
        <w:spacing w:before="120" w:after="0"/>
        <w:ind w:firstLine="480"/>
      </w:pPr>
      <w:r>
        <w:rPr>
          <w:rFonts w:ascii="Times New Roman" w:hAnsi="Times New Roman" w:eastAsia="仿宋"/>
          <w:b/>
          <w:sz w:val="24"/>
        </w:rPr>
        <w:t>21. 省内现状支撑数字被写入“本次申报范围”，申报边界字段须更正</w:t>
      </w:r>
    </w:p>
    <w:p>
      <w:pPr>
        <w:spacing w:before="0" w:after="0"/>
        <w:ind w:firstLine="480"/>
      </w:pPr>
      <w:r>
        <w:rPr>
          <w:rFonts w:ascii="Times New Roman" w:hAnsi="Times New Roman" w:eastAsia="黑体"/>
          <w:b w:val="0"/>
          <w:sz w:val="24"/>
        </w:rPr>
        <w:t>【风险】</w:t>
      </w:r>
      <w:r>
        <w:rPr>
          <w:rFonts w:ascii="Times New Roman" w:hAnsi="Times New Roman" w:eastAsia="仿宋"/>
          <w:b w:val="0"/>
          <w:sz w:val="24"/>
        </w:rPr>
        <w:t>高。</w:t>
      </w:r>
    </w:p>
    <w:p>
      <w:pPr>
        <w:spacing w:before="0" w:after="0"/>
        <w:ind w:firstLine="480"/>
      </w:pPr>
      <w:r>
        <w:rPr>
          <w:rFonts w:ascii="Times New Roman" w:hAnsi="Times New Roman" w:eastAsia="黑体"/>
          <w:b w:val="0"/>
          <w:sz w:val="24"/>
        </w:rPr>
        <w:t>【位置】</w:t>
      </w:r>
      <w:r>
        <w:rPr>
          <w:rFonts w:ascii="Times New Roman" w:hAnsi="Times New Roman" w:eastAsia="仿宋"/>
          <w:b w:val="0"/>
          <w:sz w:val="24"/>
        </w:rPr>
        <w:t>摘要表、索引表、3.1，及韶塘园区支撑材料（页码待核）。</w:t>
      </w:r>
    </w:p>
    <w:p>
      <w:pPr>
        <w:spacing w:before="0" w:after="0"/>
        <w:ind w:firstLine="480"/>
      </w:pPr>
      <w:r>
        <w:rPr>
          <w:rFonts w:ascii="Times New Roman" w:hAnsi="Times New Roman" w:eastAsia="黑体"/>
          <w:b w:val="0"/>
          <w:sz w:val="24"/>
        </w:rPr>
        <w:t>【稿内】</w:t>
      </w:r>
      <w:r>
        <w:rPr>
          <w:rFonts w:ascii="Times New Roman" w:hAnsi="Times New Roman" w:eastAsia="仿宋"/>
          <w:b w:val="0"/>
          <w:sz w:val="24"/>
        </w:rPr>
        <w:t>摘要表载项目名称“中国电信粤港澳大湾区一体化数据中心（韶塘园区）”、总用地 244.3 亩、规划 6 栋、80000 个 2.5kW 标准机架、IT 功率 200MW，并标注为“本次申报范围”；索引表与 3.1 均为里水 46.55 亩、新建 1 栋、14400 标准机架、36MW、投资 94638 万元。</w:t>
      </w:r>
    </w:p>
    <w:p>
      <w:pPr>
        <w:spacing w:before="0" w:after="0"/>
        <w:ind w:firstLine="480"/>
      </w:pPr>
      <w:r>
        <w:rPr>
          <w:rFonts w:ascii="Times New Roman" w:hAnsi="Times New Roman" w:eastAsia="黑体"/>
          <w:b w:val="0"/>
          <w:sz w:val="24"/>
        </w:rPr>
        <w:t>【问题】</w:t>
      </w:r>
      <w:r>
        <w:rPr>
          <w:rFonts w:ascii="Times New Roman" w:hAnsi="Times New Roman" w:eastAsia="仿宋"/>
          <w:b w:val="0"/>
          <w:sz w:val="24"/>
        </w:rPr>
        <w:t>按本轮锁定口径，韶塘园区材料是广东省内 IDC 机楼的现状支撑文件，不是第二套申报，也不是套版笔误；按附件 2（八）的要求，省内已投产规模及利用率本应作为附件提交，该材料在体系上正属此列，不应删除。问题在于边界字段：摘要表把支撑文件中的现状数字标注为“本次申报范围”，属把现状支撑数字误写入申报边界。经复核，80000×2.5kW＝200000kW＝200MW，支撑文件内部自洽，说明其为另一园区的完整现状数据，而非个别数字错误；244.3 亩为里水 46.55 亩的 5.25 倍，两组数据互不兼容。该字段若不更正，将直接导致本次申报规模被按 200MW 认定，并进入并场规模统计，属最高等级的边界错误。</w:t>
      </w:r>
    </w:p>
    <w:p>
      <w:pPr>
        <w:spacing w:before="0" w:after="0"/>
        <w:ind w:firstLine="480"/>
      </w:pPr>
      <w:r>
        <w:rPr>
          <w:rFonts w:ascii="Times New Roman" w:hAnsi="Times New Roman" w:eastAsia="黑体"/>
          <w:b w:val="0"/>
          <w:sz w:val="24"/>
        </w:rPr>
        <w:t>【须补/待核】</w:t>
      </w:r>
      <w:r>
        <w:rPr>
          <w:rFonts w:ascii="Times New Roman" w:hAnsi="Times New Roman" w:eastAsia="仿宋"/>
          <w:b w:val="0"/>
          <w:sz w:val="24"/>
        </w:rPr>
        <w:t>请更正摘要表“本次申报范围”字段，书面确认本次唯一申请值为里水 36MW；将韶塘园区材料明确归入附件（八）“省内已投产规模及利用率”，并标注其为现状支撑、不属本次申报范围；同一处理适用于 3.6“已签约 200MW 需求”的表述。该园区所在地及是否位于国家数据中心集群起步区内，请一并说明，待核。</w:t>
      </w:r>
    </w:p>
    <w:p>
      <w:pPr>
        <w:spacing w:before="120" w:after="0"/>
        <w:ind w:firstLine="480"/>
      </w:pPr>
      <w:r>
        <w:rPr>
          <w:rFonts w:ascii="Times New Roman" w:hAnsi="Times New Roman" w:eastAsia="仿宋"/>
          <w:b/>
          <w:sz w:val="24"/>
        </w:rPr>
        <w:t>22. 附件的适用性未逐条标注，省内已投产规模利用率与设备清单完整性待核</w:t>
      </w:r>
    </w:p>
    <w:p>
      <w:pPr>
        <w:spacing w:before="0" w:after="0"/>
        <w:ind w:firstLine="480"/>
      </w:pPr>
      <w:r>
        <w:rPr>
          <w:rFonts w:ascii="Times New Roman" w:hAnsi="Times New Roman" w:eastAsia="黑体"/>
          <w:b w:val="0"/>
          <w:sz w:val="24"/>
        </w:rPr>
        <w:t>【风险】</w:t>
      </w:r>
      <w:r>
        <w:rPr>
          <w:rFonts w:ascii="Times New Roman" w:hAnsi="Times New Roman" w:eastAsia="仿宋"/>
          <w:b w:val="0"/>
          <w:sz w:val="24"/>
        </w:rPr>
        <w:t>中。</w:t>
      </w:r>
    </w:p>
    <w:p>
      <w:pPr>
        <w:spacing w:before="0" w:after="0"/>
        <w:ind w:firstLine="480"/>
      </w:pPr>
      <w:r>
        <w:rPr>
          <w:rFonts w:ascii="Times New Roman" w:hAnsi="Times New Roman" w:eastAsia="黑体"/>
          <w:b w:val="0"/>
          <w:sz w:val="24"/>
        </w:rPr>
        <w:t>【位置】</w:t>
      </w:r>
      <w:r>
        <w:rPr>
          <w:rFonts w:ascii="Times New Roman" w:hAnsi="Times New Roman" w:eastAsia="仿宋"/>
          <w:b w:val="0"/>
          <w:sz w:val="24"/>
        </w:rPr>
        <w:t>附件 1.6、1.8、1.9、1.11，经验业绩表第 11 项，方案亮点章（页码待核）。</w:t>
      </w:r>
    </w:p>
    <w:p>
      <w:pPr>
        <w:spacing w:before="0" w:after="0"/>
        <w:ind w:firstLine="480"/>
      </w:pPr>
      <w:r>
        <w:rPr>
          <w:rFonts w:ascii="Times New Roman" w:hAnsi="Times New Roman" w:eastAsia="黑体"/>
          <w:b w:val="0"/>
          <w:sz w:val="24"/>
        </w:rPr>
        <w:t>【稿内】</w:t>
      </w:r>
      <w:r>
        <w:rPr>
          <w:rFonts w:ascii="Times New Roman" w:hAnsi="Times New Roman" w:eastAsia="仿宋"/>
          <w:b w:val="0"/>
          <w:sz w:val="24"/>
        </w:rPr>
        <w:t>附件 1.8 为 2025 年韶关园区绿电交易合同；附件 1.9 仅为“合作需求书”；附件 1.6、1.11 为“项目未启动，暂无”；经验业绩表第 11 项“佛山里水机楼”标注在深圳市；方案亮点载“腾讯自研一体化高压直流柜”；邦程需求标注东莞数据中心。省内已投产 IDC 机楼的逐项规模与利用率数据表、本期设备清单，稿中未见完整列示。</w:t>
      </w:r>
    </w:p>
    <w:p>
      <w:pPr>
        <w:spacing w:before="0" w:after="0"/>
        <w:ind w:firstLine="480"/>
      </w:pPr>
      <w:r>
        <w:rPr>
          <w:rFonts w:ascii="Times New Roman" w:hAnsi="Times New Roman" w:eastAsia="黑体"/>
          <w:b w:val="0"/>
          <w:sz w:val="24"/>
        </w:rPr>
        <w:t>【问题】</w:t>
      </w:r>
      <w:r>
        <w:rPr>
          <w:rFonts w:ascii="Times New Roman" w:hAnsi="Times New Roman" w:eastAsia="仿宋"/>
          <w:b w:val="0"/>
          <w:sz w:val="24"/>
        </w:rPr>
        <w:t>附件 2（八）要求附件包含省内已投产规模及利用率与设备清单。现稿附件中，属现状支撑与业绩案例的内容（韶关园区绿电合同、经验业绩表、外部技术方案表述）与属本项目证据的内容混列，未逐条标注适用性；其中“佛山里水机楼”标注深圳市、“腾讯自研一体化高压直流柜”与申报主体的关系、邦程需求标注东莞三处，须分别定性为本项目适用、仅作案例或误植。省内已投产规模及利用率若仅以韶塘园区材料体现，尚不足以覆盖该条要求；本期设备清单亦未见。</w:t>
      </w:r>
    </w:p>
    <w:p>
      <w:pPr>
        <w:spacing w:before="0" w:after="0"/>
        <w:ind w:firstLine="480"/>
      </w:pPr>
      <w:r>
        <w:rPr>
          <w:rFonts w:ascii="Times New Roman" w:hAnsi="Times New Roman" w:eastAsia="黑体"/>
          <w:b w:val="0"/>
          <w:sz w:val="24"/>
        </w:rPr>
        <w:t>【须补/待核】</w:t>
      </w:r>
      <w:r>
        <w:rPr>
          <w:rFonts w:ascii="Times New Roman" w:hAnsi="Times New Roman" w:eastAsia="仿宋"/>
          <w:b w:val="0"/>
          <w:sz w:val="24"/>
        </w:rPr>
        <w:t>请出具附件适用性分类清单，逐条标明“本项目适用／仅作案例或现状支撑／系误植”并书面确认；按附件 2（八）补齐省内已投产 IDC 机楼的逐项规模与利用率数据表，及本期设备清单（计算、存储、网络硬件配置）；核实“佛山里水机楼”标注深圳市、“腾讯自研一体化高压直流柜”两处并予更正或删除。</w:t>
      </w:r>
    </w:p>
    <w:p>
      <w:pPr>
        <w:spacing w:before="240" w:after="80"/>
        <w:ind w:firstLine="600"/>
      </w:pPr>
      <w:r>
        <w:rPr>
          <w:rFonts w:ascii="Times New Roman" w:hAnsi="Times New Roman" w:eastAsia="黑体"/>
          <w:b w:val="0"/>
          <w:sz w:val="30"/>
        </w:rPr>
        <w:t>四、结论与风险分类建议</w:t>
      </w:r>
    </w:p>
    <w:p>
      <w:pPr>
        <w:spacing w:before="160" w:after="0"/>
        <w:ind w:firstLine="560"/>
      </w:pPr>
      <w:r>
        <w:rPr>
          <w:rFonts w:ascii="Times New Roman" w:hAnsi="Times New Roman" w:eastAsia="楷体"/>
          <w:b/>
          <w:sz w:val="28"/>
        </w:rPr>
        <w:t>（一）总体结论</w:t>
      </w:r>
    </w:p>
    <w:p>
      <w:pPr>
        <w:spacing w:before="0" w:after="0"/>
        <w:ind w:firstLine="480"/>
      </w:pPr>
      <w:r>
        <w:rPr>
          <w:rFonts w:ascii="Times New Roman" w:hAnsi="Times New Roman" w:eastAsia="仿宋"/>
          <w:b w:val="0"/>
          <w:sz w:val="24"/>
        </w:rPr>
        <w:t>一、中国电信佛山数据中心（南海里水）项目“窗口指导”申请材料现报送稿不宜出具肯定性窗口指导意见。本轮形成的是问题清单与补正要求，不构成对申请规模、应用需求、绿电供给、设计 PUE、投资与资金来源、财务指标及用地建设条件的任何肯定性结论。不得表述为“原则同意”“基本同意”或“条件具备、补正后实施”。</w:t>
      </w:r>
    </w:p>
    <w:p>
      <w:pPr>
        <w:spacing w:before="0" w:after="0"/>
        <w:ind w:firstLine="480"/>
      </w:pPr>
      <w:r>
        <w:rPr>
          <w:rFonts w:ascii="Times New Roman" w:hAnsi="Times New Roman" w:eastAsia="仿宋"/>
          <w:b w:val="0"/>
          <w:sz w:val="24"/>
        </w:rPr>
        <w:t>二、本项目应予受理。经复核，本项目折合 2.5kW 标准机架 14400 架、设计功率 36000kW、年综合能耗当量值 46578.77 tce，分别为 320 号附件 1（原件第 8 页）大型及以上阈值的 4.8 倍、4.8 倍和 4.6579 倍，属大型及以上，全部纳入“窗口指导”范围且不分投资主体；“不投服务器”不改变分档，不构成豁免。</w:t>
      </w:r>
    </w:p>
    <w:p>
      <w:pPr>
        <w:spacing w:before="0" w:after="0"/>
        <w:ind w:firstLine="480"/>
      </w:pPr>
      <w:r>
        <w:rPr>
          <w:rFonts w:ascii="Times New Roman" w:hAnsi="Times New Roman" w:eastAsia="仿宋"/>
          <w:b w:val="0"/>
          <w:sz w:val="24"/>
        </w:rPr>
        <w:t>三、审查边界锁定为里水 36MW。可相互印证的本期口径为里水大道中 36 号、46.55 亩、新建 1 栋、折合 14400 个 2.5kW 标准机架、IT 功率 36MW、投资 94638 万元。摘要表标注为“本次申报范围”的 200MW、244.3 亩、6 栋、80000 架，系省内 IDC 机楼现状支撑文件中的现状数字被误写入申报边界，应更正字段并将该材料归入附件（八），不得作为本次申报量，不得进入并场规模统计。</w:t>
      </w:r>
    </w:p>
    <w:p>
      <w:pPr>
        <w:spacing w:before="0" w:after="0"/>
        <w:ind w:firstLine="480"/>
      </w:pPr>
      <w:r>
        <w:rPr>
          <w:rFonts w:ascii="Times New Roman" w:hAnsi="Times New Roman" w:eastAsia="仿宋"/>
          <w:b w:val="0"/>
          <w:sz w:val="24"/>
        </w:rPr>
        <w:t>四、按附件 2 逐部分核对，缺件情况如下：第（二）部分主体财务状况与项目负责人情况整块缺失；第（三）部分建设地点的集群起步区与西部风光基地判定项、技术人才、网络性能和资费、投资构成与国企出资及政策支持方式缺失；第（五）部分柴发与储油条件缺项、供电协议附件为“项目未启动，暂无”；第（六）部分利润表与现金流表为空表、电费按 PUE＝1.0 计列；第（八）部分省内已投产规模利用率数据表与本期设备清单未见。上述均属附件 2 明示要求而稿中未见，须补齐后再审。</w:t>
      </w:r>
    </w:p>
    <w:p>
      <w:pPr>
        <w:spacing w:before="0" w:after="0"/>
        <w:ind w:firstLine="480"/>
      </w:pPr>
      <w:r>
        <w:rPr>
          <w:rFonts w:ascii="Times New Roman" w:hAnsi="Times New Roman" w:eastAsia="仿宋"/>
          <w:b w:val="0"/>
          <w:sz w:val="24"/>
        </w:rPr>
        <w:t>五、下列事项本轮不予确认：需求侧已签约规模；绿电占比大于 80%；设计 PUE 1.199 作为投运年度加权值；达产年收入、成本（电费按 PUE＝1.0 计列）、利润总额及各项收益指标；用地性质调整完成前的用地合规前提；11483 PFLOPS 算力作为本期确定建设内容；本址布局与“东数西算”要求相符。</w:t>
      </w:r>
    </w:p>
    <w:p>
      <w:pPr>
        <w:spacing w:before="160" w:after="0"/>
        <w:ind w:firstLine="560"/>
      </w:pPr>
      <w:r>
        <w:rPr>
          <w:rFonts w:ascii="Times New Roman" w:hAnsi="Times New Roman" w:eastAsia="楷体"/>
          <w:b/>
          <w:sz w:val="28"/>
        </w:rPr>
        <w:t>（二）风险分类建议</w:t>
      </w:r>
    </w:p>
    <w:p>
      <w:pPr>
        <w:spacing w:before="0" w:after="0"/>
        <w:ind w:firstLine="480"/>
      </w:pPr>
      <w:r>
        <w:rPr>
          <w:rFonts w:ascii="Times New Roman" w:hAnsi="Times New Roman" w:eastAsia="仿宋"/>
          <w:b w:val="0"/>
          <w:sz w:val="24"/>
        </w:rPr>
        <w:t>依 320 号的风险分类要求（非高风险／高风险，条款页码待核），并结合该文所列评估要素，建议将本项目列为高风险，逐要素理由如下：</w:t>
      </w:r>
    </w:p>
    <w:p>
      <w:pPr>
        <w:spacing w:before="0" w:after="0"/>
        <w:ind w:firstLine="480"/>
      </w:pPr>
      <w:r>
        <w:rPr>
          <w:rFonts w:ascii="Times New Roman" w:hAnsi="Times New Roman" w:eastAsia="仿宋"/>
          <w:b w:val="0"/>
          <w:sz w:val="24"/>
        </w:rPr>
        <w:t>一、区域产业布局：附件 2（三）明示必填的“是否建设在十个国家数据中心集群起步区内”判定项缺失，而 320 号第二部分（原件第 3 页）载“国家枢纽节点外原则上不得新建各类大型及超大型算力中心”；本项目为大型及以上、位于佛山市南海区，布局相符性未论证。此项为本次窗口的首要风险。</w:t>
      </w:r>
    </w:p>
    <w:p>
      <w:pPr>
        <w:spacing w:before="0" w:after="0"/>
        <w:ind w:firstLine="480"/>
      </w:pPr>
      <w:r>
        <w:rPr>
          <w:rFonts w:ascii="Times New Roman" w:hAnsi="Times New Roman" w:eastAsia="仿宋"/>
          <w:b w:val="0"/>
          <w:sz w:val="24"/>
        </w:rPr>
        <w:t>二、应用需求：“已签约 36MW”“已签约 200MW”“需求 62MW”三套数字互相排斥；邦程 7MW 需求书地点写东莞，唯颐 55MW 仅有合作需求书且其号称算力高于本期规划；本址有效合同待核。</w:t>
      </w:r>
    </w:p>
    <w:p>
      <w:pPr>
        <w:spacing w:before="0" w:after="0"/>
        <w:ind w:firstLine="480"/>
      </w:pPr>
      <w:r>
        <w:rPr>
          <w:rFonts w:ascii="Times New Roman" w:hAnsi="Times New Roman" w:eastAsia="仿宋"/>
          <w:b w:val="0"/>
          <w:sz w:val="24"/>
        </w:rPr>
        <w:t>三、绿电：以承诺函加环境价值／绿证主张大于 80%，本址物理电量路径缺位，屋顶光伏规模很小且未列数据；320 号项下 80% 属优先支持门槛而非已实现结论。</w:t>
      </w:r>
    </w:p>
    <w:p>
      <w:pPr>
        <w:spacing w:before="0" w:after="0"/>
        <w:ind w:firstLine="480"/>
      </w:pPr>
      <w:r>
        <w:rPr>
          <w:rFonts w:ascii="Times New Roman" w:hAnsi="Times New Roman" w:eastAsia="仿宋"/>
          <w:b w:val="0"/>
          <w:sz w:val="24"/>
        </w:rPr>
        <w:t>四、经济效益：其他收入按“万元/P/月”单价直接并入年收入，占达产年收入 74.32%，按 12 个月计将达投资额的 4.08 倍，计价口径不能成立；电费反算隐含 PUE 恰为 1.0，辅助电量电费未计，按设计 PUE 1.199 补足在 85% 负荷下即少计 4000.74 万元（相当于稿载利润总额的 13.53%）；利润总额与收入减成本相差 7011.4 万元；收入高估与成本低估方向一致且相互叠加；利润表、现金流表为空表；两套内部收益率与回收期并存。</w:t>
      </w:r>
    </w:p>
    <w:p>
      <w:pPr>
        <w:spacing w:before="0" w:after="0"/>
        <w:ind w:firstLine="480"/>
      </w:pPr>
      <w:r>
        <w:rPr>
          <w:rFonts w:ascii="Times New Roman" w:hAnsi="Times New Roman" w:eastAsia="仿宋"/>
          <w:b w:val="0"/>
          <w:sz w:val="24"/>
        </w:rPr>
        <w:t>五、资金：投资构成、出资方、国企出资及政策支持方式与金额未按附件 2（三）填报，资本金与借款口径未见。</w:t>
      </w:r>
    </w:p>
    <w:p>
      <w:pPr>
        <w:spacing w:before="0" w:after="0"/>
        <w:ind w:firstLine="480"/>
      </w:pPr>
      <w:r>
        <w:rPr>
          <w:rFonts w:ascii="Times New Roman" w:hAnsi="Times New Roman" w:eastAsia="仿宋"/>
          <w:b w:val="0"/>
          <w:sz w:val="24"/>
        </w:rPr>
        <w:t>六、主体实力：主体财务状况与项目负责人情况整块缺失，申报主体名称与层级两种表述并存。</w:t>
      </w:r>
    </w:p>
    <w:p>
      <w:pPr>
        <w:spacing w:before="0" w:after="0"/>
        <w:ind w:firstLine="480"/>
      </w:pPr>
      <w:r>
        <w:rPr>
          <w:rFonts w:ascii="Times New Roman" w:hAnsi="Times New Roman" w:eastAsia="仿宋"/>
          <w:b w:val="0"/>
          <w:sz w:val="24"/>
        </w:rPr>
        <w:t>七、技术人才：整项缺失，且本项目不投服务器、含 100kW 档高功率机柜，运维责任划分未明。</w:t>
      </w:r>
    </w:p>
    <w:p>
      <w:pPr>
        <w:spacing w:before="0" w:after="0"/>
        <w:ind w:firstLine="480"/>
      </w:pPr>
      <w:r>
        <w:rPr>
          <w:rFonts w:ascii="Times New Roman" w:hAnsi="Times New Roman" w:eastAsia="仿宋"/>
          <w:b w:val="0"/>
          <w:sz w:val="24"/>
        </w:rPr>
        <w:t>八、国产生态：昇腾 950DT 20992 张与 910C 1.71 万张两套方案对应单卡算力相差 124.50 TFLOPS，且以“为例”表述，不具确定性；服务器不属本期投资，算力无法落实到确定采购主体。</w:t>
      </w:r>
    </w:p>
    <w:p>
      <w:pPr>
        <w:spacing w:before="0" w:after="0"/>
        <w:ind w:firstLine="480"/>
      </w:pPr>
      <w:r>
        <w:rPr>
          <w:rFonts w:ascii="Times New Roman" w:hAnsi="Times New Roman" w:eastAsia="仿宋"/>
          <w:b w:val="0"/>
          <w:sz w:val="24"/>
        </w:rPr>
        <w:t>上述八要素中，无一项可据现稿作出肯定性判断，另叠加用地性质待调整、院内酒店幼儿园与 57200kW 柴发及储油相容性未闭合、以及附件边界字段错误，故建议列为高风险，并按第五部分补正后重新提出申请。</w:t>
      </w:r>
    </w:p>
    <w:p>
      <w:pPr>
        <w:spacing w:before="240" w:after="80"/>
        <w:ind w:firstLine="600"/>
      </w:pPr>
      <w:r>
        <w:rPr>
          <w:rFonts w:ascii="Times New Roman" w:hAnsi="Times New Roman" w:eastAsia="黑体"/>
          <w:b w:val="0"/>
          <w:sz w:val="30"/>
        </w:rPr>
        <w:t>五、补正清单（按附件 2 八部分排列）</w:t>
      </w:r>
    </w:p>
    <w:p>
      <w:pPr>
        <w:spacing w:before="0" w:after="0"/>
        <w:ind w:firstLine="480"/>
      </w:pPr>
      <w:r>
        <w:rPr>
          <w:rFonts w:ascii="Times New Roman" w:hAnsi="Times New Roman" w:eastAsia="仿宋"/>
          <w:b w:val="0"/>
          <w:sz w:val="24"/>
        </w:rPr>
        <w:t>综合上述，建议本项目按里水 36MW 退回补正，补正齐备后另行安排窗口审查。补正事项如下：</w:t>
      </w:r>
    </w:p>
    <w:p>
      <w:pPr>
        <w:spacing w:before="160" w:after="0"/>
        <w:ind w:firstLine="560"/>
      </w:pPr>
      <w:r>
        <w:rPr>
          <w:rFonts w:ascii="Times New Roman" w:hAnsi="Times New Roman" w:eastAsia="楷体"/>
          <w:b/>
          <w:sz w:val="28"/>
        </w:rPr>
        <w:t>第（一）部分 项目背景和必要性</w:t>
      </w:r>
    </w:p>
    <w:p>
      <w:pPr>
        <w:spacing w:before="0" w:after="0"/>
        <w:ind w:firstLine="480"/>
      </w:pPr>
      <w:r>
        <w:rPr>
          <w:rFonts w:ascii="Times New Roman" w:hAnsi="Times New Roman" w:eastAsia="仿宋"/>
          <w:b w:val="0"/>
          <w:sz w:val="24"/>
        </w:rPr>
        <w:t>一、补列本项目的规模分档判定过程、纳入“窗口指导”范围的条款依据，以及与“东数西算”布局要求相符性的论证；说明是否属国家有关方案明确布局的项目。</w:t>
      </w:r>
    </w:p>
    <w:p>
      <w:pPr>
        <w:spacing w:before="0" w:after="0"/>
        <w:ind w:firstLine="480"/>
      </w:pPr>
      <w:r>
        <w:rPr>
          <w:rFonts w:ascii="Times New Roman" w:hAnsi="Times New Roman" w:eastAsia="仿宋"/>
          <w:b w:val="0"/>
          <w:sz w:val="24"/>
        </w:rPr>
        <w:t>二、列出截至报送时仍然有效的逐项政策依据、文号、适用条款与有效期；按 320 号 1.25 的 PUE 控制要求重新对标，说明粤发改高技〔2022〕436 号在报送时的效力。未核红头文件不得作为已核依据引用。</w:t>
      </w:r>
    </w:p>
    <w:p>
      <w:pPr>
        <w:spacing w:before="160" w:after="0"/>
        <w:ind w:firstLine="560"/>
      </w:pPr>
      <w:r>
        <w:rPr>
          <w:rFonts w:ascii="Times New Roman" w:hAnsi="Times New Roman" w:eastAsia="楷体"/>
          <w:b/>
          <w:sz w:val="28"/>
        </w:rPr>
        <w:t>第（二）部分 项目主体的基本情况和财务状况</w:t>
      </w:r>
    </w:p>
    <w:p>
      <w:pPr>
        <w:spacing w:before="0" w:after="0"/>
        <w:ind w:firstLine="480"/>
      </w:pPr>
      <w:r>
        <w:rPr>
          <w:rFonts w:ascii="Times New Roman" w:hAnsi="Times New Roman" w:eastAsia="仿宋"/>
          <w:b w:val="0"/>
          <w:sz w:val="24"/>
        </w:rPr>
        <w:t>三、分别列明投资主体、建设主体、运营主体及权责划分；提供承担单位近三年财务情况与项目负责人基本情况；统一申报主体全称，明确土地、资产、供电与绿电交易、客户合同及能耗环境责任的承担主体，附授权文件。</w:t>
      </w:r>
    </w:p>
    <w:p>
      <w:pPr>
        <w:spacing w:before="160" w:after="0"/>
        <w:ind w:firstLine="560"/>
      </w:pPr>
      <w:r>
        <w:rPr>
          <w:rFonts w:ascii="Times New Roman" w:hAnsi="Times New Roman" w:eastAsia="楷体"/>
          <w:b/>
          <w:sz w:val="28"/>
        </w:rPr>
        <w:t>第（三）部分 项目基本情况</w:t>
      </w:r>
    </w:p>
    <w:p>
      <w:pPr>
        <w:spacing w:before="0" w:after="0"/>
        <w:ind w:firstLine="480"/>
      </w:pPr>
      <w:r>
        <w:rPr>
          <w:rFonts w:ascii="Times New Roman" w:hAnsi="Times New Roman" w:eastAsia="仿宋"/>
          <w:b w:val="0"/>
          <w:sz w:val="24"/>
        </w:rPr>
        <w:t>四、按附件 2（三）逐项填报建设地点判定：是否位于十个国家数据中心集群起步区内（附范围依据）、是否位于西部大型风电光伏基地内、是否利用当地自然条件天然优势；在集群起步区外的，说明符合 320 号布局要求的依据。</w:t>
      </w:r>
    </w:p>
    <w:p>
      <w:pPr>
        <w:spacing w:before="0" w:after="0"/>
        <w:ind w:firstLine="480"/>
      </w:pPr>
      <w:r>
        <w:rPr>
          <w:rFonts w:ascii="Times New Roman" w:hAnsi="Times New Roman" w:eastAsia="仿宋"/>
          <w:b w:val="0"/>
          <w:sz w:val="24"/>
        </w:rPr>
        <w:t>五、重做本址应用需求表：逐客户列明合同性质、签署主体、服务地址、IT 功率、算力、交付期与解约条款，明确 36MW 由哪些里水同址有效合同构成；意向单独列示；更正“已签约 200MW”表述；核明唯颐 55MW 是否具有本址约束力合同。</w:t>
      </w:r>
    </w:p>
    <w:p>
      <w:pPr>
        <w:spacing w:before="0" w:after="0"/>
        <w:ind w:firstLine="480"/>
      </w:pPr>
      <w:r>
        <w:rPr>
          <w:rFonts w:ascii="Times New Roman" w:hAnsi="Times New Roman" w:eastAsia="仿宋"/>
          <w:b w:val="0"/>
          <w:sz w:val="24"/>
        </w:rPr>
        <w:t>六、落实本址物理绿电路径：提交对应年度、对应电量、对应计量点的交易合同或具备约束力的供电协议，分列物理结算电量、绿证与环境权益及注销主体，说明 30254.68 万 kWh 的本址来源；单列屋顶光伏装机与年发电量及占比；说明与韶关园区不存在重复计量。</w:t>
      </w:r>
    </w:p>
    <w:p>
      <w:pPr>
        <w:spacing w:before="0" w:after="0"/>
        <w:ind w:firstLine="480"/>
      </w:pPr>
      <w:r>
        <w:rPr>
          <w:rFonts w:ascii="Times New Roman" w:hAnsi="Times New Roman" w:eastAsia="仿宋"/>
          <w:b w:val="0"/>
          <w:sz w:val="24"/>
        </w:rPr>
        <w:t>七、补充网络性能指标与资费方案；在 36MW 统一边界下重列 IT 电量、辅助电量、总电量、负荷率与电价，说明负荷率 1.0、85.10%、85% 三套口径的用途与关系，并按同一口径重算 PUE 与收入成本。</w:t>
      </w:r>
    </w:p>
    <w:p>
      <w:pPr>
        <w:spacing w:before="0" w:after="0"/>
        <w:ind w:firstLine="480"/>
      </w:pPr>
      <w:r>
        <w:rPr>
          <w:rFonts w:ascii="Times New Roman" w:hAnsi="Times New Roman" w:eastAsia="仿宋"/>
          <w:b w:val="0"/>
          <w:sz w:val="24"/>
        </w:rPr>
        <w:t>八、按附件 2（三）列明 94638 万元的投资构成与出资方，明确国企出资所采取的出资和政策支持方式（股权、贴息、补助等）及金额，列明资本金比例、借款规模、利率与建设期利息。</w:t>
      </w:r>
    </w:p>
    <w:p>
      <w:pPr>
        <w:spacing w:before="0" w:after="0"/>
        <w:ind w:firstLine="480"/>
      </w:pPr>
      <w:r>
        <w:rPr>
          <w:rFonts w:ascii="Times New Roman" w:hAnsi="Times New Roman" w:eastAsia="仿宋"/>
          <w:b w:val="0"/>
          <w:sz w:val="24"/>
        </w:rPr>
        <w:t>九、统一芯片型号与数量口径，说明 11483 PFLOPS 的计算依据、采购主体、合同状态与安装时点；仅为举例的，明确其不作为本期建设内容与收入测算基础，并单列可核的国产生态承诺。</w:t>
      </w:r>
    </w:p>
    <w:p>
      <w:pPr>
        <w:spacing w:before="0" w:after="0"/>
        <w:ind w:firstLine="480"/>
      </w:pPr>
      <w:r>
        <w:rPr>
          <w:rFonts w:ascii="Times New Roman" w:hAnsi="Times New Roman" w:eastAsia="仿宋"/>
          <w:b w:val="0"/>
          <w:sz w:val="24"/>
        </w:rPr>
        <w:t>十、补列技术人才内容：运维团队编制、专业构成、来源与培养计划，高功率机柜与液冷系统的运维责任划分及资质要求。</w:t>
      </w:r>
    </w:p>
    <w:p>
      <w:pPr>
        <w:spacing w:before="0" w:after="0"/>
        <w:ind w:firstLine="480"/>
      </w:pPr>
      <w:r>
        <w:rPr>
          <w:rFonts w:ascii="Times New Roman" w:hAnsi="Times New Roman" w:eastAsia="仿宋"/>
          <w:b w:val="0"/>
          <w:sz w:val="24"/>
        </w:rPr>
        <w:t>十一、提交前置程序时序表，列明窗口指导、备案、用地用途调整、节能审查与碳排放评价、供电接入的办理主体、完成时点及与 2027 年 3 月开工节点的关系；说明审批备案现状及是否属 320 号印发前存量项目。</w:t>
      </w:r>
    </w:p>
    <w:p>
      <w:pPr>
        <w:spacing w:before="160" w:after="0"/>
        <w:ind w:firstLine="560"/>
      </w:pPr>
      <w:r>
        <w:rPr>
          <w:rFonts w:ascii="Times New Roman" w:hAnsi="Times New Roman" w:eastAsia="楷体"/>
          <w:b/>
          <w:sz w:val="28"/>
        </w:rPr>
        <w:t>第（四）部分 建设方案</w:t>
      </w:r>
    </w:p>
    <w:p>
      <w:pPr>
        <w:spacing w:before="0" w:after="0"/>
        <w:ind w:firstLine="480"/>
      </w:pPr>
      <w:r>
        <w:rPr>
          <w:rFonts w:ascii="Times New Roman" w:hAnsi="Times New Roman" w:eastAsia="仿宋"/>
          <w:b w:val="0"/>
          <w:sz w:val="24"/>
        </w:rPr>
        <w:t>十二、以实物机柜清单为建设方案主口径，列明各功率档台数、冷却方式与楼层，说明与 14400 标准架折合值的关系（标准架仅用于附件 1 分档折合）；明确液冷是否属本期建设内容，不属的删除以液冷论证能效的表述；给出设计点、满载点与投运首年、达产年加权 PUE，并解释 1.245 与 1.199 的关系。</w:t>
      </w:r>
    </w:p>
    <w:p>
      <w:pPr>
        <w:spacing w:before="0" w:after="0"/>
        <w:ind w:firstLine="480"/>
      </w:pPr>
      <w:r>
        <w:rPr>
          <w:rFonts w:ascii="Times New Roman" w:hAnsi="Times New Roman" w:eastAsia="仿宋"/>
          <w:b w:val="0"/>
          <w:sz w:val="24"/>
        </w:rPr>
        <w:t>十三、澄清“机电投资 60000kW”的含义；从 36MW IT 负荷逐级列至总有功功率、视在功率、变压器容量与运行台数、冗余方式，区分本期与终期，并与年电量及负荷率对齐。</w:t>
      </w:r>
    </w:p>
    <w:p>
      <w:pPr>
        <w:spacing w:before="160" w:after="0"/>
        <w:ind w:firstLine="560"/>
      </w:pPr>
      <w:r>
        <w:rPr>
          <w:rFonts w:ascii="Times New Roman" w:hAnsi="Times New Roman" w:eastAsia="楷体"/>
          <w:b/>
          <w:sz w:val="28"/>
        </w:rPr>
        <w:t>第（五）部分 建设条件</w:t>
      </w:r>
    </w:p>
    <w:p>
      <w:pPr>
        <w:spacing w:before="0" w:after="0"/>
        <w:ind w:firstLine="480"/>
      </w:pPr>
      <w:r>
        <w:rPr>
          <w:rFonts w:ascii="Times New Roman" w:hAnsi="Times New Roman" w:eastAsia="仿宋"/>
          <w:b w:val="0"/>
          <w:sz w:val="24"/>
        </w:rPr>
        <w:t>十四、说明用地现状用途、拟调整用途、办理机关、程序与完成时点，以及未完成前可否开工及其依据；在总平面图上标明酒店、幼儿园、机房、冷却设备、柴发机组、排气口与储油设施的位置及最近距离，补充噪声、废气、防渗、防火与事故风险结论。</w:t>
      </w:r>
    </w:p>
    <w:p>
      <w:pPr>
        <w:spacing w:before="0" w:after="0"/>
        <w:ind w:firstLine="480"/>
      </w:pPr>
      <w:r>
        <w:rPr>
          <w:rFonts w:ascii="Times New Roman" w:hAnsi="Times New Roman" w:eastAsia="仿宋"/>
          <w:b w:val="0"/>
          <w:sz w:val="24"/>
        </w:rPr>
        <w:t>十五、将柴发机组（26 台、2200kW、装机合计 57200kW）与储油内容补入《申请书》建设条件部分，并与同期两高专册口径一致。</w:t>
      </w:r>
    </w:p>
    <w:p>
      <w:pPr>
        <w:spacing w:before="0" w:after="0"/>
        <w:ind w:firstLine="480"/>
      </w:pPr>
      <w:r>
        <w:rPr>
          <w:rFonts w:ascii="Times New Roman" w:hAnsi="Times New Roman" w:eastAsia="仿宋"/>
          <w:b w:val="0"/>
          <w:sz w:val="24"/>
        </w:rPr>
        <w:t>十六、说明附件 1.6、1.11 应为何种文件、办理主体与拟提交时点，写明窗口结论与节能审查、碳排放评价、备案、网络接入的先后关系，并明确稿内能耗能效数据的申报测算性质；就供电一项，先行提交供电部门的容量意见或用电报装受理材料，列明拟设关口计量点、分表方案及与绿电结算电量 30254.68 万 kWh 的对应关系。</w:t>
      </w:r>
    </w:p>
    <w:p>
      <w:pPr>
        <w:spacing w:before="160" w:after="0"/>
        <w:ind w:firstLine="560"/>
      </w:pPr>
      <w:r>
        <w:rPr>
          <w:rFonts w:ascii="Times New Roman" w:hAnsi="Times New Roman" w:eastAsia="楷体"/>
          <w:b/>
          <w:sz w:val="28"/>
        </w:rPr>
        <w:t>第（六）部分 财务指标</w:t>
      </w:r>
    </w:p>
    <w:p>
      <w:pPr>
        <w:spacing w:before="0" w:after="0"/>
        <w:ind w:firstLine="480"/>
      </w:pPr>
      <w:r>
        <w:rPr>
          <w:rFonts w:ascii="Times New Roman" w:hAnsi="Times New Roman" w:eastAsia="仿宋"/>
          <w:b w:val="0"/>
          <w:sz w:val="24"/>
        </w:rPr>
        <w:t>十七、更正“万元/P/月”与年度收入的期间关系或更正单价，重列达产年收入；说明不投服务器情况下按算力计价的收入来源、合同依据与结算方式；该项收入不能成立的，撤回相应收入、利润与收益指标。</w:t>
      </w:r>
    </w:p>
    <w:p>
      <w:pPr>
        <w:spacing w:before="0" w:after="0"/>
        <w:ind w:firstLine="480"/>
      </w:pPr>
      <w:r>
        <w:rPr>
          <w:rFonts w:ascii="Times New Roman" w:hAnsi="Times New Roman" w:eastAsia="仿宋"/>
          <w:b w:val="0"/>
          <w:sz w:val="24"/>
        </w:rPr>
        <w:t>十八、说明利润总额为何大于收入减成本（差额 7011.4 万元）；提交非空的利润表与现金流量表，列明折旧、税费、融资成本与电费明细；统一两套内部收益率与回收期口径；按同一投资额与同一边界重算各项收益指标并说明原结论是否撤回。</w:t>
      </w:r>
    </w:p>
    <w:p>
      <w:pPr>
        <w:spacing w:before="0" w:after="0"/>
        <w:ind w:firstLine="480"/>
      </w:pPr>
      <w:r>
        <w:rPr>
          <w:rFonts w:ascii="Times New Roman" w:hAnsi="Times New Roman" w:eastAsia="仿宋"/>
          <w:b w:val="0"/>
          <w:sz w:val="24"/>
        </w:rPr>
        <w:t>十九、按统一口径重列电费：以含 IT、制冷及其他辅助用电的年总电量乘电价计列，说明所采用的负荷率、PUE 与电价，并与能效章年电量对齐；说明成本表电费为何按 PUE＝1.0 计（20104.2÷0.75÷26805.6＝1.0）。若部分电量由客户分表另行结算，说明结算主体、分表设置、哪部分电量不进入本项目成本，以及该处理与 IT 电量全额计入项目能耗如何并存。重列后重算成本、利润与全部收益指标。</w:t>
      </w:r>
    </w:p>
    <w:p>
      <w:pPr>
        <w:spacing w:before="160" w:after="0"/>
        <w:ind w:firstLine="560"/>
      </w:pPr>
      <w:r>
        <w:rPr>
          <w:rFonts w:ascii="Times New Roman" w:hAnsi="Times New Roman" w:eastAsia="楷体"/>
          <w:b/>
          <w:sz w:val="28"/>
        </w:rPr>
        <w:t>第（七）部分 风险与效益</w:t>
      </w:r>
    </w:p>
    <w:p>
      <w:pPr>
        <w:spacing w:before="0" w:after="0"/>
        <w:ind w:firstLine="480"/>
      </w:pPr>
      <w:r>
        <w:rPr>
          <w:rFonts w:ascii="Times New Roman" w:hAnsi="Times New Roman" w:eastAsia="仿宋"/>
          <w:b w:val="0"/>
          <w:sz w:val="24"/>
        </w:rPr>
        <w:t>二十、就窗口结论、集群起步区布局判定、用地用途调整、需求签约、绿电落实五类风险逐项列明识别、影响、应对措施与责任主体；效益部分待财务指标重算后重新出具。</w:t>
      </w:r>
    </w:p>
    <w:p>
      <w:pPr>
        <w:spacing w:before="160" w:after="0"/>
        <w:ind w:firstLine="560"/>
      </w:pPr>
      <w:r>
        <w:rPr>
          <w:rFonts w:ascii="Times New Roman" w:hAnsi="Times New Roman" w:eastAsia="楷体"/>
          <w:b/>
          <w:sz w:val="28"/>
        </w:rPr>
        <w:t>第（八）部分 附件</w:t>
      </w:r>
    </w:p>
    <w:p>
      <w:pPr>
        <w:spacing w:before="0" w:after="0"/>
        <w:ind w:firstLine="480"/>
      </w:pPr>
      <w:r>
        <w:rPr>
          <w:rFonts w:ascii="Times New Roman" w:hAnsi="Times New Roman" w:eastAsia="仿宋"/>
          <w:b w:val="0"/>
          <w:sz w:val="24"/>
        </w:rPr>
        <w:t>二十一、更正摘要表“本次申报范围”字段，书面确认本次唯一申请值为里水 36MW；将韶塘园区材料明确归入附件（八）“省内已投产规模及利用率”并标注为现状支撑、不属本次申报范围；说明该园区所在地及是否位于集群起步区内。</w:t>
      </w:r>
    </w:p>
    <w:p>
      <w:pPr>
        <w:spacing w:before="0" w:after="0"/>
        <w:ind w:firstLine="480"/>
      </w:pPr>
      <w:r>
        <w:rPr>
          <w:rFonts w:ascii="Times New Roman" w:hAnsi="Times New Roman" w:eastAsia="仿宋"/>
          <w:b w:val="0"/>
          <w:sz w:val="24"/>
        </w:rPr>
        <w:t>二十二、出具附件适用性分类清单，逐条标明“本项目适用／仅作案例或现状支撑／系误植”并书面确认；补齐省内已投产 IDC 机楼逐项规模与利用率数据表及本期设备清单；更正“佛山里水机楼”标注深圳市、“腾讯自研一体化高压直流柜”、邦程需求书地点写东莞三处。</w:t>
      </w:r>
    </w:p>
    <w:p>
      <w:pPr>
        <w:spacing w:before="160" w:after="0"/>
        <w:ind w:firstLine="560"/>
      </w:pPr>
      <w:r>
        <w:rPr>
          <w:rFonts w:ascii="Times New Roman" w:hAnsi="Times New Roman" w:eastAsia="楷体"/>
          <w:b/>
          <w:sz w:val="28"/>
        </w:rPr>
        <w:t>通用要求</w:t>
      </w:r>
    </w:p>
    <w:p>
      <w:pPr>
        <w:spacing w:before="0" w:after="0"/>
        <w:ind w:firstLine="480"/>
      </w:pPr>
      <w:r>
        <w:rPr>
          <w:rFonts w:ascii="Times New Roman" w:hAnsi="Times New Roman" w:eastAsia="仿宋"/>
          <w:b w:val="0"/>
          <w:sz w:val="24"/>
        </w:rPr>
        <w:t>二十三、本件不构成对项目的任何肯定性评价，亦不得作为项目开工、用地、用能、供电、备案、网络接入和融资的依据。补正材料齐备后另行安排窗口审查；未通过“窗口指导”前，不得开展备案、节能审查和网络接入。</w:t>
      </w:r>
    </w:p>
    <w:sectPr w:rsidR="00FC693F" w:rsidRPr="0006063C" w:rsidSect="00034616">
      <w:footerReference w:type="default" r:id="rId9"/>
      <w:pgSz w:w="12240" w:h="15840"/>
      <w:pgMar w:top="2098" w:right="1474" w:bottom="1984"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仿宋"/>
        <w:b w:val="0"/>
        <w:sz w:val="21"/>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exact" w:line="560" w:after="0"/>
    </w:pPr>
    <w:rPr>
      <w:rFonts w:ascii="Times New Roman" w:hAnsi="Times New Roman" w:eastAsia="仿宋"/>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