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eastAsia="方正小标宋简体"/>
          <w:b w:val="0"/>
          <w:sz w:val="40"/>
        </w:rPr>
        <w:t>腾龙湾区数据中心项目《建设报告（20260831）》两高审查意见</w:t>
      </w:r>
    </w:p>
    <w:p>
      <w:pPr>
        <w:spacing w:before="0" w:after="240"/>
        <w:jc w:val="center"/>
      </w:pPr>
      <w:r>
        <w:rPr>
          <w:rFonts w:ascii="Times New Roman" w:hAnsi="Times New Roman" w:eastAsia="楷体"/>
          <w:b w:val="0"/>
          <w:sz w:val="24"/>
        </w:rPr>
        <w:t>（二〇二六年九月二日 两高专项审查用）</w:t>
      </w:r>
    </w:p>
    <w:p>
      <w:pPr>
        <w:spacing w:before="0" w:after="0"/>
        <w:ind w:firstLine="480"/>
      </w:pPr>
      <w:r>
        <w:rPr>
          <w:rFonts w:ascii="Times New Roman" w:hAnsi="Times New Roman" w:eastAsia="仿宋"/>
          <w:b w:val="0"/>
          <w:sz w:val="24"/>
        </w:rPr>
        <w:t>结论：腾龙湾区数据中心项目《建设报告》（署期 2026 年 8 月 31 日，建设主体广东腾龙数据科技有限公司）现报送稿不宜出具肯定性两高审查意见，不得使用“原则同意”“基本同意”或任何等同表述。首要理由有两项。其一是程序前提未成立：本项目按《国家发展改革委 工业和信息化部 国家数据局关于对算力基础设施实施“窗口指导”的通知》（发改高技〔2025〕320 号）属大型及以上算力基础设施，全部纳入“窗口指导”范围且不分投资主体，公司类型为有限责任公司（外国法人独资）不构成豁免事由；未通过“窗口指导”不得开展备案、节能审查和网络接入，而稿内未见本项目已通过“窗口指导”的证明文件。其二是能耗边界不唯一：报送稿同时存在整体 202MW、机柜逐项算术 202.92768MW 与一期 136MW 三个规模，而年电量、年综合能耗与 PUE 三组数据经复核均按整体满载口径测算，一期 136MW 缺少与之衔接的能耗测算；依 320 号禁止报小建大、分期按累计规模计的要求，一期不得作为降档审查的边界。在申请人书面冻结唯一口径并按该口径重出能耗测算前，两高审查无稳定的核算对象。</w:t>
      </w:r>
    </w:p>
    <w:p>
      <w:pPr>
        <w:spacing w:before="0" w:after="0"/>
        <w:ind w:firstLine="480"/>
      </w:pPr>
      <w:r>
        <w:rPr>
          <w:rFonts w:ascii="Times New Roman" w:hAnsi="Times New Roman" w:eastAsia="仿宋"/>
          <w:b w:val="0"/>
          <w:sz w:val="24"/>
        </w:rPr>
        <w:t>本报告的能耗章节较同期另一项目的窗口申请书完整，已含年综合能源消费量、PUE、绿电供给与能耗替代专章，且算术基本可复核。该完整性只用于固定审查对象，不构成通过审查的依据：本址物理绿电电量、年加权 PUE、能耗替代来源、能耗品种边界（柴油等非电能源）、敏感点环境安全、项目性质与既有资产的能耗基线划分，均未闭合。本轮只形成问题清单与补正要求，不确认申请规模、年综合能耗量、年加权 PUE、绿电比例、能耗替代方式及选址环境相容性。</w:t>
      </w:r>
    </w:p>
    <w:p>
      <w:pPr>
        <w:spacing w:before="0" w:after="0"/>
        <w:ind w:firstLine="480"/>
      </w:pPr>
      <w:r>
        <w:rPr>
          <w:rFonts w:ascii="Times New Roman" w:hAnsi="Times New Roman" w:eastAsia="仿宋"/>
          <w:b w:val="0"/>
          <w:sz w:val="24"/>
        </w:rPr>
        <w:t>本件不出具本项目的“窗口指导”意见。窗口事项另行安排，仅在第二部分（二）就其与两高审查的先后关系作程序认定。</w:t>
      </w:r>
    </w:p>
    <w:p>
      <w:pPr>
        <w:spacing w:before="240" w:after="80"/>
        <w:ind w:firstLine="600"/>
      </w:pPr>
      <w:r>
        <w:rPr>
          <w:rFonts w:ascii="Times New Roman" w:hAnsi="Times New Roman" w:eastAsia="黑体"/>
          <w:b w:val="0"/>
          <w:sz w:val="30"/>
        </w:rPr>
        <w:t>说明（本件的证据口径）</w:t>
      </w:r>
    </w:p>
    <w:p>
      <w:pPr>
        <w:spacing w:before="0" w:after="0"/>
        <w:ind w:firstLine="480"/>
      </w:pPr>
      <w:r>
        <w:rPr>
          <w:rFonts w:ascii="Times New Roman" w:hAnsi="Times New Roman" w:eastAsia="仿宋"/>
          <w:b w:val="0"/>
          <w:sz w:val="24"/>
        </w:rPr>
        <w:t>一、位置与页码。本件仅取得该报告的分章要点摘录及已核数字，未取得连续页码。故各条“位置”栏以章节名、字段名或专章名定位，页码一律标注“页码待核”；报送稿确实未提供的内容标注“稿中未见”；本件无法据现有材料判定的事项标注“待核”。</w:t>
      </w:r>
    </w:p>
    <w:p>
      <w:pPr>
        <w:spacing w:before="0" w:after="0"/>
        <w:ind w:firstLine="480"/>
      </w:pPr>
      <w:r>
        <w:rPr>
          <w:rFonts w:ascii="Times New Roman" w:hAnsi="Times New Roman" w:eastAsia="仿宋"/>
          <w:b w:val="0"/>
          <w:sz w:val="24"/>
        </w:rPr>
        <w:t>二、数字来源。本件所列数字分两类：一类直接引自报送稿披露值；一类是对披露值的四则运算复核结果，复核过程见本目录 verify_numbers.py。本件不引入外部假设，不为报送稿未披露项赋值，不编造未经核对的数字或依据。</w:t>
      </w:r>
    </w:p>
    <w:p>
      <w:pPr>
        <w:spacing w:before="0" w:after="0"/>
        <w:ind w:firstLine="480"/>
      </w:pPr>
      <w:r>
        <w:rPr>
          <w:rFonts w:ascii="Times New Roman" w:hAnsi="Times New Roman" w:eastAsia="仿宋"/>
          <w:b w:val="0"/>
          <w:sz w:val="24"/>
        </w:rPr>
        <w:t>三、政策原件的核对状态。320 号封面及发文字号（原件第 1 页）、适用范围与分类处理要求（原件第 3 页）、附件 1 规模分类标准及备注（原件第 8 页）、附件 2 编写要求（一）至（三）的具体条目（原件第 9 页）已核原件；本件引用上述内容时直接标注原件页码。该文其余条款（评估八要素、风险分类、PUE 控制要求、绿电占比优先支持口径、未过窗口不得备案与能评及网络接入、禁止报小建大、分期按累计）依已核原件摘要引用，具体页码待核。</w:t>
      </w:r>
    </w:p>
    <w:p>
      <w:pPr>
        <w:spacing w:before="0" w:after="0"/>
        <w:ind w:firstLine="480"/>
      </w:pPr>
      <w:r>
        <w:rPr>
          <w:rFonts w:ascii="Times New Roman" w:hAnsi="Times New Roman" w:eastAsia="仿宋"/>
          <w:b w:val="0"/>
          <w:sz w:val="24"/>
        </w:rPr>
        <w:t>四、程序性依据的核对状态。广东省《节能审查和碳排放评价实施办法》（据称 2026 年 8 月 20 日）红头原件未核。本件不引用其条文，不将其表述为已核实的现行条款；凡涉及节能审查与碳排放评价具体程序、受理层级、时限和文本要求的判断，一律标注“待核”，由申请人按报送时现行有效文件补齐依据。</w:t>
      </w:r>
    </w:p>
    <w:p>
      <w:pPr>
        <w:spacing w:before="0" w:after="0"/>
        <w:ind w:firstLine="480"/>
      </w:pPr>
      <w:r>
        <w:rPr>
          <w:rFonts w:ascii="Times New Roman" w:hAnsi="Times New Roman" w:eastAsia="仿宋"/>
          <w:b w:val="0"/>
          <w:sz w:val="24"/>
        </w:rPr>
        <w:t>五、三套规模口径分开声明（本轮锁定）。本件区分并分别使用以下三套口径，互不换算填充：其一，2.5kW 标准机架数，仅用于 320 号附件 1 的规模分档判定；其二，IT 功率（MW）及实物机柜功率，用于能耗、能效与供电测算；其三，FP16 算力（PFLOPS）及芯片张数，仅属客户侧设备口径。本报告摘录中未见芯片型号、数量与算力测算，本件不以机柜功率推算算力，也不以算力推算机柜。</w:t>
      </w:r>
    </w:p>
    <w:p>
      <w:pPr>
        <w:spacing w:before="0" w:after="0"/>
        <w:ind w:firstLine="480"/>
      </w:pPr>
      <w:r>
        <w:rPr>
          <w:rFonts w:ascii="Times New Roman" w:hAnsi="Times New Roman" w:eastAsia="仿宋"/>
          <w:b w:val="0"/>
          <w:sz w:val="24"/>
        </w:rPr>
        <w:t>六、绿电口径（本轮锁定）。绿电比例以项目本址可计量、可结算的物理电量路径为准；绿证与省外合同不能无条件顶替年度绿电占比，也不能作为能耗替代量的证明。</w:t>
      </w:r>
    </w:p>
    <w:p>
      <w:pPr>
        <w:spacing w:before="240" w:after="80"/>
        <w:ind w:firstLine="600"/>
      </w:pPr>
      <w:r>
        <w:rPr>
          <w:rFonts w:ascii="Times New Roman" w:hAnsi="Times New Roman" w:eastAsia="黑体"/>
          <w:b w:val="0"/>
          <w:sz w:val="30"/>
        </w:rPr>
        <w:t>一、项目概况</w:t>
      </w:r>
    </w:p>
    <w:p>
      <w:pPr>
        <w:spacing w:before="0" w:after="0"/>
        <w:ind w:firstLine="480"/>
      </w:pPr>
      <w:r>
        <w:rPr>
          <w:rFonts w:ascii="Times New Roman" w:hAnsi="Times New Roman" w:eastAsia="仿宋"/>
          <w:b w:val="0"/>
          <w:sz w:val="24"/>
        </w:rPr>
        <w:t>项目名称：腾龙湾区数据中心项目。文件性质：《建设报告》，署期 2026 年 8 月 31 日。建设地点：佛山市南海区西樵官太路太平段南侧，用地约 120.26 亩。项目性质：报送稿写为新建。</w:t>
      </w:r>
    </w:p>
    <w:p>
      <w:pPr>
        <w:spacing w:before="0" w:after="0"/>
        <w:ind w:firstLine="480"/>
      </w:pPr>
      <w:r>
        <w:rPr>
          <w:rFonts w:ascii="Times New Roman" w:hAnsi="Times New Roman" w:eastAsia="仿宋"/>
          <w:b w:val="0"/>
          <w:sz w:val="24"/>
        </w:rPr>
        <w:t>主体情况：建设主体广东腾龙数据科技有限公司，公司类型为有限责任公司（外国法人独资），法定代表人郭大伟；投资方另列腾龙数据科技发展公司，即投资由科技公司与发展公司共同承担；运营主体为鹏城金云；背景方为普洛斯。上述主体在稿内分列，权责与资金关系未见闭合说明。发展公司 2024 年已有约 1.34 亿元主体工程竣工转固；近三年营业收入相关内容显示处于建设期亏损状态。</w:t>
      </w:r>
    </w:p>
    <w:p>
      <w:pPr>
        <w:spacing w:before="0" w:after="0"/>
        <w:ind w:firstLine="480"/>
      </w:pPr>
      <w:r>
        <w:rPr>
          <w:rFonts w:ascii="Times New Roman" w:hAnsi="Times New Roman" w:eastAsia="仿宋"/>
          <w:b w:val="0"/>
          <w:sz w:val="24"/>
        </w:rPr>
        <w:t>建设规模：稿称整体 IT 功率 202MW、总投资 41.81 亿元，同时列出一期 136MW、投资 31.52 亿元。机柜配置为 480 个 14.4kW 风冷机柜与 7056 个 27.78kW 冷板液冷机柜。公司介绍另写规划 6kW 机架 20000 个。楼栋配置见 1# 智算楼 120 个模块、48MW，2# 智算楼 96 个模块、48MW。</w:t>
      </w:r>
    </w:p>
    <w:p>
      <w:pPr>
        <w:spacing w:before="0" w:after="0"/>
        <w:ind w:firstLine="480"/>
      </w:pPr>
      <w:r>
        <w:rPr>
          <w:rFonts w:ascii="Times New Roman" w:hAnsi="Times New Roman" w:eastAsia="仿宋"/>
          <w:b w:val="0"/>
          <w:sz w:val="24"/>
        </w:rPr>
        <w:t>经复核：480×14.4kW＝6912kW；7056×27.78kW＝196015.68kW；合计 202927.68kW，即 202.92768MW，与稿称“约 202.9MW”一致；折合 2.5kW 标准机架 81171.07 个，与稿称约 8.12 万个一致；冷板液冷占 IT 功率的 96.59%。</w:t>
      </w:r>
    </w:p>
    <w:p>
      <w:pPr>
        <w:spacing w:before="0" w:after="0"/>
        <w:ind w:firstLine="480"/>
      </w:pPr>
      <w:r>
        <w:rPr>
          <w:rFonts w:ascii="Times New Roman" w:hAnsi="Times New Roman" w:eastAsia="仿宋"/>
          <w:b w:val="0"/>
          <w:sz w:val="24"/>
        </w:rPr>
        <w:t>能耗与能效：设计 PUE 1.173；年总用电量 20.8589 亿 kWh，其中 IT 用电量 17.7765 亿 kWh；年综合能耗当量值 256355.86 吨标准煤、等价值 591746.09 吨标准煤；单位工业增加值能耗 4.569 吨标准煤/万元，稿内同时引用佛山市规模以上工业口径 2.42 吨标准煤/万元。</w:t>
      </w:r>
    </w:p>
    <w:p>
      <w:pPr>
        <w:spacing w:before="0" w:after="0"/>
        <w:ind w:firstLine="480"/>
      </w:pPr>
      <w:r>
        <w:rPr>
          <w:rFonts w:ascii="Times New Roman" w:hAnsi="Times New Roman" w:eastAsia="仿宋"/>
          <w:b w:val="0"/>
          <w:sz w:val="24"/>
        </w:rPr>
        <w:t>经复核：20.8589÷17.7765＝1.1734，与设计值 1.173 一致；IT 电量 17.7765 亿 kWh÷8760 小时＝202928.08kW，即按整体 202.93MW、负荷率 1.0 全年满载测算；辅助电量 3.0824 亿 kWh；总电量÷8760 小时＝238115.30kW；当量值反算折标系数 1.229 tce/万 kWh，等价值反算 2.8369 tce/万 kWh；4.569÷2.42＝1.888 倍。</w:t>
      </w:r>
    </w:p>
    <w:p>
      <w:pPr>
        <w:spacing w:before="0" w:after="0"/>
        <w:ind w:firstLine="480"/>
      </w:pPr>
      <w:r>
        <w:rPr>
          <w:rFonts w:ascii="Times New Roman" w:hAnsi="Times New Roman" w:eastAsia="仿宋"/>
          <w:b w:val="0"/>
          <w:sz w:val="24"/>
        </w:rPr>
        <w:t>绿电与能耗替代：结论章承诺绿电 100%，背景章另称“争取约 20%”；两高替代专章以购买绿证作为能耗替代方式，并称拟与售电公司签约、通过电力交易中心采购。</w:t>
      </w:r>
    </w:p>
    <w:p>
      <w:pPr>
        <w:spacing w:before="0" w:after="0"/>
        <w:ind w:firstLine="480"/>
      </w:pPr>
      <w:r>
        <w:rPr>
          <w:rFonts w:ascii="Times New Roman" w:hAnsi="Times New Roman" w:eastAsia="仿宋"/>
          <w:b w:val="0"/>
          <w:sz w:val="24"/>
        </w:rPr>
        <w:t>选址周边与柴发：项目东侧为多层居住，西侧地块紧贴太平中学操场等，南侧临太平中学大道（见总平面叙述）；柴发系统设置埋地油罐 160 立方米（见环保章）。柴发机组台数、单机容量、年运行小时与年油耗，稿中未见。</w:t>
      </w:r>
    </w:p>
    <w:p>
      <w:pPr>
        <w:spacing w:before="0" w:after="0"/>
        <w:ind w:firstLine="480"/>
      </w:pPr>
      <w:r>
        <w:rPr>
          <w:rFonts w:ascii="Times New Roman" w:hAnsi="Times New Roman" w:eastAsia="仿宋"/>
          <w:b w:val="0"/>
          <w:sz w:val="24"/>
        </w:rPr>
        <w:t>政策依据：引用粤工信信软〔2020〕73 号，其规划期为 2021 至 2025 年。</w:t>
      </w:r>
    </w:p>
    <w:p>
      <w:pPr>
        <w:spacing w:before="240" w:after="80"/>
        <w:ind w:firstLine="600"/>
      </w:pPr>
      <w:r>
        <w:rPr>
          <w:rFonts w:ascii="Times New Roman" w:hAnsi="Times New Roman" w:eastAsia="黑体"/>
          <w:b w:val="0"/>
          <w:sz w:val="30"/>
        </w:rPr>
        <w:t>二、适用政策与审查边界</w:t>
      </w:r>
    </w:p>
    <w:p>
      <w:pPr>
        <w:spacing w:before="160" w:after="0"/>
        <w:ind w:firstLine="560"/>
      </w:pPr>
      <w:r>
        <w:rPr>
          <w:rFonts w:ascii="Times New Roman" w:hAnsi="Times New Roman" w:eastAsia="楷体"/>
          <w:b/>
          <w:sz w:val="28"/>
        </w:rPr>
        <w:t>（一）规模分档判定：本项目属大型及以上，且不分投资主体</w:t>
      </w:r>
    </w:p>
    <w:p>
      <w:pPr>
        <w:spacing w:before="0" w:after="0"/>
        <w:ind w:firstLine="480"/>
      </w:pPr>
      <w:r>
        <w:rPr>
          <w:rFonts w:ascii="Times New Roman" w:hAnsi="Times New Roman" w:eastAsia="仿宋"/>
          <w:b w:val="0"/>
          <w:sz w:val="24"/>
        </w:rPr>
        <w:t>依 320 号附件 1（原件第 8 页），大型及以上的判定条件为“设计规模达 3000 标准机架及以上（即设计功率 7500KW 以上，或综合能耗达到 1 万吨标准煤【当量值】或 2.4 万吨标准煤【等价值】），或服务器采购金额 10 亿元以上”，各条件为“或”的关系。经复核，本项目按整体口径同时大幅触及四项：折合 2.5kW 标准机架 81171.07 个，为 3000 架阈值的 27.06 倍；机柜逐项合计 202927.68kW，为 7500kW 阈值的 27.06 倍；年综合能耗当量值 256355.86 tce，为 1 万 tce 阈值的 25.64 倍；等价值 591746.09 tce，为 2.4 万 tce 阈值的 24.66 倍。即便按一期 136MW 计，仍为 7500kW 阈值的 18.13 倍，同属大型及以上。</w:t>
      </w:r>
    </w:p>
    <w:p>
      <w:pPr>
        <w:spacing w:before="0" w:after="0"/>
        <w:ind w:firstLine="480"/>
      </w:pPr>
      <w:r>
        <w:rPr>
          <w:rFonts w:ascii="Times New Roman" w:hAnsi="Times New Roman" w:eastAsia="仿宋"/>
          <w:b w:val="0"/>
          <w:sz w:val="24"/>
        </w:rPr>
        <w:t>依 320 号第二部分（原件第 3 页），大型及以上算力基础设施“全部纳入'窗口指导'范围”，该表述未附加投资主体限定；该页同时载明纳入对象包括“企业参与投资（包括以股权、贴息、补助等各种形式出资）、建设、运营的项目”。本项目建设主体为有限责任公司（外国法人独资），投资方含两家公司，运营方另为一家公司，均属企业参与投资、建设、运营的情形。公司类型为外国法人独资不构成豁免事由，本件对此予以明确认定。</w:t>
      </w:r>
    </w:p>
    <w:p>
      <w:pPr>
        <w:spacing w:before="160" w:after="0"/>
        <w:ind w:firstLine="560"/>
      </w:pPr>
      <w:r>
        <w:rPr>
          <w:rFonts w:ascii="Times New Roman" w:hAnsi="Times New Roman" w:eastAsia="楷体"/>
          <w:b/>
          <w:sz w:val="28"/>
        </w:rPr>
        <w:t>（二）窗口指导与两高审查的先后关系</w:t>
      </w:r>
    </w:p>
    <w:p>
      <w:pPr>
        <w:spacing w:before="0" w:after="0"/>
        <w:ind w:firstLine="480"/>
      </w:pPr>
      <w:r>
        <w:rPr>
          <w:rFonts w:ascii="Times New Roman" w:hAnsi="Times New Roman" w:eastAsia="仿宋"/>
          <w:b w:val="0"/>
          <w:sz w:val="24"/>
        </w:rPr>
        <w:t>依 320 号，未通过“窗口指导”的项目不得开展备案、节能审查（能评）和网络接入（条款页码待核）。据此，本项目的两高审查在程序上位于“窗口指导”之后。本轮未见本项目已通过“窗口指导”的证明文件，故第三部分第 1 条列为高风险首项。本件不出具本项目的窗口指导意见，窗口事项另行安排；但两高审查不得先于窗口结论形成肯定性能耗、能效结论。</w:t>
      </w:r>
    </w:p>
    <w:p>
      <w:pPr>
        <w:spacing w:before="160" w:after="0"/>
        <w:ind w:firstLine="560"/>
      </w:pPr>
      <w:r>
        <w:rPr>
          <w:rFonts w:ascii="Times New Roman" w:hAnsi="Times New Roman" w:eastAsia="楷体"/>
          <w:b/>
          <w:sz w:val="28"/>
        </w:rPr>
        <w:t>（三）存量项目认定与规模累计</w:t>
      </w:r>
    </w:p>
    <w:p>
      <w:pPr>
        <w:spacing w:before="0" w:after="0"/>
        <w:ind w:firstLine="480"/>
      </w:pPr>
      <w:r>
        <w:rPr>
          <w:rFonts w:ascii="Times New Roman" w:hAnsi="Times New Roman" w:eastAsia="仿宋"/>
          <w:b w:val="0"/>
          <w:sz w:val="24"/>
        </w:rPr>
        <w:t>依 320 号第二部分（原件第 3 页），“本通知印发之日前正在建设或已完成审批、备案但未开工建设的存量项目，以及本通知印发之日后拟新建的项目，需根据规模分类标准（见附件 1）申请'窗口指导'”。该文印发于 2025 年 3 月 20 日。稿内载发展公司 2024 年已有约 1.34 亿元主体工程竣工转固，若该转固资产属本项目，则本项目在该文印发之日前已处于建设状态，属存量项目，其“新建”性质的表述与该事实冲突，且能耗基线须区分存量与增量。依附件 1 备注 1（原件第 8 页），已完成审批、备案但未开工建设的项目分两类，有新建机房楼需求的以是否取得开工许可证为分类标志；本项目有新建机房楼需求，该状态待核。</w:t>
      </w:r>
    </w:p>
    <w:p>
      <w:pPr>
        <w:spacing w:before="0" w:after="0"/>
        <w:ind w:firstLine="480"/>
      </w:pPr>
      <w:r>
        <w:rPr>
          <w:rFonts w:ascii="Times New Roman" w:hAnsi="Times New Roman" w:eastAsia="仿宋"/>
          <w:b w:val="0"/>
          <w:sz w:val="24"/>
        </w:rPr>
        <w:t>依 320 号关于禁止报小建大、分期建设按累计规模计的要求（条款页码待核），一期 136MW 不得作为降档或缩小审查边界的依据；本项目的规模分档与能耗核算应按累计的整体规模进行。</w:t>
      </w:r>
    </w:p>
    <w:p>
      <w:pPr>
        <w:spacing w:before="160" w:after="0"/>
        <w:ind w:firstLine="560"/>
      </w:pPr>
      <w:r>
        <w:rPr>
          <w:rFonts w:ascii="Times New Roman" w:hAnsi="Times New Roman" w:eastAsia="楷体"/>
          <w:b/>
          <w:sz w:val="28"/>
        </w:rPr>
        <w:t>（四）能耗边界</w:t>
      </w:r>
    </w:p>
    <w:p>
      <w:pPr>
        <w:spacing w:before="0" w:after="0"/>
        <w:ind w:firstLine="480"/>
      </w:pPr>
      <w:r>
        <w:rPr>
          <w:rFonts w:ascii="Times New Roman" w:hAnsi="Times New Roman" w:eastAsia="仿宋"/>
          <w:b w:val="0"/>
          <w:sz w:val="24"/>
        </w:rPr>
        <w:t>本项目两高审查的能耗边界应涵盖本址计量边界内的全部能源消费，包括 IT 负荷用电、制冷及其他辅助用电，以及柴油等非电能源品种。经复核，稿载当量值 256355.86 tce 与年总电量 20.8589 亿 kWh 按 1.229 tce/万 kWh 折算的结果 256355.881 tce 仅相差 0.021 tce，属四舍五入范围，说明现稿的年综合能耗量仅由电量折算，柴油等其他能源品种未计入，详见第三部分第 7 条。</w:t>
      </w:r>
    </w:p>
    <w:p>
      <w:pPr>
        <w:spacing w:before="0" w:after="0"/>
        <w:ind w:firstLine="480"/>
      </w:pPr>
      <w:r>
        <w:rPr>
          <w:rFonts w:ascii="Times New Roman" w:hAnsi="Times New Roman" w:eastAsia="仿宋"/>
          <w:b w:val="0"/>
          <w:sz w:val="24"/>
        </w:rPr>
        <w:t>就电量侧的口径一致性，另作一项预防性认定。本轮所给本项目稿件切片未见运营成本与电费测算，故本件不对其作出判断；但同期报送的另一项目（中国电信南海里水）申请书财务章电费按“36000kW×85%×0.75 元”计列，经反算 20104.2÷0.75÷26805.6＝1.0，即其电费只按 IT 电量计费、辅助电量电费未计，隐含 PUE 为 1.0。本项目稿内辅助电量为 3.0824 亿 kWh，占年总电量的 14.78%，体量不小。据此明确：本项目后续报送的电费、运营成本及财务测算，须按含制冷与其他辅助用电的年总电量 20.8589 亿 kWh 口径计列，不得使用仅计 IT 电量的 IT-only 口径；该项在本轮标“待核”。</w:t>
      </w:r>
    </w:p>
    <w:p>
      <w:pPr>
        <w:spacing w:before="160" w:after="0"/>
        <w:ind w:firstLine="560"/>
      </w:pPr>
      <w:r>
        <w:rPr>
          <w:rFonts w:ascii="Times New Roman" w:hAnsi="Times New Roman" w:eastAsia="楷体"/>
          <w:b/>
          <w:sz w:val="28"/>
        </w:rPr>
        <w:t>（五）程序性依据待核</w:t>
      </w:r>
    </w:p>
    <w:p>
      <w:pPr>
        <w:spacing w:before="0" w:after="0"/>
        <w:ind w:firstLine="480"/>
      </w:pPr>
      <w:r>
        <w:rPr>
          <w:rFonts w:ascii="Times New Roman" w:hAnsi="Times New Roman" w:eastAsia="仿宋"/>
          <w:b w:val="0"/>
          <w:sz w:val="24"/>
        </w:rPr>
        <w:t>节能审查与碳排放评价的受理层级、文本要求、时限及与“窗口指导”的先后衔接，本件不引用未核红头文件作依据，统一标注“待核”，由申请人按报送时现行有效文件补齐并说明。</w:t>
      </w:r>
    </w:p>
    <w:p>
      <w:pPr>
        <w:spacing w:before="240" w:after="80"/>
        <w:ind w:firstLine="600"/>
      </w:pPr>
      <w:r>
        <w:rPr>
          <w:rFonts w:ascii="Times New Roman" w:hAnsi="Times New Roman" w:eastAsia="黑体"/>
          <w:b w:val="0"/>
          <w:sz w:val="30"/>
        </w:rPr>
        <w:t>三、审查细则</w:t>
      </w:r>
    </w:p>
    <w:p>
      <w:pPr>
        <w:spacing w:before="0" w:after="0"/>
        <w:ind w:firstLine="480"/>
      </w:pPr>
      <w:r>
        <w:rPr>
          <w:rFonts w:ascii="Times New Roman" w:hAnsi="Times New Roman" w:eastAsia="仿宋"/>
          <w:b w:val="0"/>
          <w:sz w:val="24"/>
        </w:rPr>
        <w:t>本部分共 14 项，其中高风险 7 项、中风险 7 项。每项列风险等级、位置、稿内表述、问题及须补正或待核事项。</w:t>
      </w:r>
    </w:p>
    <w:p>
      <w:pPr>
        <w:spacing w:before="160" w:after="0"/>
        <w:ind w:firstLine="560"/>
      </w:pPr>
      <w:r>
        <w:rPr>
          <w:rFonts w:ascii="Times New Roman" w:hAnsi="Times New Roman" w:eastAsia="楷体"/>
          <w:b/>
          <w:sz w:val="28"/>
        </w:rPr>
        <w:t>（一）高风险问题</w:t>
      </w:r>
    </w:p>
    <w:p>
      <w:pPr>
        <w:spacing w:before="120" w:after="0"/>
        <w:ind w:firstLine="480"/>
      </w:pPr>
      <w:r>
        <w:rPr>
          <w:rFonts w:ascii="Times New Roman" w:hAnsi="Times New Roman" w:eastAsia="仿宋"/>
          <w:b/>
          <w:sz w:val="24"/>
        </w:rPr>
        <w:t>1. 未见通过“窗口指导”的证明，两高审查缺少程序前提；外国法人独资不构成豁免</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政策依据章、项目审批与核准（备案）情况章（页码待核）。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报告含完整能耗章节及两高替代专章；本项目已通过“窗口指导”的申请材料、受理凭证或结论文件，稿中未见。公司类型为有限责任公司（外国法人独资）。</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依 320 号，大型及以上算力基础设施全部纳入“窗口指导”范围且不分投资主体，未过窗口不得备案、能评和网络接入（条款页码待核）。经复核，本项目为大型及以上（标准机架 27.06 倍、设计功率 27.06 倍、能耗当量值 25.64 倍、等价值 24.66 倍于各自阈值），按一期 136MW 计亦为设计功率阈值的 18.13 倍，不存在按投资主体、公司类型或分期规模豁免的空间；外国法人独资不构成豁免事由。在窗口结论缺位的情况下，两高审查所依据的规模、能效、绿电与替代口径均可能被后续窗口环节改变，本轮无法形成稳定的肯定性结论。此项不是文本瑕疵，而是程序顺序问题。</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提交本项目“窗口指导”的申请材料、受理凭证及结论文件；若尚未申请或尚未取得结论，请说明本报告在窗口结论形成前报送两高审查的依据，以及拟如何避免窗口环节调整规模后能耗测算全部重做。项目审批、备案现状及是否属 320 号印发前存量项目，请一并说明并附证明，待核。</w:t>
      </w:r>
    </w:p>
    <w:p>
      <w:pPr>
        <w:spacing w:before="120" w:after="0"/>
        <w:ind w:firstLine="480"/>
      </w:pPr>
      <w:r>
        <w:rPr>
          <w:rFonts w:ascii="Times New Roman" w:hAnsi="Times New Roman" w:eastAsia="仿宋"/>
          <w:b/>
          <w:sz w:val="24"/>
        </w:rPr>
        <w:t>2. 大型算力中心布局在国家枢纽节点算力中心集群之外，与“东数西算”布局要求的相符性未论证</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项目背景及必要性章、建设地点及选址章（页码待核）。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建设地点为佛山市南海区西樵官太路太平段南侧，用地约 120.26 亩；项目为大型及以上算力基础设施。本址是否位于国家数据中心集群起步区内、是否位于西部大型风电光伏基地内、是否利用当地自然条件天然优势，均稿中未见。</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320 号第二部分（原件第 3 页）明确：“严格落实国家关于'东数西算'工程布局要求，国家枢纽节点外原则上不得新建各类大型及超大型算力中心”，该表述未附加投资主体限定；同页并载“对于布局在国家枢纽节点算力中心集群起步区的项目，国家层面将统筹资源，给予能耗指标单列、资金补助等支持”“国家有关方案有明确布局的项目，按照布局方案实施”。另据 320 号附件 2（原件第 9 页），建设地点部分应“明确建设位置、规模、是否建设在十个国家数据中心集群起步区内或西部大型风电光伏基地内，是否利用当地自然条件天然优势”，即该判定是政策要求的必备内容。本项目为大型及以上、位于佛山市南海区西樵，报送稿未论证本址与国家枢纽节点算力中心集群起步区范围的关系，也未说明是否属国家有关方案已明确布局的项目。该项直接决定能耗指标能否单列，从而决定 591746.09 tce 等价值、256355.86 tce 当量值的安放路径；在布局相符性未论证前，两高审查无法确认该笔增量能耗的来源。</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请提交本址与粤港澳大湾区国家枢纽节点算力中心集群起步区范围的位置关系说明及依据文件，并按 320 号附件 2 的要求补填是否位于十个国家数据中心集群起步区内、是否位于西部大型风电光伏基地内、是否利用当地自然条件天然优势；说明本项目是否属国家有关方案明确布局的项目及其文件；若在集群起步区外，说明符合“国家枢纽节点外原则上不得新建各类大型及超大型算力中心”要求的依据。集群起步区具体范围以现行国家文件为准，待核，本件不代为拟定。</w:t>
      </w:r>
    </w:p>
    <w:p>
      <w:pPr>
        <w:spacing w:before="120" w:after="0"/>
        <w:ind w:firstLine="480"/>
      </w:pPr>
      <w:r>
        <w:rPr>
          <w:rFonts w:ascii="Times New Roman" w:hAnsi="Times New Roman" w:eastAsia="仿宋"/>
          <w:b/>
          <w:sz w:val="24"/>
        </w:rPr>
        <w:t>3. 能耗核算对象不唯一，三组能耗数据均按整体满载口径，一期 136MW 无对应测算</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建设规模章、节能与能耗章（章 4）（页码待核）。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稿称整体 202MW、总投资 41.81 亿元；同时列一期 136MW、投资 31.52 亿元。年总用电量 20.8589 亿 kWh、IT 用电量 17.7765 亿 kWh、当量值 256355.86 tce、等价值 591746.09 tce、设计 PUE 1.173。</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经复核，机柜逐项相加为 202927.68kW（202.92768MW），可与整体口径及“约 8.12 万个标准机柜”互相印证；IT 电量 17.7765 亿 kWh÷8760 小时＝202928.08kW，说明年电量按整体 202.93MW、负荷率 1.0 全年满载测算；当量值与等价值均由该年总电量直接折算。据此，全部能耗与能效数据对应的是整体口径，一期 136MW 没有任何与之衔接的能耗测算：一期满载年电量应为 11.9136 亿 kWh，与稿载 20.8589 亿 kWh 相差 8.9453 亿 kWh。投资侧亦不成比例：一期 136MW 占整体 IT 功率的 67.02%，而一期投资 31.52 亿元占总投资的 75.39%；经复核整体单位投资 2060.34 万元/MW、一期 2317.65 万元/MW，差额段 66.93MW 仅对应 10.29 亿元、1537.48 万元/MW，三者相差较大且稿中未见分摊口径。依 320 号禁止报小建大、分期按累计规模计的要求，一期不得作为降档审查的边界；两高核算对象须为累计的整体规模。</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书面冻结本次唯一申报口径，并按累计整体规模重出机柜清单、楼栋与模块划分、投资额、用地、变电容量、年用电量、当量值与等价值能耗量及投产计划；若确需分期，请分别列出各期规模、投产时点与累计能耗，并说明整体、一期与差额段单位投资差异的构成。在冻结与重出之前，本件不将上述任一规模作为审查或统计口径。</w:t>
      </w:r>
    </w:p>
    <w:p>
      <w:pPr>
        <w:spacing w:before="120" w:after="0"/>
        <w:ind w:firstLine="480"/>
      </w:pPr>
      <w:r>
        <w:rPr>
          <w:rFonts w:ascii="Times New Roman" w:hAnsi="Times New Roman" w:eastAsia="仿宋"/>
          <w:b/>
          <w:sz w:val="24"/>
        </w:rPr>
        <w:t>4. 绿电三套口径并存，本址物理电量路径缺位</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背景章、2.6 绿电供给章、结论章（页码待核）。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结论章承诺绿电 100%；背景章另称“争取约 20%”；实现方式为拟与售电公司签约、通过电力交易中心采购，并以购买绿证配合。</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结论章的 100% 与背景章的“争取约 20%”直接冲突，同一报告对同一指标给出相差五倍的两个值，本身即使该指标不可采信；请申请人对原文逐处核实并统一。“拟签约”不等于已落实合同。更重要的是，电力交易的物理结算电量、绿证数量与环境权益归属属三个不同标的，稿内混写为同一项，未列年度物理电量、绿证张数、计量点、权益归属主体与注销安排。按本轮锁定口径，绿电占比以本址可计量可结算的物理电量路径为准，绿证与省外合同不能无条件顶替年度绿电占比。经复核，若按结论章 100% 计，对应物理绿电电量应为 20.8589 亿 kWh；若按背景章 20% 计，为 4.17178 亿 kWh；两者相差 16.68712 亿 kWh，绿电比例目前不具备可核验性。另据 320 号，绿电占比超过 80% 属优先支持情形（条款页码待核），即 80% 是获得优先支持的门槛而非已实现的结论；以“拟签约”主张 100% 不产生优先支持效果。</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请逐处核实并统一绿电比例表述，说明结论章 100% 与背景章“争取约 20%”何者为申报值及其依据；按年度分别列明本址物理结算绿电电量、绿证数量、环境权益归属主体与注销主体、计量点与交易主体；若相关合同尚未签署，请说明结论章承诺 100% 的依据，或将该表述改为拟实现目标并相应调整能耗替代安排。不接受以公司层面历史采购量代替项目级落实证据。</w:t>
      </w:r>
    </w:p>
    <w:p>
      <w:pPr>
        <w:spacing w:before="120" w:after="0"/>
        <w:ind w:firstLine="480"/>
      </w:pPr>
      <w:r>
        <w:rPr>
          <w:rFonts w:ascii="Times New Roman" w:hAnsi="Times New Roman" w:eastAsia="仿宋"/>
          <w:b/>
          <w:sz w:val="24"/>
        </w:rPr>
        <w:t>5. 能耗替代以购买绿证充抵，替代来源未闭合；自认能耗强度为所引比较值的 1.888 倍</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章 4 及两高替代专章（页码待核）。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能耗替代方式为购买绿证，拟与售电公司签约并通过电力交易中心采购；单位工业增加值能耗 4.569 吨标准煤/万元，稿内同时引用佛山市规模以上工业口径 2.42 吨标准煤/万元；当量值 256355.86 tce、等价值 591746.09 tce。</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经复核，4.569÷2.42＝1.888 倍，即报送稿已自认本项目能耗强度为其所引比较值的近两倍。在此前提下，替代措施仅表述为购买绿证，而替代量（吨标准煤）、来源项目、来源年度、落实凭证、权益归属与重复计量排除安排稿中均未见。购买绿证不能证明本项目在本址少消耗了物理电量，也不能把 256355.86 tce 当量值或 591746.09 tce 等价值从增量能耗中扣减。本轮不接受以绿证充抵能耗替代量，也不接受以“拟签约”写成已落实的替代来源。另须指出，4.569 与 2.42 分属数据中心项目口径与规模以上工业整体口径，两者是否可直接比较本身待核；但无论可比性如何，稿内既已引用该对比并自认高出 1.888 倍，即须给出实质性节能措施与可核验的替代安排，不能以购买绿证一句带过。</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请列明拟替代的吨标准煤数量、来源项目、来源年度、落实凭证及权利人，并与 256355.86 tce 当量值、591746.09 tce 等价值建立对应关系；说明 4.569 吨标准煤/万元的计算过程（分子能耗量与分母工业增加值的口径、年度与来源）及与 2.42 的可比性；补充针对高能耗强度的实质性节能措施。替代量的核定层级与程序依据待核，本件不引用未核文件代为认定。</w:t>
      </w:r>
    </w:p>
    <w:p>
      <w:pPr>
        <w:spacing w:before="120" w:after="0"/>
        <w:ind w:firstLine="480"/>
      </w:pPr>
      <w:r>
        <w:rPr>
          <w:rFonts w:ascii="Times New Roman" w:hAnsi="Times New Roman" w:eastAsia="仿宋"/>
          <w:b/>
          <w:sz w:val="24"/>
        </w:rPr>
        <w:t>6. 紧邻中学操场与多层居住区，160 立方米埋地油罐及柴发系统环境安全未闭合</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选址及总平面叙述、环保章、柴发系统章（页码待核）。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项目东侧为多层居住，西侧地块紧贴太平中学操场等，南侧临太平中学大道；柴发系统设置埋地油罐 160 立方米。柴发机组台数、单机容量、排气口位置与高度，以及项目边界与各敏感点的最近距离，稿中未见。</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项目同时紧邻多层居住区与中学操场两类敏感点，并设置 160 立方米埋地柴油储罐，属敏感点密集叠加大容量危险物料储存的选址情形。稿内未见项目边界与住宅、教学区、操场的最近距离，柴发废气与噪声预测、排气口位置与高度、油罐防渗防火措施、危险化学品管理方案、事故情景分析及相应结论。中学操场属学生集中活动场所，其与柴发机组、排气口、埋地油罐的相对位置是本项目环境安全的核心事实。敏感点约束未判定前，总平面布局与建设规模在环境与安全上的可落实性不能确认。</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请在总平面图上标注住宅、教学区、操场、机房、冷却设备、柴发机组、排气口与 160 立方米埋地油罐的相互最近距离；补列柴发机组台数、单机容量、总装机容量、年运行小时与年油耗；提交噪声、废气、防渗、防火、危险化学品管理与事故风险的专项结论；若现有布局不能满足敏感点约束，说明总图与柴发系统的调整方案及其对建设规模的影响。碳排放评价对上述内容的具体要求依现行文件确定，待核。</w:t>
      </w:r>
    </w:p>
    <w:p>
      <w:pPr>
        <w:spacing w:before="120" w:after="0"/>
        <w:ind w:firstLine="480"/>
      </w:pPr>
      <w:r>
        <w:rPr>
          <w:rFonts w:ascii="Times New Roman" w:hAnsi="Times New Roman" w:eastAsia="仿宋"/>
          <w:b/>
          <w:sz w:val="24"/>
        </w:rPr>
        <w:t>7. 年综合能耗量仅由电量折算，柴油等非电能源品种未计入能耗边界</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章 4 节能与能耗章、环保章柴发系统（页码待核）。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年总用电量 20.8589 亿 kWh；年综合能耗当量值 256355.86 吨标准煤、等价值 591746.09 吨标准煤；柴发系统设置埋地油罐 160 立方米；柴油年消耗量稿中未见。</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经复核，年总电量 20.8589 亿 kWh 按 1.229 tce/万 kWh 折算为 256355.881 tce，与稿载当量值 256355.86 tce 仅相差 0.021 tce，属四舍五入范围。据此可以判定：现稿的年综合能耗量完全由电量折算得出，柴油等非电能源品种未计入。而稿内确已设置 160 立方米埋地油罐，说明本项目存在柴油消耗环节。年综合能耗量是两高审查的核心数据，其能源品种边界不完整将直接导致当量值与等价值被低估，并影响能耗替代量的核定。对照同期另一项目报送稿，其已将柴油 68.64 吨折 100.02 tce 计入合计，本项目未作同等处理。</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补列柴油及其他非电能源品种的年消耗量、折标系数与折标结果，并计入年综合能耗当量值与等价值后重出合计数；说明柴发机组的年运行小时取值依据，以及市电中断、限电或应急带载情景下的油耗上限是否计入能耗边界；若确认本项目无柴油消耗，请说明 160 立方米埋地油罐的用途。</w:t>
      </w:r>
    </w:p>
    <w:p>
      <w:pPr>
        <w:spacing w:before="160" w:after="0"/>
        <w:ind w:firstLine="560"/>
      </w:pPr>
      <w:r>
        <w:rPr>
          <w:rFonts w:ascii="Times New Roman" w:hAnsi="Times New Roman" w:eastAsia="楷体"/>
          <w:b/>
          <w:sz w:val="28"/>
        </w:rPr>
        <w:t>（二）中风险问题</w:t>
      </w:r>
    </w:p>
    <w:p>
      <w:pPr>
        <w:spacing w:before="120" w:after="0"/>
        <w:ind w:firstLine="480"/>
      </w:pPr>
      <w:r>
        <w:rPr>
          <w:rFonts w:ascii="Times New Roman" w:hAnsi="Times New Roman" w:eastAsia="仿宋"/>
          <w:b/>
          <w:sz w:val="24"/>
        </w:rPr>
        <w:t>8. PUE 1.173 系满载设计点，非年加权值；96.59% 液冷占比的可实现性未支撑</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节能指标章、制冷及液冷方案章（页码待核）。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设计 PUE 1.173；年总用电量 20.8589 亿 kWh、IT 用电量 17.7765 亿 kWh；机柜配置为 480 个 14.4kW 风冷与 7056 个 27.78kW 冷板液冷。</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经复核，20.8589÷17.7765≈1.1734，与设计值一致，算术成立；辅助电量 3.0824 亿 kWh；总电量÷8760 小时＝238115.30kW。但 IT 电量对应 202928.08kW，即按负荷率 1.0 全年满载测算，其中不含投运爬坡期与部分负载工况；逐月负荷率、爬坡曲线、部分负载效率曲线、液冷实际投建比例及年加权计算表稿中均未见。仅凭两项年电量不能证明投运年度的实际加权 PUE。另经复核，冷板液冷占 IT 功率的 96.59%（196015.68kW÷202927.68kW），即设计 PUE 1.173 高度依赖近乎全量液冷的实现；而报送稿摘录中未见同址已签约或意向客户清单，客户侧是否全部采用液冷服务器无从判断。若液冷实际投建比例低于 96.59%，PUE 与年电量均须重算。320 号要求 PUE 控制在 1.25 以内（条款页码待核），1.173 在满载设计点上低于该要求，但该结论不能延伸至年加权值。</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请分别给出设计点 PUE、满载点 PUE 与投运首年、达产年加权 PUE，并提交逐月 IT 负荷、制冷用电及其他辅助用电测算表；分列风冷与液冷的制冷电量与分系统 PUE；说明冷板液冷 7056 台的实际投建时点、覆盖范围与客户侧适配安排，以及液冷比例低于设计值时 PUE 与能耗量的变化。</w:t>
      </w:r>
    </w:p>
    <w:p>
      <w:pPr>
        <w:spacing w:before="120" w:after="0"/>
        <w:ind w:firstLine="480"/>
      </w:pPr>
      <w:r>
        <w:rPr>
          <w:rFonts w:ascii="Times New Roman" w:hAnsi="Times New Roman" w:eastAsia="仿宋"/>
          <w:b/>
          <w:sz w:val="24"/>
        </w:rPr>
        <w:t>9. 电力等价折标系数与同期另一项目报送稿不一致</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章 4 能耗测算表（页码待核）。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年总用电量 20.8589 亿 kWh；当量值 256355.86 tce；等价值 591746.09 tce。</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经复核，当量值反算折标系数为 1.229 tce/万 kWh，等价值反算为 2.8369 tce/万 kWh。当量系数与同期另一项目报送稿一致，等价系数则比该稿采用的 2.8534 tce/万 kWh 低 0.0165 tce/万 kWh。两稿等价系数不一致，须以报送时现行有效的折标系数统一；究竟以何值为准，本件不代为认定，待核。系数差异将直接改变等价值能耗量及其在能耗空间中的安放。</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请说明 2.8369 tce/万 kWh（或稿内实际采用值）的出处、发布机关、适用年度与文号，并与同期其他报送稿的口径统一；按统一系数重出等价值能耗量。</w:t>
      </w:r>
    </w:p>
    <w:p>
      <w:pPr>
        <w:spacing w:before="120" w:after="0"/>
        <w:ind w:firstLine="480"/>
      </w:pPr>
      <w:r>
        <w:rPr>
          <w:rFonts w:ascii="Times New Roman" w:hAnsi="Times New Roman" w:eastAsia="仿宋"/>
          <w:b/>
          <w:sz w:val="24"/>
        </w:rPr>
        <w:t>10. 1#、2# 楼模块数不同却同为 48MW，两栋合计与申报规模相差 106.93MW</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楼栋与模块配置章（页码待核）。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1# 智算楼 120 个模块、48MW；2# 智算楼 96 个模块、48MW。其余楼栋的编号、模块数与功率稿中未见。</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经复核，1# 折算每模块 0.4MW，2# 折算每模块 0.5MW，模块功率口径不一致，稿中未见解释。同时，可见的两栋合计 48＋48＝96MW，既不等于整体 202.92768MW，也不等于一期 136MW，与整体口径相差 106.93MW。该差异直接影响机柜数量、配电与制冷配置以及分期边界的划分，并使按楼栋分摊的能耗测算无法复核。</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请说明两栋楼的模块定义与单模块机柜数是否相同；若不同，提交分栋设备表；若相同，指出 MW 数或模块数何处有误。请列出除 1#、2# 外的全部楼栋编号、模块数与功率，并加总到冻结后的唯一申报规模。</w:t>
      </w:r>
    </w:p>
    <w:p>
      <w:pPr>
        <w:spacing w:before="120" w:after="0"/>
        <w:ind w:firstLine="480"/>
      </w:pPr>
      <w:r>
        <w:rPr>
          <w:rFonts w:ascii="Times New Roman" w:hAnsi="Times New Roman" w:eastAsia="仿宋"/>
          <w:b/>
          <w:sz w:val="24"/>
        </w:rPr>
        <w:t>11. 公司介绍规划机架口径与项目机柜口径相差 82.93MW</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公司介绍章、项目建设内容章（页码待核）。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公司介绍载规划 6kW 机架 20000 个；项目建设内容为 480 个 14.4kW 风冷机柜与 7056 个 27.78kW 冷板液冷机柜。</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经复核，20000×6kW＝120000kW＝120MW，项目明细为 202927.68kW，二者相差 82927.68kW（82.93MW）。“6kW 机架”“实物机柜”“2.5kW 标准机架”三个概念之间的换算关系稿中未作说明，易造成规模统计口径混淆。按本轮口径声明，2.5kW 标准机架数仅用于 320 号附件 1 的分档折合，不得与实物机柜混计。</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请说明 20000 个 6kW 机架属本项目、公司其他项目还是旧版方案；统一提供实物机柜数、2.5kW 标准机架折合数、平均单柜功率与 IT 功率之间的换算表，并注明各口径的适用范围。</w:t>
      </w:r>
    </w:p>
    <w:p>
      <w:pPr>
        <w:spacing w:before="120" w:after="0"/>
        <w:ind w:firstLine="480"/>
      </w:pPr>
      <w:r>
        <w:rPr>
          <w:rFonts w:ascii="Times New Roman" w:hAnsi="Times New Roman" w:eastAsia="仿宋"/>
          <w:b/>
          <w:sz w:val="24"/>
        </w:rPr>
        <w:t>12. 项目性质写为新建，与 2024 年主体工程已转固冲突；能耗基线的存量增量划分未闭合</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项目性质章、主体介绍章及财务信息（页码待核）。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项目性质写为新建；发展公司 2024 年已有约 1.34 亿元主体工程竣工转固；近三年营业收入相关内容显示处于建设期亏损状态。</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若 2024 年已发生主体工程竣工转固，则本项目在 320 号印发之日（2025 年 3 月 20 日）前已处于建设状态，依该文第二部分（原件第 3 页）属存量项目，“新建”表述与该事实冲突。对两高审查而言，该冲突的直接后果有三：既有资产对应的用能设施是否已在运行、其能耗是否已计入现有基线，稿中未见；本次申报的当量值 256355.86 tce、等价值 591746.09 tce 是全量还是增量，未作区分；已完工工程是否计入 41.81 亿元或 31.52 亿元投资额，亦未说明。依附件 1 备注 1（原件第 8 页），有新建机房楼需求的未开工项目以是否取得开工许可证为分类标志，本项目该状态待核。</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请说明约 1.34 亿元转固资产的具体内容、所在位置、权属及与本项目的关系，是否包含用能设施及其现有能耗；明确本次申报能耗量为全量口径还是增量口径，并按存量与增量分列；说明已完工工程是否计入本次投资额与申报规模；据实修正“新建”的项目性质表述，并说明开工许可证取得状态。</w:t>
      </w:r>
    </w:p>
    <w:p>
      <w:pPr>
        <w:spacing w:before="120" w:after="0"/>
        <w:ind w:firstLine="480"/>
      </w:pPr>
      <w:r>
        <w:rPr>
          <w:rFonts w:ascii="Times New Roman" w:hAnsi="Times New Roman" w:eastAsia="仿宋"/>
          <w:b/>
          <w:sz w:val="24"/>
        </w:rPr>
        <w:t>13. 投资、建设、运营主体分列，能耗与环境责任的承担主体未闭合</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主体介绍章、公司情况章（页码待核）。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建设主体广东腾龙数据科技有限公司，有限责任公司（外国法人独资），法定代表人郭大伟；投资由该公司与腾龙数据科技发展公司共同承担；运营主体为鹏城金云；背景方为普洛斯。近三年营业收入相关内容显示处于建设期亏损状态。</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建设、投资与运营主体不是同一口径，而两高审查的结论须落到明确的责任对象上。土地与资产权属、建设合同、运营授权、电力及绿电交易签约主体、能耗指标与环境责任的承担主体、能耗替代义务的履行主体，稿中均未见闭合说明。绿电与替代事项尤为关键：若由运营主体或第三方签署电力交易合同，则第三部分第 4、5 条要求的项目级绿电证据与替代凭证究竟归属于谁，直接影响其可核性与可追责性。近三年营业收入为零、处于建设期亏损，亦使出资与履约能力需进一步核实。</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明确由谁投资、谁建设、谁取得土地、谁持有资产、谁签署电力与绿电交易合同、谁承担能耗指标与环境责任、谁履行能耗替代义务；以股权结构、投融资协议、建设合同与资金流向说明，将各主体闭合到冻结后的唯一投资口径；就近三年营业收入为零的情况说明出资能力与资金来源。</w:t>
      </w:r>
    </w:p>
    <w:p>
      <w:pPr>
        <w:spacing w:before="120" w:after="0"/>
        <w:ind w:firstLine="480"/>
      </w:pPr>
      <w:r>
        <w:rPr>
          <w:rFonts w:ascii="Times New Roman" w:hAnsi="Times New Roman" w:eastAsia="仿宋"/>
          <w:b/>
          <w:sz w:val="24"/>
        </w:rPr>
        <w:t>14. 所引政策依据规划期已止于 2025 年，2026 年引用效力未说明</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政策依据章（页码待核）。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引用粤工信信软〔2020〕73 号，其规划期为 2021 至 2025 年。</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本次审查时间为 2026 年，所引文件对应规划期已于 2025 年届满，稿中未见该文件在 2026 年仍然适用的说明，也未见更新后的依据。该文件不足以单独支撑当前两高结论。本件不编造 2026 年新的法定依据或限额，只指出引用时效问题，由申请人按报送时现行有效文件补齐。广东省《节能审查和碳排放评价实施办法》红头原件本件未核，不作为依据引用，相关程序判断标“待核”。</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请说明粤工信信软〔2020〕73 号在 2026 年引用的效力与用途，并补充截至报送时仍在执行的逐项依据、文号、适用条款与有效期；若无更新依据，请在文本中明确相关内容仅为历史规划背景，不作为现行准入结论。</w:t>
      </w:r>
    </w:p>
    <w:p>
      <w:pPr>
        <w:spacing w:before="240" w:after="80"/>
        <w:ind w:firstLine="600"/>
      </w:pPr>
      <w:r>
        <w:rPr>
          <w:rFonts w:ascii="Times New Roman" w:hAnsi="Times New Roman" w:eastAsia="黑体"/>
          <w:b w:val="0"/>
          <w:sz w:val="30"/>
        </w:rPr>
        <w:t>四、结论与风险分类建议</w:t>
      </w:r>
    </w:p>
    <w:p>
      <w:pPr>
        <w:spacing w:before="160" w:after="0"/>
        <w:ind w:firstLine="560"/>
      </w:pPr>
      <w:r>
        <w:rPr>
          <w:rFonts w:ascii="Times New Roman" w:hAnsi="Times New Roman" w:eastAsia="楷体"/>
          <w:b/>
          <w:sz w:val="28"/>
        </w:rPr>
        <w:t>（一）总体结论</w:t>
      </w:r>
    </w:p>
    <w:p>
      <w:pPr>
        <w:spacing w:before="0" w:after="0"/>
        <w:ind w:firstLine="480"/>
      </w:pPr>
      <w:r>
        <w:rPr>
          <w:rFonts w:ascii="Times New Roman" w:hAnsi="Times New Roman" w:eastAsia="仿宋"/>
          <w:b w:val="0"/>
          <w:sz w:val="24"/>
        </w:rPr>
        <w:t>一、腾龙湾区数据中心项目《建设报告》（20260831）现报送稿不宜出具肯定性两高审查意见。本轮形成的是问题清单与补正要求，不构成对建设规模、年综合能耗量、年加权 PUE、绿电比例、能耗替代方式、选址环境相容性及主体责任的任何肯定性结论。不得表述为“原则同意”“基本同意”或“条件具备、补正后实施”。</w:t>
      </w:r>
    </w:p>
    <w:p>
      <w:pPr>
        <w:spacing w:before="0" w:after="0"/>
        <w:ind w:firstLine="480"/>
      </w:pPr>
      <w:r>
        <w:rPr>
          <w:rFonts w:ascii="Times New Roman" w:hAnsi="Times New Roman" w:eastAsia="仿宋"/>
          <w:b w:val="0"/>
          <w:sz w:val="24"/>
        </w:rPr>
        <w:t>二、程序上，本项目属 320 号项下大型及以上算力基础设施，全部纳入“窗口指导”范围且不分投资主体，有限责任公司（外国法人独资）不构成豁免事由；稿内未见已通过“窗口指导”的证明。在窗口结论形成前，两高审查不具备可依赖的前置结论，故不予出具肯定性意见。本件不出具本项目的窗口指导意见，窗口事项另行安排。</w:t>
      </w:r>
    </w:p>
    <w:p>
      <w:pPr>
        <w:spacing w:before="0" w:after="0"/>
        <w:ind w:firstLine="480"/>
      </w:pPr>
      <w:r>
        <w:rPr>
          <w:rFonts w:ascii="Times New Roman" w:hAnsi="Times New Roman" w:eastAsia="仿宋"/>
          <w:b w:val="0"/>
          <w:sz w:val="24"/>
        </w:rPr>
        <w:t>三、审查对象尚未唯一。报送稿并列整体 202MW、机柜逐项算术 202.92768MW 与一期 136MW；经复核，年电量、年综合能耗与 PUE 均按整体满载口径测算，一期 136MW 无对应能耗测算（一期满载年电量 11.9136 亿 kWh 与稿载 20.8589 亿 kWh 相差 8.9453 亿 kWh）。依 320 号禁止报小建大、分期按累计规模计的要求，一期不得作为降档审查的边界。在申请人书面冻结唯一口径并按累计规模重出能耗测算前，本件不将任一规模作为审查或统计口径。</w:t>
      </w:r>
    </w:p>
    <w:p>
      <w:pPr>
        <w:spacing w:before="0" w:after="0"/>
        <w:ind w:firstLine="480"/>
      </w:pPr>
      <w:r>
        <w:rPr>
          <w:rFonts w:ascii="Times New Roman" w:hAnsi="Times New Roman" w:eastAsia="仿宋"/>
          <w:b w:val="0"/>
          <w:sz w:val="24"/>
        </w:rPr>
        <w:t>四、下列事项本轮不予确认：本项目的申报规模及其对应投资额；年综合能耗当量值 256355.86 tce 与等价值 591746.09 tce（能源品种边界不完整、折标系数待统一、存量增量未分列）；设计 PUE 1.173 作为投运年度加权值；绿电 100% 或“争取约 20%”的任一比例；以购买绿证充抵能耗替代；选址与居住区、中学操场等敏感点的环境相容性；“新建”的项目性质表述；投资、建设、运营三主体的能耗与环境责任闭环；本址布局与“东数西算”要求相符。</w:t>
      </w:r>
    </w:p>
    <w:p>
      <w:pPr>
        <w:spacing w:before="160" w:after="0"/>
        <w:ind w:firstLine="560"/>
      </w:pPr>
      <w:r>
        <w:rPr>
          <w:rFonts w:ascii="Times New Roman" w:hAnsi="Times New Roman" w:eastAsia="楷体"/>
          <w:b/>
          <w:sz w:val="28"/>
        </w:rPr>
        <w:t>（二）分项判断</w:t>
      </w:r>
    </w:p>
    <w:p>
      <w:pPr>
        <w:spacing w:before="0" w:after="0"/>
        <w:ind w:firstLine="480"/>
      </w:pPr>
      <w:r>
        <w:rPr>
          <w:rFonts w:ascii="Times New Roman" w:hAnsi="Times New Roman" w:eastAsia="仿宋"/>
          <w:b w:val="0"/>
          <w:sz w:val="24"/>
        </w:rPr>
        <w:t>一、能耗章节完整但不等于闭合。本报告已含年综合能源消费量、PUE、绿电供给与能耗替代专章，算术基本可复核（PUE 1.1734、当量系数 1.229、机柜合计 202927.68kW、标准架 81171.07 个均能对上）。该完整性优于同期另一项目的窗口申请书，但完整性只是可审性的前提，不是通过审查的依据。</w:t>
      </w:r>
    </w:p>
    <w:p>
      <w:pPr>
        <w:spacing w:before="0" w:after="0"/>
        <w:ind w:firstLine="480"/>
      </w:pPr>
      <w:r>
        <w:rPr>
          <w:rFonts w:ascii="Times New Roman" w:hAnsi="Times New Roman" w:eastAsia="仿宋"/>
          <w:b w:val="0"/>
          <w:sz w:val="24"/>
        </w:rPr>
        <w:t>二、能源品种边界不完整。经复核，当量值 256355.86 tce 与年总电量按 1.229 折算结果仅差 0.021 tce，说明能耗量仅由电量折算，柴油等非电能源未计入，而稿内确已设置 160 立方米埋地油罐。年综合能耗量因此被低估，替代量核定亦受影响。</w:t>
      </w:r>
    </w:p>
    <w:p>
      <w:pPr>
        <w:spacing w:before="0" w:after="0"/>
        <w:ind w:firstLine="480"/>
      </w:pPr>
      <w:r>
        <w:rPr>
          <w:rFonts w:ascii="Times New Roman" w:hAnsi="Times New Roman" w:eastAsia="仿宋"/>
          <w:b w:val="0"/>
          <w:sz w:val="24"/>
        </w:rPr>
        <w:t>三、年加权 PUE 未闭合。1.173 由整体满载年电量比值算得，IT 侧按负荷率 1.0、8760 小时计；逐月负荷、爬坡曲线与部分负载效率未见。设计值高度依赖 96.59% 的液冷占比，而客户侧是否全部采用液冷服务器无从判断。1.173 低于 320 号 1.25 的控制要求仅在满载设计点上成立，不能延伸至年加权值。</w:t>
      </w:r>
    </w:p>
    <w:p>
      <w:pPr>
        <w:spacing w:before="0" w:after="0"/>
        <w:ind w:firstLine="480"/>
      </w:pPr>
      <w:r>
        <w:rPr>
          <w:rFonts w:ascii="Times New Roman" w:hAnsi="Times New Roman" w:eastAsia="仿宋"/>
          <w:b w:val="0"/>
          <w:sz w:val="24"/>
        </w:rPr>
        <w:t>四、绿电未闭合且自相矛盾。结论章 100% 与背景章“争取约 20%”相差五倍，按年电量分别对应 20.8589 亿 kWh 与 4.17178 亿 kWh，相差 16.68712 亿 kWh。实现方式为“拟签约”加购买绿证，本址物理电量路径缺位。绿证与省外合同不能无条件顶替年度绿电占比；320 号项下 80% 属优先支持门槛而非已实现结论。</w:t>
      </w:r>
    </w:p>
    <w:p>
      <w:pPr>
        <w:spacing w:before="0" w:after="0"/>
        <w:ind w:firstLine="480"/>
      </w:pPr>
      <w:r>
        <w:rPr>
          <w:rFonts w:ascii="Times New Roman" w:hAnsi="Times New Roman" w:eastAsia="仿宋"/>
          <w:b w:val="0"/>
          <w:sz w:val="24"/>
        </w:rPr>
        <w:t>五、能耗替代未闭合。报送稿自认单位工业增加值能耗 4.569 吨标准煤/万元为所引佛山规模以上工业口径 2.42 的 1.888 倍，而替代措施仅为购买绿证，替代量、来源项目、来源年度与凭证均未见。以绿证充抵替代本轮不予采纳；4.569 与 2.42 的口径可比性亦待核。</w:t>
      </w:r>
    </w:p>
    <w:p>
      <w:pPr>
        <w:spacing w:before="0" w:after="0"/>
        <w:ind w:firstLine="480"/>
      </w:pPr>
      <w:r>
        <w:rPr>
          <w:rFonts w:ascii="Times New Roman" w:hAnsi="Times New Roman" w:eastAsia="仿宋"/>
          <w:b w:val="0"/>
          <w:sz w:val="24"/>
        </w:rPr>
        <w:t>六、敏感点未闭合。项目东侧多层居住、西侧紧贴太平中学操场、南侧临太平中学大道，并设 160 立方米埋地油罐；最近距离、柴发机组台数与容量、排气口位置、噪声与废气预测、防渗防火与事故风险结论均未见。</w:t>
      </w:r>
    </w:p>
    <w:p>
      <w:pPr>
        <w:spacing w:before="0" w:after="0"/>
        <w:ind w:firstLine="480"/>
      </w:pPr>
      <w:r>
        <w:rPr>
          <w:rFonts w:ascii="Times New Roman" w:hAnsi="Times New Roman" w:eastAsia="仿宋"/>
          <w:b w:val="0"/>
          <w:sz w:val="24"/>
        </w:rPr>
        <w:t>七、项目性质与能耗基线未闭合。2024 年已有约 1.34 亿元主体工程转固，与“新建”表述冲突；申报能耗量是全量还是增量未分列，已完工工程是否计入投资额未说明；依 320 号该项目应按存量项目处理，其分类标志（开工许可证取得状态）待核。</w:t>
      </w:r>
    </w:p>
    <w:p>
      <w:pPr>
        <w:spacing w:before="0" w:after="0"/>
        <w:ind w:firstLine="480"/>
      </w:pPr>
      <w:r>
        <w:rPr>
          <w:rFonts w:ascii="Times New Roman" w:hAnsi="Times New Roman" w:eastAsia="仿宋"/>
          <w:b w:val="0"/>
          <w:sz w:val="24"/>
        </w:rPr>
        <w:t>八、责任主体未闭合。建设、投资、运营主体分列，能耗指标、环境责任与替代义务的承担主体未明；建设主体近三年营业收入为零、处于建设期亏损，出资与履约能力待核。</w:t>
      </w:r>
    </w:p>
    <w:p>
      <w:pPr>
        <w:spacing w:before="0" w:after="0"/>
        <w:ind w:firstLine="480"/>
      </w:pPr>
      <w:r>
        <w:rPr>
          <w:rFonts w:ascii="Times New Roman" w:hAnsi="Times New Roman" w:eastAsia="仿宋"/>
          <w:b w:val="0"/>
          <w:sz w:val="24"/>
        </w:rPr>
        <w:t>九、程序性依据待核。粤工信信软〔2020〕73 号规划期已止于 2025 年；广东省《节能审查和碳排放评价实施办法》红头原件未核，本件不引其条文。节能审查与碳排放评价的受理层级、文本要求与时限，由申请人按现行有效文件补齐。</w:t>
      </w:r>
    </w:p>
    <w:p>
      <w:pPr>
        <w:spacing w:before="160" w:after="0"/>
        <w:ind w:firstLine="560"/>
      </w:pPr>
      <w:r>
        <w:rPr>
          <w:rFonts w:ascii="Times New Roman" w:hAnsi="Times New Roman" w:eastAsia="楷体"/>
          <w:b/>
          <w:sz w:val="28"/>
        </w:rPr>
        <w:t>（三）风险分类建议</w:t>
      </w:r>
    </w:p>
    <w:p>
      <w:pPr>
        <w:spacing w:before="0" w:after="0"/>
        <w:ind w:firstLine="480"/>
      </w:pPr>
      <w:r>
        <w:rPr>
          <w:rFonts w:ascii="Times New Roman" w:hAnsi="Times New Roman" w:eastAsia="仿宋"/>
          <w:b w:val="0"/>
          <w:sz w:val="24"/>
        </w:rPr>
        <w:t>依 320 号的风险分类要求（非高风险／高风险，条款页码待核），并结合该文所列评估要素（主体实力、区域产业布局、应用需求、绿电、资金、经济效益、技术人才、国产生态），建议将本项目在两高环节列为高风险，理由如下：</w:t>
      </w:r>
    </w:p>
    <w:p>
      <w:pPr>
        <w:spacing w:before="0" w:after="0"/>
        <w:ind w:firstLine="480"/>
      </w:pPr>
      <w:r>
        <w:rPr>
          <w:rFonts w:ascii="Times New Roman" w:hAnsi="Times New Roman" w:eastAsia="仿宋"/>
          <w:b w:val="0"/>
          <w:sz w:val="24"/>
        </w:rPr>
        <w:t>一、程序要素：未见“窗口指导”结论，两高审查缺前置；且本项目依 320 号应按存量项目申请窗口指导，其“新建”表述与 2024 年已转固事实冲突。</w:t>
      </w:r>
    </w:p>
    <w:p>
      <w:pPr>
        <w:spacing w:before="0" w:after="0"/>
        <w:ind w:firstLine="480"/>
      </w:pPr>
      <w:r>
        <w:rPr>
          <w:rFonts w:ascii="Times New Roman" w:hAnsi="Times New Roman" w:eastAsia="仿宋"/>
          <w:b w:val="0"/>
          <w:sz w:val="24"/>
        </w:rPr>
        <w:t>二、区域产业布局要素：大型及以上项目布局在国家枢纽节点算力中心集群起步区之外的可能性未排除，与 320 号“国家枢纽节点外原则上不得新建各类大型及超大型算力中心”的关系未论证。按整体口径，本项目为设计功率阈值的 27.06 倍，属该条约束的典型对象。</w:t>
      </w:r>
    </w:p>
    <w:p>
      <w:pPr>
        <w:spacing w:before="0" w:after="0"/>
        <w:ind w:firstLine="480"/>
      </w:pPr>
      <w:r>
        <w:rPr>
          <w:rFonts w:ascii="Times New Roman" w:hAnsi="Times New Roman" w:eastAsia="仿宋"/>
          <w:b w:val="0"/>
          <w:sz w:val="24"/>
        </w:rPr>
        <w:t>三、绿电要素：同一报告出现 100% 与“争取约 20%”两个相差五倍的比例，实现方式为“拟签约”加购买绿证，本址物理电量路径缺位。</w:t>
      </w:r>
    </w:p>
    <w:p>
      <w:pPr>
        <w:spacing w:before="0" w:after="0"/>
        <w:ind w:firstLine="480"/>
      </w:pPr>
      <w:r>
        <w:rPr>
          <w:rFonts w:ascii="Times New Roman" w:hAnsi="Times New Roman" w:eastAsia="仿宋"/>
          <w:b w:val="0"/>
          <w:sz w:val="24"/>
        </w:rPr>
        <w:t>四、用能安放要素：能耗量仅由电量折算、柴油未计入，等价折标系数与同期另一稿不一致，存量与增量未分列；自认能耗强度为所引比较值的 1.888 倍而替代仅为购买绿证。591746.09 tce 等价值的能耗空间来源未明。</w:t>
      </w:r>
    </w:p>
    <w:p>
      <w:pPr>
        <w:spacing w:before="0" w:after="0"/>
        <w:ind w:firstLine="480"/>
      </w:pPr>
      <w:r>
        <w:rPr>
          <w:rFonts w:ascii="Times New Roman" w:hAnsi="Times New Roman" w:eastAsia="仿宋"/>
          <w:b w:val="0"/>
          <w:sz w:val="24"/>
        </w:rPr>
        <w:t>五、能效要素：1.173 为整体满载设计点，年加权值缺位，且高度依赖 96.59% 的液冷占比，客户侧适配无证据。</w:t>
      </w:r>
    </w:p>
    <w:p>
      <w:pPr>
        <w:spacing w:before="0" w:after="0"/>
        <w:ind w:firstLine="480"/>
      </w:pPr>
      <w:r>
        <w:rPr>
          <w:rFonts w:ascii="Times New Roman" w:hAnsi="Times New Roman" w:eastAsia="仿宋"/>
          <w:b w:val="0"/>
          <w:sz w:val="24"/>
        </w:rPr>
        <w:t>六、环境与选址要素：紧邻多层居住区与中学操场，设 160 立方米埋地油罐，柴发机组台数容量与全部专项结论缺位。</w:t>
      </w:r>
    </w:p>
    <w:p>
      <w:pPr>
        <w:spacing w:before="0" w:after="0"/>
        <w:ind w:firstLine="480"/>
      </w:pPr>
      <w:r>
        <w:rPr>
          <w:rFonts w:ascii="Times New Roman" w:hAnsi="Times New Roman" w:eastAsia="仿宋"/>
          <w:b w:val="0"/>
          <w:sz w:val="24"/>
        </w:rPr>
        <w:t>七、主体实力与资金要素：建设、投资、运营主体分列且责任未闭合，建设主体近三年营业收入为零、处于建设期亏损，能耗与环境责任的最终承担主体不确定。</w:t>
      </w:r>
    </w:p>
    <w:p>
      <w:pPr>
        <w:spacing w:before="0" w:after="0"/>
        <w:ind w:firstLine="480"/>
      </w:pPr>
      <w:r>
        <w:rPr>
          <w:rFonts w:ascii="Times New Roman" w:hAnsi="Times New Roman" w:eastAsia="仿宋"/>
          <w:b w:val="0"/>
          <w:sz w:val="24"/>
        </w:rPr>
        <w:t>应用需求、经济效益、技术人才、国产生态四项要素属“窗口指导”环节的评估内容，本件不并入两高结论；但报送稿摘录中未见同址已签约或意向客户清单，该缺位已对第 8 条所述负荷爬坡与年加权 PUE 的可证性构成影响，一并提请窗口环节关注。公司类型为外国法人独资，本身不构成风险等级的加重或减轻事由，但依 320 号不构成纳入范围的豁免事由。</w:t>
      </w:r>
    </w:p>
    <w:p>
      <w:pPr>
        <w:spacing w:before="240" w:after="80"/>
        <w:ind w:firstLine="600"/>
      </w:pPr>
      <w:r>
        <w:rPr>
          <w:rFonts w:ascii="Times New Roman" w:hAnsi="Times New Roman" w:eastAsia="黑体"/>
          <w:b w:val="0"/>
          <w:sz w:val="30"/>
        </w:rPr>
        <w:t>五、补正清单</w:t>
      </w:r>
    </w:p>
    <w:p>
      <w:pPr>
        <w:spacing w:before="0" w:after="0"/>
        <w:ind w:firstLine="480"/>
      </w:pPr>
      <w:r>
        <w:rPr>
          <w:rFonts w:ascii="Times New Roman" w:hAnsi="Times New Roman" w:eastAsia="仿宋"/>
          <w:b w:val="0"/>
          <w:sz w:val="24"/>
        </w:rPr>
        <w:t>综合上述，建议本项目两高材料退回补正，补正齐备后另行安排审查。补正事项如下：</w:t>
      </w:r>
    </w:p>
    <w:p>
      <w:pPr>
        <w:spacing w:before="0" w:after="0"/>
        <w:ind w:firstLine="480"/>
      </w:pPr>
      <w:r>
        <w:rPr>
          <w:rFonts w:ascii="Times New Roman" w:hAnsi="Times New Roman" w:eastAsia="仿宋"/>
          <w:b w:val="0"/>
          <w:sz w:val="24"/>
        </w:rPr>
        <w:t>一、程序前置。提交“窗口指导”申请材料、受理凭证及结论文件；说明项目审批、备案现状、开工许可证取得状态及是否属 320 号印发前存量项目，并附证明。窗口结论形成前不得据本报告出具肯定性两高意见。</w:t>
      </w:r>
    </w:p>
    <w:p>
      <w:pPr>
        <w:spacing w:before="0" w:after="0"/>
        <w:ind w:firstLine="480"/>
      </w:pPr>
      <w:r>
        <w:rPr>
          <w:rFonts w:ascii="Times New Roman" w:hAnsi="Times New Roman" w:eastAsia="仿宋"/>
          <w:b w:val="0"/>
          <w:sz w:val="24"/>
        </w:rPr>
        <w:t>二、布局相符性。提交本址与国家枢纽节点算力中心集群起步区范围的位置关系说明及依据文件；按 320 号附件 2 补填是否位于十个国家数据中心集群起步区内、是否位于西部大型风电光伏基地内、是否利用当地自然条件天然优势；说明是否属国家有关方案明确布局的项目；在集群起步区外的，说明符合布局要求的依据。</w:t>
      </w:r>
    </w:p>
    <w:p>
      <w:pPr>
        <w:spacing w:before="0" w:after="0"/>
        <w:ind w:firstLine="480"/>
      </w:pPr>
      <w:r>
        <w:rPr>
          <w:rFonts w:ascii="Times New Roman" w:hAnsi="Times New Roman" w:eastAsia="仿宋"/>
          <w:b w:val="0"/>
          <w:sz w:val="24"/>
        </w:rPr>
        <w:t>三、冻结唯一核算对象。书面确认本次唯一申报口径，并按累计整体规模重出机柜清单、楼栋与模块划分、投资额、用地、变电容量、年用电量、当量值与等价值能耗量、单位工业增加值能耗及投产计划；确需分期的，分列各期规模、投产时点与累计能耗，并说明整体、一期与差额段单位投资差异（2060.34、2317.65、1537.48 万元/MW）的构成。</w:t>
      </w:r>
    </w:p>
    <w:p>
      <w:pPr>
        <w:spacing w:before="0" w:after="0"/>
        <w:ind w:firstLine="480"/>
      </w:pPr>
      <w:r>
        <w:rPr>
          <w:rFonts w:ascii="Times New Roman" w:hAnsi="Times New Roman" w:eastAsia="仿宋"/>
          <w:b w:val="0"/>
          <w:sz w:val="24"/>
        </w:rPr>
        <w:t>四、补全能源品种边界。补列柴油及其他非电能源品种的年消耗量、折标系数与折标结果，计入当量值与等价值后重出合计数；补列柴发机组台数、单机容量、总装机容量、年运行小时与油耗，并说明市电中断、限电及应急带载情景下的油耗是否计入能耗边界。</w:t>
      </w:r>
    </w:p>
    <w:p>
      <w:pPr>
        <w:spacing w:before="0" w:after="0"/>
        <w:ind w:firstLine="480"/>
      </w:pPr>
      <w:r>
        <w:rPr>
          <w:rFonts w:ascii="Times New Roman" w:hAnsi="Times New Roman" w:eastAsia="仿宋"/>
          <w:b w:val="0"/>
          <w:sz w:val="24"/>
        </w:rPr>
        <w:t>五、统一折标系数。说明电力等价折标系数的出处、发布机关、适用年度与文号，与同期其他报送稿统一（本稿反算 2.8369、另一稿 2.8534，相差 0.0165），并按统一系数重出等价值。</w:t>
      </w:r>
    </w:p>
    <w:p>
      <w:pPr>
        <w:spacing w:before="0" w:after="0"/>
        <w:ind w:firstLine="480"/>
      </w:pPr>
      <w:r>
        <w:rPr>
          <w:rFonts w:ascii="Times New Roman" w:hAnsi="Times New Roman" w:eastAsia="仿宋"/>
          <w:b w:val="0"/>
          <w:sz w:val="24"/>
        </w:rPr>
        <w:t>六、重做年加权 PUE。按投运爬坡与达产分别给出逐月 IT 负荷、制冷及其他辅助用电，计算投运首年与达产年加权值；分列风冷与液冷的制冷电量与分系统 PUE；说明冷板液冷 7056 台的投建时点、覆盖范围与客户侧适配安排，以及液冷比例低于 96.59% 时 PUE 与能耗量的变化。不得以满载 1.173 代替年加权值。</w:t>
      </w:r>
    </w:p>
    <w:p>
      <w:pPr>
        <w:spacing w:before="0" w:after="0"/>
        <w:ind w:firstLine="480"/>
      </w:pPr>
      <w:r>
        <w:rPr>
          <w:rFonts w:ascii="Times New Roman" w:hAnsi="Times New Roman" w:eastAsia="仿宋"/>
          <w:b w:val="0"/>
          <w:sz w:val="24"/>
        </w:rPr>
        <w:t>七、统一并落实绿电。逐处核实并统一绿电比例表述，说明结论章 100% 与背景章“争取约 20%”何者为申报值及其依据；按年度列明本址物理结算绿电电量、绿证数量、环境权益归属与注销主体、计量点与交易主体；提交已签署的电力交易合同或具备约束力的供电协议，未签署的不得写成已落实。绿证与省外合同不得顶替年度绿电占比。</w:t>
      </w:r>
    </w:p>
    <w:p>
      <w:pPr>
        <w:spacing w:before="0" w:after="0"/>
        <w:ind w:firstLine="480"/>
      </w:pPr>
      <w:r>
        <w:rPr>
          <w:rFonts w:ascii="Times New Roman" w:hAnsi="Times New Roman" w:eastAsia="仿宋"/>
          <w:b w:val="0"/>
          <w:sz w:val="24"/>
        </w:rPr>
        <w:t>八、重写能耗替代。列明替代量、来源项目、来源年度、落实凭证及权利人，并与 256355.86 tce 当量值、591746.09 tce 等价值建立对应关系；说明 4.569 吨标准煤/万元的计算过程与与 2.42 的可比性；补充针对高能耗强度的实质性节能措施。以购买绿证充抵替代的，不予采纳。</w:t>
      </w:r>
    </w:p>
    <w:p>
      <w:pPr>
        <w:spacing w:before="0" w:after="0"/>
        <w:ind w:firstLine="480"/>
      </w:pPr>
      <w:r>
        <w:rPr>
          <w:rFonts w:ascii="Times New Roman" w:hAnsi="Times New Roman" w:eastAsia="仿宋"/>
          <w:b w:val="0"/>
          <w:sz w:val="24"/>
        </w:rPr>
        <w:t>九、补齐敏感点专项结论。在总平面图上标注住宅、教学区、操场、机房、冷却设备、柴发机组、排气口与 160 立方米埋地油罐的相互最近距离；提交噪声、废气、防渗、防火、危险化学品管理与事故风险专项结论；不满足敏感点约束的，提出总图或规模调整方案及其对建设规模的影响。</w:t>
      </w:r>
    </w:p>
    <w:p>
      <w:pPr>
        <w:spacing w:before="0" w:after="0"/>
        <w:ind w:firstLine="480"/>
      </w:pPr>
      <w:r>
        <w:rPr>
          <w:rFonts w:ascii="Times New Roman" w:hAnsi="Times New Roman" w:eastAsia="仿宋"/>
          <w:b w:val="0"/>
          <w:sz w:val="24"/>
        </w:rPr>
        <w:t>十、澄清项目性质与能耗基线。说明约 1.34 亿元转固资产的内容、位置、权属及是否包含用能设施与其现有能耗；明确申报能耗量为全量还是增量并分列；说明已完工工程是否计入投资额与申报规模；据实修正“新建”表述。</w:t>
      </w:r>
    </w:p>
    <w:p>
      <w:pPr>
        <w:spacing w:before="0" w:after="0"/>
        <w:ind w:firstLine="480"/>
      </w:pPr>
      <w:r>
        <w:rPr>
          <w:rFonts w:ascii="Times New Roman" w:hAnsi="Times New Roman" w:eastAsia="仿宋"/>
          <w:b w:val="0"/>
          <w:sz w:val="24"/>
        </w:rPr>
        <w:t>十一、统一机柜与楼栋口径。说明 1#、2# 模块定义与单模块机柜数差异（0.4 与 0.5MW/模块），列出全部楼栋编号、模块数与功率并加总到冻结口径（现可见两栋合计 96MW，与整体相差 106.93MW）；说明公司介绍 20000 个 6kW 机架（120MW）与项目明细 202.92768MW 相差 82.93MW 的原因；提供实物机柜、2.5kW 标准机架折合数与 IT 功率的换算表，标准机架仅用于附件 1 分档折合。</w:t>
      </w:r>
    </w:p>
    <w:p>
      <w:pPr>
        <w:spacing w:before="0" w:after="0"/>
        <w:ind w:firstLine="480"/>
      </w:pPr>
      <w:r>
        <w:rPr>
          <w:rFonts w:ascii="Times New Roman" w:hAnsi="Times New Roman" w:eastAsia="仿宋"/>
          <w:b w:val="0"/>
          <w:sz w:val="24"/>
        </w:rPr>
        <w:t>十二、闭合责任主体与资金链。以股权结构、投融资协议、建设合同与资金流向，明确投资、建设、土地取得、资产持有、电力与绿电交易签约、能耗指标与环境责任、能耗替代义务的承担主体；就近三年营业收入为零、建设期亏损的情况说明出资能力与资金来源。</w:t>
      </w:r>
    </w:p>
    <w:p>
      <w:pPr>
        <w:spacing w:before="0" w:after="0"/>
        <w:ind w:firstLine="480"/>
      </w:pPr>
      <w:r>
        <w:rPr>
          <w:rFonts w:ascii="Times New Roman" w:hAnsi="Times New Roman" w:eastAsia="仿宋"/>
          <w:b w:val="0"/>
          <w:sz w:val="24"/>
        </w:rPr>
        <w:t>十三、锁定电量口径。后续报送的电费、运营成本与财务测算，须按含 IT、制冷及其他辅助用电的年总电量口径计列，并与本报告的年电量 20.8589 亿 kWh、辅助电量 3.0824 亿 kWh 对齐；不得使用仅计 IT 电量、隐含 PUE＝1.0 的计法。</w:t>
      </w:r>
    </w:p>
    <w:p>
      <w:pPr>
        <w:spacing w:before="0" w:after="0"/>
        <w:ind w:firstLine="480"/>
      </w:pPr>
      <w:r>
        <w:rPr>
          <w:rFonts w:ascii="Times New Roman" w:hAnsi="Times New Roman" w:eastAsia="仿宋"/>
          <w:b w:val="0"/>
          <w:sz w:val="24"/>
        </w:rPr>
        <w:t>十四、更新政策依据。说明粤工信信软〔2020〕73 号在 2026 年引用的效力与用途；补充截至报送时仍在执行的逐项依据、文号、条款与有效期；按报送时现行有效文件列明节能审查与碳排放评价的受理层级、文本要求、时限及与“窗口指导”的衔接。本件未核的红头文件不得作为已核依据引用。</w:t>
      </w:r>
    </w:p>
    <w:p>
      <w:pPr>
        <w:spacing w:before="0" w:after="0"/>
        <w:ind w:firstLine="480"/>
      </w:pPr>
      <w:r>
        <w:rPr>
          <w:rFonts w:ascii="Times New Roman" w:hAnsi="Times New Roman" w:eastAsia="仿宋"/>
          <w:b w:val="0"/>
          <w:sz w:val="24"/>
        </w:rPr>
        <w:t>十五、本件不构成对项目的任何肯定性评价，亦不得作为项目开工、用地、用能、供电、备案、能耗替代和融资的依据。</w:t>
      </w:r>
    </w:p>
    <w:sectPr w:rsidR="00FC693F" w:rsidRPr="0006063C" w:rsidSect="00034616">
      <w:footerReference w:type="default" r:id="rId9"/>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仿宋"/>
        <w:b w:val="0"/>
        <w:sz w:val="21"/>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60" w:after="0"/>
    </w:pPr>
    <w:rPr>
      <w:rFonts w:ascii="Times New Roman" w:hAnsi="Times New Roman"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