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第三篇附　南网能源公司产品介绍板块：新产品发布系列</w:t>
      </w:r>
    </w:p>
    <w:p>
      <w:pPr/>
      <w:r>
        <w:t>本板块汇辑南网能源公司系列新产品发布图文报告《节能降碳与综合能源服务产品矩阵（一图读懂合集）》（共七期）之主要内容，作为第三篇“南网能源篇”之附属材料，供读者对照本篇第九章至第十六章阅读。各期均按“封面导语—政策背景—客户痛点—核心服务—合作模式—客户收益—典型案例—行动号召”之顺序编排，体例一律。</w:t>
      </w:r>
    </w:p>
    <w:p>
      <w:pPr/>
      <w:r>
        <w:t>2026年是“十五五”开局之年。两办出台《碳达峰碳中和综合评价考核办法》《关于更高水平更高质量做好节能降碳工作的意见》《美丽中国建设成效考核办法》。从能耗双控到碳排放双控。南网能源公司作为深耕节能降碳与综合能源服务16年的排头兵，提供从能源规划、方案设计、项目投建到运营运维一体化服务。</w:t>
      </w:r>
    </w:p>
    <w:p>
      <w:pPr/>
      <w:r>
        <w:t>【编辑说明：本板块各期正文按系列新产品发布图文报告抽文本照录，数字、政策文件名、案例名称一仍其旧。凡抽文本仅有标题或未收录之节，均以【内容待收集】标注（其正文在一图读懂长图中），不得代拟。各期刊头图　题注照录。】</w:t>
      </w:r>
    </w:p>
    <w:p>
      <w:pPr>
        <w:pStyle w:val="Heading2"/>
      </w:pPr>
      <w:r>
        <w:t>新产品发布系列（一）：工业气体</w:t>
      </w:r>
    </w:p>
    <w:p>
      <w:pPr/>
      <w:r>
        <w:t>系统治理　·　定制化服务　·　全链条一揽子解决方案</w:t>
      </w:r>
    </w:p>
    <w:p>
      <w:pPr>
        <w:pStyle w:val="图注"/>
      </w:pPr>
      <w:r>
        <w:t>图　（一）工业气体　刊头</w:t>
      </w:r>
    </w:p>
    <w:p>
      <w:pPr>
        <w:pStyle w:val="Heading3"/>
      </w:pPr>
      <w:r>
        <w:t>一、封面导语</w:t>
      </w:r>
    </w:p>
    <w:p>
      <w:pPr/>
      <w:r>
        <w:t>国家节能降碳攻坚三年行动全面落地，高耗能工业企业面临环保升级、碳核查、能耗成本持续上涨多重压力。空压、集中供、制氧、制氮、制气产线仍普遍存在能耗高、能效浪费大、运维繁琐、故障停产频发等痛点。南网能源公司推出空压站全托管、现场制氮制氧制氩、热电联产、空压机余热余压回收、工业供冷暖通洁净车间、数智化平台管控等一站式智慧能源服务。</w:t>
      </w:r>
    </w:p>
    <w:p>
      <w:pPr>
        <w:pStyle w:val="Heading3"/>
      </w:pPr>
      <w:r>
        <w:t>二、政策背景</w:t>
      </w:r>
    </w:p>
    <w:p>
      <w:pPr/>
      <w:r>
        <w:t>政策导向｜2026–2028工业领域节能降碳攻坚行动。</w:t>
      </w:r>
    </w:p>
    <w:p>
      <w:pPr/>
      <w:r>
        <w:t>政策硬性要求（必落实）</w:t>
      </w:r>
    </w:p>
    <w:p>
      <w:pPr/>
      <w:r>
        <w:t>【内容待收集：抽文本该节仅有标题，正文在一图读懂长图中，勿代拟】</w:t>
      </w:r>
    </w:p>
    <w:p>
      <w:pPr/>
      <w:r>
        <w:t>企业可享政策红利</w:t>
      </w:r>
    </w:p>
    <w:p>
      <w:pPr/>
      <w:r>
        <w:t>【内容待收集：抽文本该节仅有标题，正文在一图读懂长图中，勿代拟】</w:t>
      </w:r>
    </w:p>
    <w:p>
      <w:pPr>
        <w:pStyle w:val="Heading3"/>
      </w:pPr>
      <w:r>
        <w:t>三、客户痛点</w:t>
      </w:r>
    </w:p>
    <w:p>
      <w:pPr/>
      <w:r>
        <w:t>工厂传统能源系统普遍痛点</w:t>
      </w:r>
    </w:p>
    <w:p>
      <w:pPr/>
      <w:r>
        <w:t>【内容待收集：抽文本该节仅有标题，正文在一图读懂长图中，勿代拟】</w:t>
      </w:r>
    </w:p>
    <w:p>
      <w:pPr>
        <w:pStyle w:val="Heading3"/>
      </w:pPr>
      <w:r>
        <w:t>四、核心服务</w:t>
      </w:r>
    </w:p>
    <w:p>
      <w:pPr/>
      <w:r>
        <w:t>五大核心综合服务</w:t>
      </w:r>
    </w:p>
    <w:p>
      <w:pPr/>
      <w:r>
        <w:t>【内容待收集：抽文本该节仅有标题，正文在一图读懂长图中，勿代拟】</w:t>
      </w:r>
    </w:p>
    <w:p>
      <w:pPr>
        <w:pStyle w:val="Heading3"/>
      </w:pPr>
      <w:r>
        <w:t>五、合作模式</w:t>
      </w:r>
    </w:p>
    <w:p>
      <w:pPr/>
      <w:r>
        <w:t>【内容待收集：抽文本该节仅有标题，正文在一图读懂长图中，勿代拟】</w:t>
      </w:r>
    </w:p>
    <w:p>
      <w:pPr>
        <w:pStyle w:val="Heading3"/>
      </w:pPr>
      <w:r>
        <w:t>六、客户收益</w:t>
      </w:r>
    </w:p>
    <w:p>
      <w:pPr/>
      <w:r>
        <w:t>企业七大核心收益</w:t>
      </w:r>
    </w:p>
    <w:p>
      <w:pPr/>
      <w:r>
        <w:t>【内容待收集：抽文本该节仅有标题，正文在一图读懂长图中，勿代拟】</w:t>
      </w:r>
    </w:p>
    <w:p>
      <w:pPr>
        <w:pStyle w:val="Heading3"/>
      </w:pPr>
      <w:r>
        <w:t>七、典型案例</w:t>
      </w:r>
    </w:p>
    <w:p>
      <w:pPr/>
      <w:r>
        <w:t>案例一：某电子制造工厂BOT供气、供冷综合能源项目。BOT模式，投资建设智慧能源站，含空压综合系统维保、制冷、制气，负责10年内合同期运行维护。每年节省综合能耗约480万元/年。</w:t>
      </w:r>
    </w:p>
    <w:p>
      <w:pPr/>
      <w:r>
        <w:t>案例二：船厂空压站BOT供气服务项目。供气能力283m³/min，单机气耗4.83m³/min；节能率约达20%以上，综合运行功耗0.11kWh/m³左右。</w:t>
      </w:r>
    </w:p>
    <w:p>
      <w:pPr/>
      <w:r>
        <w:t>案例三：某玻纤工厂BOT综合能源供应服务项目。供气约20m³/min，供冷能力约某规模。永磁变频、离心式空压机、1.2MPa、余热回收、智慧空冷、数字平台。功耗≤0.11kWh/m³，年均综合节能约20%以上。</w:t>
      </w:r>
    </w:p>
    <w:p>
      <w:pPr>
        <w:pStyle w:val="Heading3"/>
      </w:pPr>
      <w:r>
        <w:t>八、行动号召</w:t>
      </w:r>
    </w:p>
    <w:p>
      <w:pPr/>
      <w:r>
        <w:t>若企业存在空压站能耗高、气源浪费、气瓶搬运风险、车间温湿度难控、余热浪费、能效考核压力等问题，可安排免费上门诊断。</w:t>
      </w:r>
    </w:p>
    <w:p>
      <w:pPr>
        <w:pStyle w:val="Heading2"/>
      </w:pPr>
      <w:r>
        <w:t>新产品发布系列（二）：新型储能</w:t>
      </w:r>
    </w:p>
    <w:p>
      <w:pPr>
        <w:pStyle w:val="图注"/>
      </w:pPr>
      <w:r>
        <w:t>图　（二）新型储能　刊头</w:t>
      </w:r>
    </w:p>
    <w:p>
      <w:pPr>
        <w:pStyle w:val="Heading3"/>
      </w:pPr>
      <w:r>
        <w:t>一、封面导语</w:t>
      </w:r>
    </w:p>
    <w:p>
      <w:pPr/>
      <w:r>
        <w:t>新型储能是新型电力系统的灵活性调节资源。南网能源推出电化学储能等全生命周期一站式服务，面向用电成本高企、峰谷价差套利不足、新能源消纳困难、配电网调压与负荷削峰、碳减排路径不清晰等痛点。</w:t>
      </w:r>
    </w:p>
    <w:p>
      <w:pPr>
        <w:pStyle w:val="Heading3"/>
      </w:pPr>
      <w:r>
        <w:t>二、政策背景</w:t>
      </w:r>
    </w:p>
    <w:p>
      <w:pPr/>
      <w:r>
        <w:t>《新型储能规模化建设专项行动方案（2025—2027年）》、新型能源体系建设“十五五”规划。</w:t>
      </w:r>
    </w:p>
    <w:p>
      <w:pPr/>
      <w:r>
        <w:t>【内容待收集：抽文本该节下设标题仅有标题，正文在一图读懂长图中，勿代拟】</w:t>
      </w:r>
    </w:p>
    <w:p>
      <w:pPr>
        <w:pStyle w:val="Heading3"/>
      </w:pPr>
      <w:r>
        <w:t>三、客户痛点</w:t>
      </w:r>
    </w:p>
    <w:p>
      <w:pPr/>
      <w:r>
        <w:t>【内容待收集：抽文本未含该节，勿代拟】</w:t>
      </w:r>
    </w:p>
    <w:p>
      <w:pPr>
        <w:pStyle w:val="Heading3"/>
      </w:pPr>
      <w:r>
        <w:t>四、核心服务</w:t>
      </w:r>
    </w:p>
    <w:p>
      <w:pPr/>
      <w:r>
        <w:t>【内容待收集：抽文本未含该节，勿代拟】</w:t>
      </w:r>
    </w:p>
    <w:p>
      <w:pPr>
        <w:pStyle w:val="Heading3"/>
      </w:pPr>
      <w:r>
        <w:t>五、合作模式</w:t>
      </w:r>
    </w:p>
    <w:p>
      <w:pPr/>
      <w:r>
        <w:t>【内容待收集：抽文本未含该节，勿代拟】</w:t>
      </w:r>
    </w:p>
    <w:p>
      <w:pPr>
        <w:pStyle w:val="Heading3"/>
      </w:pPr>
      <w:r>
        <w:t>六、客户收益</w:t>
      </w:r>
    </w:p>
    <w:p>
      <w:pPr/>
      <w:r>
        <w:t>【内容待收集：抽文本未含该节，勿代拟】</w:t>
      </w:r>
    </w:p>
    <w:p>
      <w:pPr>
        <w:pStyle w:val="Heading3"/>
      </w:pPr>
      <w:r>
        <w:t>七、典型案例</w:t>
      </w:r>
    </w:p>
    <w:p>
      <w:pPr/>
      <w:r>
        <w:t>案例一：某饮品企业5MW智慧绿电站配套1MW/2.32MWh用户侧储能。10台100kW/232kWh储能柜，3个0.4kV并网点接入3台专变低压侧。</w:t>
      </w:r>
    </w:p>
    <w:p>
      <w:pPr/>
      <w:r>
        <w:t>案例二：某造船企业15MW/30MWh储能，EMC模式，10kV并网，80台PCS、6套变流升压舱、2套开关站、1套EMS等。粤港澳大湾区船企中最大规模储能电站。</w:t>
      </w:r>
    </w:p>
    <w:p>
      <w:pPr>
        <w:pStyle w:val="Heading3"/>
      </w:pPr>
      <w:r>
        <w:t>八、行动号召</w:t>
      </w:r>
    </w:p>
    <w:p>
      <w:pPr/>
      <w:r>
        <w:t>面向工商业、产业园区、能源投资商的全生命周期一站式服务。</w:t>
      </w:r>
    </w:p>
    <w:p>
      <w:pPr>
        <w:pStyle w:val="Heading2"/>
      </w:pPr>
      <w:r>
        <w:t>新产品发布系列（三）：电能质量</w:t>
      </w:r>
    </w:p>
    <w:p>
      <w:pPr/>
      <w:r>
        <w:t>主动防控　·　精准治理　·　筑牢企业安全生产防线</w:t>
      </w:r>
    </w:p>
    <w:p>
      <w:pPr>
        <w:pStyle w:val="图注"/>
      </w:pPr>
      <w:r>
        <w:t>图　（三）电能质量治理　刊头</w:t>
      </w:r>
    </w:p>
    <w:p>
      <w:pPr>
        <w:pStyle w:val="Heading3"/>
      </w:pPr>
      <w:r>
        <w:t>一、封面导语</w:t>
      </w:r>
    </w:p>
    <w:p>
      <w:pPr/>
      <w:r>
        <w:t>半导体、新材料、数据中心对电能质量要求更严。电压暂降、谐波污染突出。推出检测诊断、设备治理、工程建设、设备租赁、长效运维一站式服务。</w:t>
      </w:r>
    </w:p>
    <w:p>
      <w:pPr>
        <w:pStyle w:val="Heading3"/>
      </w:pPr>
      <w:r>
        <w:t>二、政策背景</w:t>
      </w:r>
    </w:p>
    <w:p>
      <w:pPr/>
      <w:r>
        <w:t>政策导向：电能质量常态化管控。</w:t>
      </w:r>
    </w:p>
    <w:p>
      <w:pPr/>
      <w:r>
        <w:t>【内容待收集：抽文本该节下设标题仅有标题，正文在一图读懂长图中，勿代拟】</w:t>
      </w:r>
    </w:p>
    <w:p>
      <w:pPr>
        <w:pStyle w:val="Heading3"/>
      </w:pPr>
      <w:r>
        <w:t>三、客户痛点</w:t>
      </w:r>
    </w:p>
    <w:p>
      <w:pPr/>
      <w:r>
        <w:t>【内容待收集：抽文本未含该节，勿代拟】</w:t>
      </w:r>
    </w:p>
    <w:p>
      <w:pPr>
        <w:pStyle w:val="Heading3"/>
      </w:pPr>
      <w:r>
        <w:t>四、核心服务</w:t>
      </w:r>
    </w:p>
    <w:p>
      <w:pPr/>
      <w:r>
        <w:t>【内容待收集：抽文本未含该节，勿代拟】</w:t>
      </w:r>
    </w:p>
    <w:p>
      <w:pPr>
        <w:pStyle w:val="Heading3"/>
      </w:pPr>
      <w:r>
        <w:t>五、合作模式</w:t>
      </w:r>
    </w:p>
    <w:p>
      <w:pPr/>
      <w:r>
        <w:t>【内容待收集：抽文本未含该节，勿代拟】</w:t>
      </w:r>
    </w:p>
    <w:p>
      <w:pPr>
        <w:pStyle w:val="Heading3"/>
      </w:pPr>
      <w:r>
        <w:t>六、客户收益</w:t>
      </w:r>
    </w:p>
    <w:p>
      <w:pPr/>
      <w:r>
        <w:t>【内容待收集：抽文本未含该节，勿代拟】</w:t>
      </w:r>
    </w:p>
    <w:p>
      <w:pPr>
        <w:pStyle w:val="Heading3"/>
      </w:pPr>
      <w:r>
        <w:t>七、典型案例</w:t>
      </w:r>
    </w:p>
    <w:p>
      <w:pPr/>
      <w:r>
        <w:t>案例一：某半导体工厂电压暂降专项治理，DVR分布式，停机故障率降至0，年减少停产次品、停产损失数百万元。</w:t>
      </w:r>
    </w:p>
    <w:p>
      <w:pPr/>
      <w:r>
        <w:t>案例二：某数据中心谐波综合治理，APF，谐波达标，机房用电能效提升15%以上。</w:t>
      </w:r>
    </w:p>
    <w:p>
      <w:pPr/>
      <w:r>
        <w:t>案例三：某制造产业园电能质量租赁治理。</w:t>
      </w:r>
    </w:p>
    <w:p>
      <w:pPr/>
      <w:r>
        <w:t>业务补充：电压暂降为额定值10%～90%，持续10ms～1min。装备含DVR、UPS、APF、UPQC。2025年国内市场规模突破500亿元，年均复合约12.5%。</w:t>
      </w:r>
    </w:p>
    <w:p>
      <w:pPr>
        <w:pStyle w:val="Heading3"/>
      </w:pPr>
      <w:r>
        <w:t>八、行动号召</w:t>
      </w:r>
    </w:p>
    <w:p>
      <w:pPr/>
      <w:r>
        <w:t>晃电、谐波超标、设备发热、三相失衡、末端低电压等可免费诊断。</w:t>
      </w:r>
    </w:p>
    <w:p>
      <w:pPr>
        <w:pStyle w:val="Heading2"/>
      </w:pPr>
      <w:r>
        <w:t>新产品发布系列（四）：碳业务</w:t>
      </w:r>
    </w:p>
    <w:p>
      <w:pPr>
        <w:pStyle w:val="图注"/>
      </w:pPr>
      <w:r>
        <w:t>图　（四）碳业务　刊头</w:t>
      </w:r>
    </w:p>
    <w:p>
      <w:pPr>
        <w:pStyle w:val="Heading3"/>
      </w:pPr>
      <w:r>
        <w:t>一、封面导语</w:t>
      </w:r>
    </w:p>
    <w:p>
      <w:pPr/>
      <w:r>
        <w:t>双碳“1+N”落地，碳市场扩容、ESG强制披露、国际贸易碳壁垒、零碳体系。一站式全生命周期碳业务方案，覆盖碳合规、绿色资质、国际碳合规、碳资产增值。</w:t>
      </w:r>
    </w:p>
    <w:p>
      <w:pPr>
        <w:pStyle w:val="Heading3"/>
      </w:pPr>
      <w:r>
        <w:t>二、政策背景</w:t>
      </w:r>
    </w:p>
    <w:p>
      <w:pPr/>
      <w:r>
        <w:t>政策导向：双碳全域管控。</w:t>
      </w:r>
    </w:p>
    <w:p>
      <w:pPr/>
      <w:r>
        <w:t>【内容待收集：抽文本该节下设标题仅有标题，正文在一图读懂长图中，勿代拟】</w:t>
      </w:r>
    </w:p>
    <w:p>
      <w:pPr>
        <w:pStyle w:val="Heading3"/>
      </w:pPr>
      <w:r>
        <w:t>三、客户痛点</w:t>
      </w:r>
    </w:p>
    <w:p>
      <w:pPr/>
      <w:r>
        <w:t>【内容待收集：抽文本未含该节，勿代拟】</w:t>
      </w:r>
    </w:p>
    <w:p>
      <w:pPr>
        <w:pStyle w:val="Heading3"/>
      </w:pPr>
      <w:r>
        <w:t>四、核心服务</w:t>
      </w:r>
    </w:p>
    <w:p>
      <w:pPr/>
      <w:r>
        <w:t>八大核心综合服务</w:t>
      </w:r>
    </w:p>
    <w:p>
      <w:pPr/>
      <w:r>
        <w:t>【内容待收集：抽文本该节仅有标题，正文在一图读懂长图中，勿代拟】</w:t>
      </w:r>
    </w:p>
    <w:p>
      <w:pPr>
        <w:pStyle w:val="Heading3"/>
      </w:pPr>
      <w:r>
        <w:t>五、合作模式</w:t>
      </w:r>
    </w:p>
    <w:p>
      <w:pPr/>
      <w:r>
        <w:t>【内容待收集：抽文本未含该节，勿代拟】</w:t>
      </w:r>
    </w:p>
    <w:p>
      <w:pPr>
        <w:pStyle w:val="Heading3"/>
      </w:pPr>
      <w:r>
        <w:t>六、客户收益</w:t>
      </w:r>
    </w:p>
    <w:p>
      <w:pPr/>
      <w:r>
        <w:t>【内容待收集：抽文本未含该节，勿代拟】</w:t>
      </w:r>
    </w:p>
    <w:p>
      <w:pPr>
        <w:pStyle w:val="Heading3"/>
      </w:pPr>
      <w:r>
        <w:t>七、典型案例</w:t>
      </w:r>
    </w:p>
    <w:p>
      <w:pPr/>
      <w:r>
        <w:t>案例一：某大型制造企业碳盘查与绿色工厂创建。</w:t>
      </w:r>
    </w:p>
    <w:p>
      <w:pPr/>
      <w:r>
        <w:t>案例二：某出口企业CBAM合规与ISO14067产品碳足迹。</w:t>
      </w:r>
    </w:p>
    <w:p>
      <w:pPr/>
      <w:r>
        <w:t>案例三：某上市公司ESG报告与碳资产运营托管。</w:t>
      </w:r>
    </w:p>
    <w:p>
      <w:pPr>
        <w:pStyle w:val="Heading3"/>
      </w:pPr>
      <w:r>
        <w:t>八、行动号召</w:t>
      </w:r>
    </w:p>
    <w:p>
      <w:pPr/>
      <w:r>
        <w:t>碳合规、绿色资质、国际碳合规、碳资产、数字化碳管控、低碳人才。</w:t>
      </w:r>
    </w:p>
    <w:p>
      <w:pPr>
        <w:pStyle w:val="Heading2"/>
      </w:pPr>
      <w:r>
        <w:t>新产品发布系列（五）：工艺节能</w:t>
      </w:r>
    </w:p>
    <w:p>
      <w:pPr>
        <w:pStyle w:val="图注"/>
      </w:pPr>
      <w:r>
        <w:t>图　（五）工艺节能　刊头</w:t>
      </w:r>
    </w:p>
    <w:p>
      <w:pPr>
        <w:pStyle w:val="Heading3"/>
      </w:pPr>
      <w:r>
        <w:t>一、封面导语</w:t>
      </w:r>
    </w:p>
    <w:p>
      <w:pPr/>
      <w:r>
        <w:t>制造业产值占工业83%，能源消费占全社会57%；工艺、反应换热、工艺冷却占工业总能耗60%以上。通用方案与专项定制，配套系统集成、智能管控、专业运维。</w:t>
      </w:r>
    </w:p>
    <w:p>
      <w:pPr>
        <w:pStyle w:val="Heading3"/>
      </w:pPr>
      <w:r>
        <w:t>二、政策背景</w:t>
      </w:r>
    </w:p>
    <w:p>
      <w:pPr/>
      <w:r>
        <w:t>政策导向：能效基准已划定。</w:t>
      </w:r>
    </w:p>
    <w:p>
      <w:pPr/>
      <w:r>
        <w:t>【内容待收集：抽文本该节下设标题仅有标题，正文在一图读懂长图中，勿代拟】</w:t>
      </w:r>
    </w:p>
    <w:p>
      <w:pPr>
        <w:pStyle w:val="Heading3"/>
      </w:pPr>
      <w:r>
        <w:t>三、客户痛点</w:t>
      </w:r>
    </w:p>
    <w:p>
      <w:pPr/>
      <w:r>
        <w:t>【内容待收集：抽文本未含该节，勿代拟】</w:t>
      </w:r>
    </w:p>
    <w:p>
      <w:pPr>
        <w:pStyle w:val="Heading3"/>
      </w:pPr>
      <w:r>
        <w:t>四、核心服务</w:t>
      </w:r>
    </w:p>
    <w:p>
      <w:pPr/>
      <w:r>
        <w:t>【内容待收集：抽文本未含该节，勿代拟】</w:t>
      </w:r>
    </w:p>
    <w:p>
      <w:pPr>
        <w:pStyle w:val="Heading3"/>
      </w:pPr>
      <w:r>
        <w:t>五、合作模式</w:t>
      </w:r>
    </w:p>
    <w:p>
      <w:pPr/>
      <w:r>
        <w:t>【内容待收集：抽文本未含该节，勿代拟】</w:t>
      </w:r>
    </w:p>
    <w:p>
      <w:pPr>
        <w:pStyle w:val="Heading3"/>
      </w:pPr>
      <w:r>
        <w:t>六、客户收益</w:t>
      </w:r>
    </w:p>
    <w:p>
      <w:pPr/>
      <w:r>
        <w:t>【内容待收集：抽文本未含该节，勿代拟】</w:t>
      </w:r>
    </w:p>
    <w:p>
      <w:pPr>
        <w:pStyle w:val="Heading3"/>
      </w:pPr>
      <w:r>
        <w:t>七、典型案例</w:t>
      </w:r>
    </w:p>
    <w:p>
      <w:pPr/>
      <w:r>
        <w:t>案例一：某新能源工厂余热利用，EMC10年，纯水加热节能年省电量超500万kWh。</w:t>
      </w:r>
    </w:p>
    <w:p>
      <w:pPr/>
      <w:r>
        <w:t>案例二：某新能源工厂湿膜加湿，EMC 6年，预计年节能量超4500万kWh。</w:t>
      </w:r>
    </w:p>
    <w:p>
      <w:pPr>
        <w:pStyle w:val="Heading3"/>
      </w:pPr>
      <w:r>
        <w:t>八、行动号召</w:t>
      </w:r>
    </w:p>
    <w:p>
      <w:pPr/>
      <w:r>
        <w:t>余热直排、冷水机组高耗、车间高温、加湿能耗、单位产品能耗超标等可诊断。</w:t>
      </w:r>
    </w:p>
    <w:p>
      <w:pPr>
        <w:pStyle w:val="Heading2"/>
      </w:pPr>
      <w:r>
        <w:t>新产品发布系列（六）：零碳建筑</w:t>
      </w:r>
    </w:p>
    <w:p>
      <w:pPr>
        <w:pStyle w:val="图注"/>
      </w:pPr>
      <w:r>
        <w:t>图　（六）零碳建筑　刊头</w:t>
      </w:r>
    </w:p>
    <w:p>
      <w:pPr>
        <w:pStyle w:val="Heading3"/>
      </w:pPr>
      <w:r>
        <w:t>一、封面导语</w:t>
      </w:r>
    </w:p>
    <w:p>
      <w:pPr/>
      <w:r>
        <w:t>公共建筑、工业厂房、产业园区转向近零碳/零碳建筑系统化建设。BIPV、光储直柔、高效暖通、智慧调控与碳管理一体统筹，覆盖规划咨询、工程总包、投资运营、托管运维。</w:t>
      </w:r>
    </w:p>
    <w:p>
      <w:pPr>
        <w:pStyle w:val="Heading3"/>
      </w:pPr>
      <w:r>
        <w:t>二、政策背景</w:t>
      </w:r>
    </w:p>
    <w:p>
      <w:pPr/>
      <w:r>
        <w:t>政策导向：零碳建筑进入刚性落地期。</w:t>
      </w:r>
    </w:p>
    <w:p>
      <w:pPr/>
      <w:r>
        <w:t>【内容待收集：抽文本该节下设标题仅有标题，正文在一图读懂长图中，勿代拟】</w:t>
      </w:r>
    </w:p>
    <w:p>
      <w:pPr>
        <w:pStyle w:val="Heading3"/>
      </w:pPr>
      <w:r>
        <w:t>三、客户痛点</w:t>
      </w:r>
    </w:p>
    <w:p>
      <w:pPr/>
      <w:r>
        <w:t>【内容待收集：抽文本未含该节，勿代拟】</w:t>
      </w:r>
    </w:p>
    <w:p>
      <w:pPr>
        <w:pStyle w:val="Heading3"/>
      </w:pPr>
      <w:r>
        <w:t>四、核心服务</w:t>
      </w:r>
    </w:p>
    <w:p>
      <w:pPr/>
      <w:r>
        <w:t>【内容待收集：抽文本未含该节，勿代拟】</w:t>
      </w:r>
    </w:p>
    <w:p>
      <w:pPr>
        <w:pStyle w:val="Heading3"/>
      </w:pPr>
      <w:r>
        <w:t>五、合作模式</w:t>
      </w:r>
    </w:p>
    <w:p>
      <w:pPr/>
      <w:r>
        <w:t>【内容待收集：抽文本未含该节，勿代拟】</w:t>
      </w:r>
    </w:p>
    <w:p>
      <w:pPr>
        <w:pStyle w:val="Heading3"/>
      </w:pPr>
      <w:r>
        <w:t>六、客户收益</w:t>
      </w:r>
    </w:p>
    <w:p>
      <w:pPr/>
      <w:r>
        <w:t>【内容待收集：抽文本未含该节，勿代拟】</w:t>
      </w:r>
    </w:p>
    <w:p>
      <w:pPr>
        <w:pStyle w:val="Heading3"/>
      </w:pPr>
      <w:r>
        <w:t>七、典型案例</w:t>
      </w:r>
    </w:p>
    <w:p>
      <w:pPr/>
      <w:r>
        <w:t>案例一：佛山某高端制造企业近零碳厂房改造，屋顶分布式光伏、高效热泵、智慧空调节能、BIPV及储能、能碳平台。</w:t>
      </w:r>
    </w:p>
    <w:p>
      <w:pPr/>
      <w:r>
        <w:t>案例二：某产业园区近零碳示范园区。</w:t>
      </w:r>
    </w:p>
    <w:p>
      <w:pPr/>
      <w:r>
        <w:t>案例三：某公共机构近零碳办公楼改造。</w:t>
      </w:r>
    </w:p>
    <w:p>
      <w:pPr>
        <w:pStyle w:val="Heading3"/>
      </w:pPr>
      <w:r>
        <w:t>八、行动号召</w:t>
      </w:r>
    </w:p>
    <w:p>
      <w:pPr/>
      <w:r>
        <w:t>新建近零碳建筑、既有厂房/办公楼改造、近零碳园区、绿建认证可一站式服务。</w:t>
      </w:r>
    </w:p>
    <w:p>
      <w:pPr>
        <w:pStyle w:val="Heading2"/>
      </w:pPr>
      <w:r>
        <w:t>新产品发布系列（七）：自研热泵</w:t>
      </w:r>
    </w:p>
    <w:p>
      <w:pPr>
        <w:pStyle w:val="图注"/>
      </w:pPr>
      <w:r>
        <w:t>图　（七）自研热泵　刊头</w:t>
      </w:r>
    </w:p>
    <w:p>
      <w:pPr>
        <w:pStyle w:val="Heading3"/>
      </w:pPr>
      <w:r>
        <w:t>一、封面导语</w:t>
      </w:r>
    </w:p>
    <w:p>
      <w:pPr/>
      <w:r>
        <w:t>工业工艺供热、建筑采暖制冷、公共机构热水清洁替代需求集中。自有空气源热泵全系，覆盖常温、超低温、超高温。定制化设备、系统集成、项目投资、托管运维。</w:t>
      </w:r>
    </w:p>
    <w:p>
      <w:pPr>
        <w:pStyle w:val="Heading3"/>
      </w:pPr>
      <w:r>
        <w:t>二、政策背景</w:t>
      </w:r>
    </w:p>
    <w:p>
      <w:pPr/>
      <w:r>
        <w:t>政策导向：热泵成节能改造核心装备。</w:t>
      </w:r>
    </w:p>
    <w:p>
      <w:pPr/>
      <w:r>
        <w:t>【内容待收集：抽文本该节下设标题仅有标题，正文在一图读懂长图中，勿代拟】</w:t>
      </w:r>
    </w:p>
    <w:p>
      <w:pPr>
        <w:pStyle w:val="Heading3"/>
      </w:pPr>
      <w:r>
        <w:t>三、客户痛点</w:t>
      </w:r>
    </w:p>
    <w:p>
      <w:pPr/>
      <w:r>
        <w:t>【内容待收集：抽文本未含该节，勿代拟】</w:t>
      </w:r>
    </w:p>
    <w:p>
      <w:pPr>
        <w:pStyle w:val="Heading3"/>
      </w:pPr>
      <w:r>
        <w:t>四、核心服务</w:t>
      </w:r>
    </w:p>
    <w:p>
      <w:pPr/>
      <w:r>
        <w:t>【内容待收集：抽文本未含该节，勿代拟】</w:t>
      </w:r>
    </w:p>
    <w:p>
      <w:pPr>
        <w:pStyle w:val="Heading3"/>
      </w:pPr>
      <w:r>
        <w:t>五、合作模式</w:t>
      </w:r>
    </w:p>
    <w:p>
      <w:pPr/>
      <w:r>
        <w:t>【内容待收集：抽文本未含该节，勿代拟】</w:t>
      </w:r>
    </w:p>
    <w:p>
      <w:pPr>
        <w:pStyle w:val="Heading3"/>
      </w:pPr>
      <w:r>
        <w:t>六、客户收益</w:t>
      </w:r>
    </w:p>
    <w:p>
      <w:pPr/>
      <w:r>
        <w:t>【内容待收集：抽文本未含该节，勿代拟】</w:t>
      </w:r>
    </w:p>
    <w:p>
      <w:pPr>
        <w:pStyle w:val="Heading3"/>
      </w:pPr>
      <w:r>
        <w:t>七、典型案例</w:t>
      </w:r>
    </w:p>
    <w:p>
      <w:pPr/>
      <w:r>
        <w:t>案例一：北方某产业园区超低温空气源热泵清洁供暖，EMC 10年，-30℃稳定制热，园区碳排放下降40%，采暖费用降低20%。</w:t>
      </w:r>
    </w:p>
    <w:p>
      <w:pPr/>
      <w:r>
        <w:t>案例二：某食品加工厂高温热泵余热利用，替代燃气锅炉，工艺供热成本降低30%以上。</w:t>
      </w:r>
    </w:p>
    <w:p>
      <w:pPr>
        <w:pStyle w:val="Heading3"/>
      </w:pPr>
      <w:r>
        <w:t>八、行动号召</w:t>
      </w:r>
    </w:p>
    <w:p>
      <w:pPr/>
      <w:r>
        <w:t>锅炉成本高、碳核查压力、冬季采暖能耗高、工艺高温用热难、外购热泵适配差等可诊断。</w:t>
      </w:r>
    </w:p>
    <w:p>
      <w:pPr>
        <w:pStyle w:val="Heading2"/>
      </w:pPr>
      <w:r>
        <w:t>附：本板块与第三篇各章的对应关系</w:t>
      </w:r>
    </w:p>
    <w:p>
      <w:pPr>
        <w:pStyle w:val="ListBullet"/>
      </w:pPr>
      <w:r>
        <w:t>第九章（EMC/工艺节能）——对应新产品发布系列（五）工艺节能；</w:t>
      </w:r>
    </w:p>
    <w:p>
      <w:pPr>
        <w:pStyle w:val="ListBullet"/>
      </w:pPr>
      <w:r>
        <w:t>第十章（智慧绿电/储能）——对应新产品发布系列（二）新型储能；</w:t>
      </w:r>
    </w:p>
    <w:p>
      <w:pPr>
        <w:pStyle w:val="ListBullet"/>
      </w:pPr>
      <w:r>
        <w:t>第十一章（冷热/热泵）——对应新产品发布系列（七）自研热泵；</w:t>
      </w:r>
    </w:p>
    <w:p>
      <w:pPr>
        <w:pStyle w:val="ListBullet"/>
      </w:pPr>
      <w:r>
        <w:t>第十二章（工业气体）——对应新产品发布系列（一）工业气体；</w:t>
      </w:r>
    </w:p>
    <w:p>
      <w:pPr>
        <w:pStyle w:val="ListBullet"/>
      </w:pPr>
      <w:r>
        <w:t>第十三章（零碳园区/零碳建筑）——对应新产品发布系列（六）零碳建筑；</w:t>
      </w:r>
    </w:p>
    <w:p>
      <w:pPr>
        <w:pStyle w:val="ListBullet"/>
      </w:pPr>
      <w:r>
        <w:t>第十四章（能碳平台）——无单一产品期与之对应；</w:t>
      </w:r>
    </w:p>
    <w:p>
      <w:pPr>
        <w:pStyle w:val="ListBullet"/>
      </w:pPr>
      <w:r>
        <w:t>第十五章（碳业务）——对应新产品发布系列（四）碳业务；</w:t>
      </w:r>
    </w:p>
    <w:p>
      <w:pPr>
        <w:pStyle w:val="ListBullet"/>
      </w:pPr>
      <w:r>
        <w:t>第十六章（新赛道）——含新产品发布系列（三）电能质量。</w:t>
      </w:r>
    </w:p>
    <w:p>
      <w:pPr>
        <w:pStyle w:val="Heading2"/>
      </w:pPr>
      <w:r>
        <w:t>附：七期产品速查</w:t>
      </w:r>
    </w:p>
    <w:p>
      <w:pPr/>
      <w:r>
        <w:t>工业制造：工业气体+工艺节能+自研热泵+新型储能。</w:t>
      </w:r>
    </w:p>
    <w:p>
      <w:pPr/>
      <w:r>
        <w:t>半导体/数据中心：电能质量+工艺/暖通节能+碳业务+储能。</w:t>
      </w:r>
    </w:p>
    <w:p>
      <w:pPr/>
      <w:r>
        <w:t>产业园区/公共机构：零碳建筑+自研热泵+碳业务+储能与虚拟电厂。</w:t>
      </w:r>
    </w:p>
    <w:p>
      <w:pPr/>
      <w:r>
        <w:t>出口与上市公司：优先碳业务（CBAM、碳足迹、ESG），再叠加现场节能与绿电。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微软雅黑" w:hAnsi="微软雅黑" w:eastAsia="微软雅黑"/>
      <w:i/>
      <w:iCs/>
      <w:color w:val="4F81BD" w:themeColor="accent1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宋体" w:hAnsi="宋体" w:eastAsia="宋体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图注">
    <w:name w:val="图注"/>
    <w:basedOn w:val="Normal"/>
    <w:rPr>
      <w:rFonts w:ascii="楷体" w:hAnsi="楷体" w:eastAsia="楷体"/>
      <w:sz w:val="21"/>
    </w:rPr>
  </w:style>
  <w:style w:type="paragraph" w:customStyle="1" w:styleId="封面题字">
    <w:name w:val="封面题字"/>
    <w:basedOn w:val="Normal"/>
    <w:rPr>
      <w:rFonts w:ascii="楷体" w:hAnsi="楷体" w:eastAsia="楷体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