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line="360" w:lineRule="auto"/>
        <w:jc w:val="center"/>
      </w:pPr>
      <w:r>
        <w:rPr>
          <w:rFonts w:ascii="Times New Roman" w:hAnsi="Times New Roman" w:eastAsia="方正小标宋简体"/>
          <w:b/>
          <w:color w:val="1F1F1F"/>
          <w:sz w:val="52"/>
        </w:rPr>
        <w:t>南网总部基地规划方案</w:t>
      </w:r>
    </w:p>
    <w:p>
      <w:pPr>
        <w:spacing w:before="0" w:after="200" w:line="360" w:lineRule="auto"/>
        <w:jc w:val="center"/>
      </w:pPr>
      <w:r>
        <w:rPr>
          <w:rFonts w:ascii="Times New Roman" w:hAnsi="Times New Roman" w:eastAsia="仿宋_GB2312"/>
          <w:b/>
          <w:color w:val="1F1F1F"/>
          <w:sz w:val="28"/>
        </w:rPr>
        <w:t>（一核六边·六要素框架 · 方向论证稿）</w:t>
      </w:r>
    </w:p>
    <w:p>
      <w:pPr>
        <w:spacing w:before="0" w:after="200" w:line="360" w:lineRule="auto"/>
        <w:jc w:val="left"/>
      </w:pPr>
      <w:r>
        <w:rPr>
          <w:rFonts w:ascii="Times New Roman" w:hAnsi="Times New Roman" w:eastAsia="仿宋_GB2312"/>
          <w:b w:val="0"/>
          <w:color w:val="1F1F1F"/>
          <w:sz w:val="24"/>
        </w:rPr>
        <w:t>起草单位：南网能源公司（主笔）</w:t>
      </w:r>
    </w:p>
    <w:p>
      <w:pPr>
        <w:spacing w:before="0" w:after="200" w:line="360" w:lineRule="auto"/>
        <w:jc w:val="left"/>
      </w:pPr>
      <w:r>
        <w:rPr>
          <w:rFonts w:ascii="Times New Roman" w:hAnsi="Times New Roman" w:eastAsia="仿宋_GB2312"/>
          <w:b w:val="0"/>
          <w:color w:val="1F1F1F"/>
          <w:sz w:val="24"/>
        </w:rPr>
        <w:t>稿件日期：2026 年 9 月 2 日</w:t>
      </w:r>
    </w:p>
    <w:p>
      <w:pPr>
        <w:spacing w:before="0" w:after="200" w:line="360" w:lineRule="auto"/>
        <w:jc w:val="left"/>
      </w:pPr>
      <w:r>
        <w:rPr>
          <w:rFonts w:ascii="Times New Roman" w:hAnsi="Times New Roman" w:eastAsia="仿宋_GB2312"/>
          <w:b w:val="0"/>
          <w:color w:val="1F1F1F"/>
          <w:sz w:val="24"/>
        </w:rPr>
        <w:t>稿件性质：内部工作稿，不对外。本稿为方向性与论证性规划方案，用于统一立意、架构与工作路径，不是可行性研究报告、设计任务书或对外宣传材料。稿中未经核证的数字、案例与政策提法一律标注【待核】，不作为项目指标或承诺。</w:t>
      </w:r>
    </w:p>
    <w:p>
      <w:pPr>
        <w:pStyle w:val="Heading1"/>
        <w:keepNext/>
        <w:pageBreakBefore/>
        <w:spacing w:before="360" w:after="240" w:line="360" w:lineRule="auto"/>
        <w:jc w:val="center"/>
      </w:pPr>
      <w:r>
        <w:rPr>
          <w:rFonts w:ascii="Times New Roman" w:hAnsi="Times New Roman" w:eastAsia="黑体"/>
          <w:b w:val="0"/>
          <w:color w:val="1F1F1F"/>
          <w:sz w:val="32"/>
        </w:rPr>
        <w:t>摘要</w:t>
      </w:r>
    </w:p>
    <w:p>
      <w:pPr>
        <w:spacing w:before="0" w:after="120" w:line="360" w:lineRule="auto"/>
        <w:ind w:firstLine="480"/>
      </w:pPr>
      <w:r>
        <w:rPr>
          <w:rFonts w:ascii="Times New Roman" w:hAnsi="Times New Roman" w:eastAsia="仿宋_GB2312"/>
          <w:b/>
          <w:color w:val="1F1F1F"/>
          <w:sz w:val="24"/>
        </w:rPr>
        <w:t>总立意一句话。</w:t>
      </w:r>
      <w:r>
        <w:rPr>
          <w:rFonts w:ascii="Times New Roman" w:hAnsi="Times New Roman" w:eastAsia="仿宋_GB2312"/>
          <w:b w:val="0"/>
          <w:color w:val="1F1F1F"/>
          <w:sz w:val="24"/>
        </w:rPr>
        <w:t xml:space="preserve"> 国家建“六张网”，南网以新型电网为枢纽做六网协同，总部基地把协同先在自己身上跑通，收成可复制的战略资产，为南网第二增长曲线开出明牌。</w:t>
      </w:r>
    </w:p>
    <w:p>
      <w:pPr>
        <w:spacing w:before="0" w:after="120" w:line="360" w:lineRule="auto"/>
        <w:ind w:firstLine="480"/>
      </w:pPr>
      <w:r>
        <w:rPr>
          <w:rFonts w:ascii="Times New Roman" w:hAnsi="Times New Roman" w:eastAsia="仿宋_GB2312"/>
          <w:b/>
          <w:color w:val="1F1F1F"/>
          <w:sz w:val="24"/>
        </w:rPr>
        <w:t>总图一句话。</w:t>
      </w:r>
      <w:r>
        <w:rPr>
          <w:rFonts w:ascii="Times New Roman" w:hAnsi="Times New Roman" w:eastAsia="仿宋_GB2312"/>
          <w:b w:val="0"/>
          <w:color w:val="1F1F1F"/>
          <w:sz w:val="24"/>
        </w:rPr>
        <w:t xml:space="preserve"> 一核六边。核是战略资产价值体系，基地是这套体系的验证场，对应课题“内部验证—行业复制”；六边是绿色、高效、智慧、普惠、健康、人文六个要素，独立成边、分列落实、分开验收。战略不占边，零碳不占边，零碳作为目标结果托住核与绿色边。</w:t>
      </w:r>
    </w:p>
    <w:p>
      <w:pPr>
        <w:spacing w:before="0" w:after="120" w:line="360" w:lineRule="auto"/>
        <w:ind w:firstLine="480"/>
      </w:pPr>
      <w:r>
        <w:rPr>
          <w:rFonts w:ascii="Times New Roman" w:hAnsi="Times New Roman" w:eastAsia="仿宋_GB2312"/>
          <w:b/>
          <w:color w:val="1F1F1F"/>
          <w:sz w:val="24"/>
        </w:rPr>
        <w:t>基地身份一句话。</w:t>
      </w:r>
      <w:r>
        <w:rPr>
          <w:rFonts w:ascii="Times New Roman" w:hAnsi="Times New Roman" w:eastAsia="仿宋_GB2312"/>
          <w:b w:val="0"/>
          <w:color w:val="1F1F1F"/>
          <w:sz w:val="24"/>
        </w:rPr>
        <w:t xml:space="preserve"> 总部基地是南网整体的名片和验证场，不是能源公司的展台，也不是第二增长曲线本身；能源公司负责主笔和起草，战略主体是南网。跑通后先向南网内其他园区复制，再向其他央国企园区复制。</w:t>
      </w:r>
    </w:p>
    <w:p>
      <w:pPr>
        <w:pStyle w:val="Heading2"/>
        <w:keepNext/>
        <w:spacing w:before="240" w:after="120" w:line="360" w:lineRule="auto"/>
      </w:pPr>
      <w:r>
        <w:rPr>
          <w:rFonts w:ascii="Times New Roman" w:hAnsi="Times New Roman" w:eastAsia="黑体"/>
          <w:b w:val="0"/>
          <w:color w:val="1F1F1F"/>
          <w:sz w:val="28"/>
        </w:rPr>
        <w:t>本轮框架重点说明</w:t>
      </w:r>
    </w:p>
    <w:p>
      <w:pPr>
        <w:spacing w:before="0" w:after="80" w:line="360" w:lineRule="auto"/>
        <w:ind w:left="480" w:hanging="480"/>
      </w:pPr>
      <w:r>
        <w:rPr>
          <w:rFonts w:ascii="Times New Roman" w:hAnsi="Times New Roman" w:eastAsia="仿宋_GB2312"/>
          <w:b w:val="0"/>
          <w:color w:val="1F1F1F"/>
          <w:sz w:val="24"/>
        </w:rPr>
        <w:t>1．</w:t>
      </w:r>
      <w:r>
        <w:rPr>
          <w:rFonts w:ascii="Times New Roman" w:hAnsi="Times New Roman" w:eastAsia="仿宋_GB2312"/>
          <w:b/>
          <w:color w:val="1F1F1F"/>
          <w:sz w:val="24"/>
        </w:rPr>
        <w:t>说明立意与论证线。</w:t>
      </w:r>
      <w:r>
        <w:rPr>
          <w:rFonts w:ascii="Times New Roman" w:hAnsi="Times New Roman" w:eastAsia="仿宋_GB2312"/>
          <w:b w:val="0"/>
          <w:color w:val="1F1F1F"/>
          <w:sz w:val="24"/>
        </w:rPr>
        <w:t xml:space="preserve"> 以“国家六张网—南网六网协同（算电协同为当前突破口）—南网自身核心资产与第二增长曲线”三层立意确立方向；以“国家方向—行业与电网—园区与建筑—南网自身”四层政策束论证既有园区为什么必改、依靠什么能改、具体改什么、由谁沉淀成果，不以六张网单点证成园区改造。</w:t>
      </w:r>
    </w:p>
    <w:p>
      <w:pPr>
        <w:spacing w:before="0" w:after="80" w:line="360" w:lineRule="auto"/>
        <w:ind w:left="480" w:hanging="480"/>
      </w:pPr>
      <w:r>
        <w:rPr>
          <w:rFonts w:ascii="Times New Roman" w:hAnsi="Times New Roman" w:eastAsia="仿宋_GB2312"/>
          <w:b w:val="0"/>
          <w:color w:val="1F1F1F"/>
          <w:sz w:val="24"/>
        </w:rPr>
        <w:t>2．</w:t>
      </w:r>
      <w:r>
        <w:rPr>
          <w:rFonts w:ascii="Times New Roman" w:hAnsi="Times New Roman" w:eastAsia="仿宋_GB2312"/>
          <w:b/>
          <w:color w:val="1F1F1F"/>
          <w:sz w:val="24"/>
        </w:rPr>
        <w:t>说明六要素的边界与内容。</w:t>
      </w:r>
      <w:r>
        <w:rPr>
          <w:rFonts w:ascii="Times New Roman" w:hAnsi="Times New Roman" w:eastAsia="仿宋_GB2312"/>
          <w:b w:val="0"/>
          <w:color w:val="1F1F1F"/>
          <w:sz w:val="24"/>
        </w:rPr>
        <w:t xml:space="preserve"> 六边各有一章，逐边回答“园区验证什么、为什么、怎么做”，每边给出工作包（物理改造、数据、SOP、可复制产品包四类）与可检查的指标方向；绿色与高效分列，健康独立于人文，普惠锁定为“人人参与、人人受益”，服务化与商业模式叙事归核管理、不进普惠边。</w:t>
      </w:r>
    </w:p>
    <w:p>
      <w:pPr>
        <w:spacing w:before="0" w:after="80" w:line="360" w:lineRule="auto"/>
        <w:ind w:left="480" w:hanging="480"/>
      </w:pPr>
      <w:r>
        <w:rPr>
          <w:rFonts w:ascii="Times New Roman" w:hAnsi="Times New Roman" w:eastAsia="仿宋_GB2312"/>
          <w:b w:val="0"/>
          <w:color w:val="1F1F1F"/>
          <w:sz w:val="24"/>
        </w:rPr>
        <w:t>3．</w:t>
      </w:r>
      <w:r>
        <w:rPr>
          <w:rFonts w:ascii="Times New Roman" w:hAnsi="Times New Roman" w:eastAsia="仿宋_GB2312"/>
          <w:b/>
          <w:color w:val="1F1F1F"/>
          <w:sz w:val="24"/>
        </w:rPr>
        <w:t>说明落地路径与分期。</w:t>
      </w:r>
      <w:r>
        <w:rPr>
          <w:rFonts w:ascii="Times New Roman" w:hAnsi="Times New Roman" w:eastAsia="仿宋_GB2312"/>
          <w:b w:val="0"/>
          <w:color w:val="1F1F1F"/>
          <w:sz w:val="24"/>
        </w:rPr>
        <w:t xml:space="preserve"> 冷站与水系统深度诊断、园区碳账本与核算边界、“一个平台、两类功能”总体设计三件先行；按园中园、分区试点推进，以取得一个完整供冷季的实测数据为试点验收口径；分四个阶段衔接方向性汇报、预可行性方案、试点实施与内外部复制。</w:t>
      </w:r>
    </w:p>
    <w:p>
      <w:pPr>
        <w:spacing w:before="0" w:after="80" w:line="360" w:lineRule="auto"/>
        <w:ind w:left="480" w:hanging="480"/>
      </w:pPr>
      <w:r>
        <w:rPr>
          <w:rFonts w:ascii="Times New Roman" w:hAnsi="Times New Roman" w:eastAsia="仿宋_GB2312"/>
          <w:b w:val="0"/>
          <w:color w:val="1F1F1F"/>
          <w:sz w:val="24"/>
        </w:rPr>
        <w:t>4．</w:t>
      </w:r>
      <w:r>
        <w:rPr>
          <w:rFonts w:ascii="Times New Roman" w:hAnsi="Times New Roman" w:eastAsia="仿宋_GB2312"/>
          <w:b/>
          <w:color w:val="1F1F1F"/>
          <w:sz w:val="24"/>
        </w:rPr>
        <w:t>说明证据纪律。</w:t>
      </w:r>
      <w:r>
        <w:rPr>
          <w:rFonts w:ascii="Times New Roman" w:hAnsi="Times New Roman" w:eastAsia="仿宋_GB2312"/>
          <w:b w:val="0"/>
          <w:color w:val="1F1F1F"/>
          <w:sz w:val="24"/>
        </w:rPr>
        <w:t xml:space="preserve"> 全稿不编政策文号、不编数据、不用“首个、唯一、领先”类表述；口述、宣称、报道与对标案例只作量级参照，一律标注【待核】，指标值留待预可研在实测基线上设定。</w:t>
      </w:r>
    </w:p>
    <w:p>
      <w:pPr>
        <w:pStyle w:val="Heading2"/>
        <w:keepNext/>
        <w:spacing w:before="240" w:after="120" w:line="360" w:lineRule="auto"/>
      </w:pPr>
      <w:r>
        <w:rPr>
          <w:rFonts w:ascii="Times New Roman" w:hAnsi="Times New Roman" w:eastAsia="黑体"/>
          <w:b w:val="0"/>
          <w:color w:val="1F1F1F"/>
          <w:sz w:val="28"/>
        </w:rPr>
        <w:t>后续工作安排</w:t>
      </w:r>
    </w:p>
    <w:p>
      <w:pPr>
        <w:spacing w:before="0" w:after="80" w:line="360" w:lineRule="auto"/>
        <w:ind w:left="480" w:hanging="480"/>
      </w:pPr>
      <w:r>
        <w:rPr>
          <w:rFonts w:ascii="Times New Roman" w:hAnsi="Times New Roman" w:eastAsia="仿宋_GB2312"/>
          <w:b w:val="0"/>
          <w:color w:val="1F1F1F"/>
          <w:sz w:val="24"/>
        </w:rPr>
        <w:t>1．以本稿为基础形成 9 月中旬方向性汇报材料；汇报形成共识后，按程序转入 10 月预可行性方案编制。</w:t>
      </w:r>
    </w:p>
    <w:p>
      <w:pPr>
        <w:spacing w:before="0" w:after="80" w:line="360" w:lineRule="auto"/>
        <w:ind w:left="480" w:hanging="480"/>
      </w:pPr>
      <w:r>
        <w:rPr>
          <w:rFonts w:ascii="Times New Roman" w:hAnsi="Times New Roman" w:eastAsia="仿宋_GB2312"/>
          <w:b w:val="0"/>
          <w:color w:val="1F1F1F"/>
          <w:sz w:val="24"/>
        </w:rPr>
        <w:t>2．预可研启动前完成第十二章待核清单中的数据核验，重点是园区年用电口径、数据机房核算边界、现状光伏与冷站运行基线。</w:t>
      </w:r>
    </w:p>
    <w:p>
      <w:pPr>
        <w:spacing w:before="0" w:after="80" w:line="360" w:lineRule="auto"/>
        <w:ind w:left="480" w:hanging="480"/>
      </w:pPr>
      <w:r>
        <w:rPr>
          <w:rFonts w:ascii="Times New Roman" w:hAnsi="Times New Roman" w:eastAsia="仿宋_GB2312"/>
          <w:b w:val="0"/>
          <w:color w:val="1F1F1F"/>
          <w:sz w:val="24"/>
        </w:rPr>
        <w:t>3．三件先行与首批园中园试点建议随预可研一并提出；投资规模、设备选型、认证机构与合作单位等事项不在本稿定案，框架审议通过后按程序衔接网公司分阶段预算。</w:t>
      </w:r>
    </w:p>
    <w:p>
      <w:pPr>
        <w:pStyle w:val="Heading1"/>
        <w:keepNext/>
        <w:pageBreakBefore/>
        <w:spacing w:before="360" w:after="240" w:line="360" w:lineRule="auto"/>
        <w:jc w:val="center"/>
      </w:pPr>
      <w:r>
        <w:rPr>
          <w:rFonts w:ascii="Times New Roman" w:hAnsi="Times New Roman" w:eastAsia="黑体"/>
          <w:b w:val="0"/>
          <w:color w:val="1F1F1F"/>
          <w:sz w:val="32"/>
        </w:rPr>
        <w:t>第一章 立意：一核三层</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总部基地规划的立意在公司战略层面对接国家战略，分三层收拢；核只有一件事——建立并验证南网的战略资产价值体系。基地是验证场，不是第二增长曲线本身。</w:t>
      </w:r>
    </w:p>
    <w:p>
      <w:pPr>
        <w:pStyle w:val="Heading2"/>
        <w:keepNext/>
        <w:spacing w:before="240" w:after="120" w:line="360" w:lineRule="auto"/>
      </w:pPr>
      <w:r>
        <w:rPr>
          <w:rFonts w:ascii="Times New Roman" w:hAnsi="Times New Roman" w:eastAsia="黑体"/>
          <w:b w:val="0"/>
          <w:color w:val="1F1F1F"/>
          <w:sz w:val="28"/>
        </w:rPr>
        <w:t>一、三层立意</w:t>
      </w:r>
    </w:p>
    <w:p>
      <w:pPr>
        <w:spacing w:before="0" w:after="120" w:line="360" w:lineRule="auto"/>
        <w:ind w:firstLine="480"/>
      </w:pPr>
      <w:r>
        <w:rPr>
          <w:rFonts w:ascii="Times New Roman" w:hAnsi="Times New Roman" w:eastAsia="仿宋_GB2312"/>
          <w:b/>
          <w:color w:val="1F1F1F"/>
          <w:sz w:val="24"/>
        </w:rPr>
        <w:t>第一层，国家六张网。</w:t>
      </w:r>
      <w:r>
        <w:rPr>
          <w:rFonts w:ascii="Times New Roman" w:hAnsi="Times New Roman" w:eastAsia="仿宋_GB2312"/>
          <w:b w:val="0"/>
          <w:color w:val="1F1F1F"/>
          <w:sz w:val="24"/>
        </w:rPr>
        <w:t xml:space="preserve"> 据公开报道，中央部署加强水网、新型电网、算力网、新一代通信网、城市地下管网、物流网等规划建设【公开报道，待核】。园区同时承载供配电、算力、通信、建筑设备与人员活动，是新型电网、算力网与通信网发生物理联系和运营联系的最小交汇单元。关于“六张网到 2030 年覆盖重点园区”等提法，本稿只作报道口径引用【公开报道，待核】，不作为已印发文件，不据此推导本项目的投资与进度义务。</w:t>
      </w:r>
    </w:p>
    <w:p>
      <w:pPr>
        <w:spacing w:before="0" w:after="120" w:line="360" w:lineRule="auto"/>
        <w:ind w:firstLine="480"/>
      </w:pPr>
      <w:r>
        <w:rPr>
          <w:rFonts w:ascii="Times New Roman" w:hAnsi="Times New Roman" w:eastAsia="仿宋_GB2312"/>
          <w:b/>
          <w:color w:val="1F1F1F"/>
          <w:sz w:val="24"/>
        </w:rPr>
        <w:t>第二层，南网以新型电网为枢纽做六网协同，算电协同是当前突破口。</w:t>
      </w:r>
      <w:r>
        <w:rPr>
          <w:rFonts w:ascii="Times New Roman" w:hAnsi="Times New Roman" w:eastAsia="仿宋_GB2312"/>
          <w:b w:val="0"/>
          <w:color w:val="1F1F1F"/>
          <w:sz w:val="24"/>
        </w:rPr>
        <w:t xml:space="preserve"> 电网向其他五张网供能，并与算力网、通信网双向交换数据，是六网协同的天然枢纽。南网做协同，最先能落到实处的接口是算力与电力的协同：算力负荷可预测、可调节，电网侧的电价信号、绿电与需求响应可反向进入算力与园区运行。公司战略表述以正式印发文件为准，本稿不代拟；“六网协同”与“算电协同突破口”在本稿中作为工作口径使用。</w:t>
      </w:r>
    </w:p>
    <w:p>
      <w:pPr>
        <w:spacing w:before="0" w:after="120" w:line="360" w:lineRule="auto"/>
        <w:ind w:firstLine="480"/>
      </w:pPr>
      <w:r>
        <w:rPr>
          <w:rFonts w:ascii="Times New Roman" w:hAnsi="Times New Roman" w:eastAsia="仿宋_GB2312"/>
          <w:b/>
          <w:color w:val="1F1F1F"/>
          <w:sz w:val="24"/>
        </w:rPr>
        <w:t>第三层，南网自身核心资产与第二增长曲线。</w:t>
      </w:r>
      <w:r>
        <w:rPr>
          <w:rFonts w:ascii="Times New Roman" w:hAnsi="Times New Roman" w:eastAsia="仿宋_GB2312"/>
          <w:b w:val="0"/>
          <w:color w:val="1F1F1F"/>
          <w:sz w:val="24"/>
        </w:rPr>
        <w:t xml:space="preserve"> 南网的核心资产是电网及其运行、调度、交易与数据能力。围绕这套核心资产延伸出的能碳一体化能力，是第二增长曲线的候选方向。总部基地同时具备自有产权、真实负荷、连续办公、数据机房并存和领导可见五个条件，是把电网侧能力向园区级能碳服务延伸的第一现场。</w:t>
      </w:r>
    </w:p>
    <w:p>
      <w:pPr>
        <w:spacing w:before="0" w:after="120" w:line="360" w:lineRule="auto"/>
        <w:ind w:firstLine="480"/>
      </w:pPr>
      <w:r>
        <w:rPr>
          <w:rFonts w:ascii="Times New Roman" w:hAnsi="Times New Roman" w:eastAsia="仿宋_GB2312"/>
          <w:b w:val="0"/>
          <w:color w:val="1F1F1F"/>
          <w:sz w:val="24"/>
        </w:rPr>
        <w:t>三层收拢为一句话：国家建六张网，南网做协同，总部基地把协同先跑通、收成可复制的战略资产，为第二增长曲线开出明牌。</w:t>
      </w:r>
    </w:p>
    <w:p>
      <w:pPr>
        <w:pStyle w:val="Heading2"/>
        <w:keepNext/>
        <w:spacing w:before="240" w:after="120" w:line="360" w:lineRule="auto"/>
      </w:pPr>
      <w:r>
        <w:rPr>
          <w:rFonts w:ascii="Times New Roman" w:hAnsi="Times New Roman" w:eastAsia="黑体"/>
          <w:b w:val="0"/>
          <w:color w:val="1F1F1F"/>
          <w:sz w:val="28"/>
        </w:rPr>
        <w:t>二、核：战略资产价值体系</w:t>
      </w:r>
    </w:p>
    <w:p>
      <w:pPr>
        <w:spacing w:before="0" w:after="120" w:line="360" w:lineRule="auto"/>
        <w:ind w:firstLine="480"/>
      </w:pPr>
      <w:r>
        <w:rPr>
          <w:rFonts w:ascii="Times New Roman" w:hAnsi="Times New Roman" w:eastAsia="仿宋_GB2312"/>
          <w:b w:val="0"/>
          <w:color w:val="1F1F1F"/>
          <w:sz w:val="24"/>
        </w:rPr>
        <w:t>核不是资源清单，不是“园区里有多少光伏、多少机架”，而是一套可带走、可复制、可增值的价值体系，由四件事构成：</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31"/>
        <w:gridCol w:w="1458"/>
        <w:gridCol w:w="3580"/>
        <w:gridCol w:w="2575"/>
      </w:tblGrid>
      <w:tr>
        <w:trPr>
          <w:cantSplit/>
          <w:tblHeader/>
        </w:trPr>
        <w:tc>
          <w:tcPr>
            <w:tcW w:type="dxa" w:w="1231"/>
            <w:shd w:val="clear" w:color="auto" w:fill="E7EEF3"/>
          </w:tcPr>
          <w:p>
            <w:pPr>
              <w:keepNext/>
              <w:spacing w:before="0" w:after="0" w:line="276" w:lineRule="auto"/>
            </w:pPr>
            <w:r/>
            <w:r>
              <w:rPr>
                <w:rFonts w:ascii="Times New Roman" w:hAnsi="Times New Roman" w:eastAsia="宋体"/>
                <w:b/>
                <w:color w:val="1F1F1F"/>
                <w:sz w:val="18"/>
              </w:rPr>
              <w:t>序号</w:t>
            </w:r>
          </w:p>
        </w:tc>
        <w:tc>
          <w:tcPr>
            <w:tcW w:type="dxa" w:w="1458"/>
            <w:shd w:val="clear" w:color="auto" w:fill="E7EEF3"/>
          </w:tcPr>
          <w:p>
            <w:pPr>
              <w:keepNext/>
              <w:spacing w:before="0" w:after="0" w:line="276" w:lineRule="auto"/>
            </w:pPr>
            <w:r/>
            <w:r>
              <w:rPr>
                <w:rFonts w:ascii="Times New Roman" w:hAnsi="Times New Roman" w:eastAsia="宋体"/>
                <w:b/>
                <w:color w:val="1F1F1F"/>
                <w:sz w:val="18"/>
              </w:rPr>
              <w:t>资产项</w:t>
            </w:r>
          </w:p>
        </w:tc>
        <w:tc>
          <w:tcPr>
            <w:tcW w:type="dxa" w:w="3580"/>
            <w:shd w:val="clear" w:color="auto" w:fill="E7EEF3"/>
          </w:tcPr>
          <w:p>
            <w:pPr>
              <w:keepNext/>
              <w:spacing w:before="0" w:after="0" w:line="276" w:lineRule="auto"/>
            </w:pPr>
            <w:r/>
            <w:r>
              <w:rPr>
                <w:rFonts w:ascii="Times New Roman" w:hAnsi="Times New Roman" w:eastAsia="宋体"/>
                <w:b/>
                <w:color w:val="1F1F1F"/>
                <w:sz w:val="18"/>
              </w:rPr>
              <w:t>内容</w:t>
            </w:r>
          </w:p>
        </w:tc>
        <w:tc>
          <w:tcPr>
            <w:tcW w:type="dxa" w:w="2575"/>
            <w:shd w:val="clear" w:color="auto" w:fill="E7EEF3"/>
          </w:tcPr>
          <w:p>
            <w:pPr>
              <w:keepNext/>
              <w:spacing w:before="0" w:after="0" w:line="276" w:lineRule="auto"/>
            </w:pPr>
            <w:r/>
            <w:r>
              <w:rPr>
                <w:rFonts w:ascii="Times New Roman" w:hAnsi="Times New Roman" w:eastAsia="宋体"/>
                <w:b/>
                <w:color w:val="1F1F1F"/>
                <w:sz w:val="18"/>
              </w:rPr>
              <w:t>在基地验证什么</w:t>
            </w:r>
          </w:p>
        </w:tc>
      </w:tr>
      <w:tr>
        <w:trPr>
          <w:cantSplit/>
        </w:trPr>
        <w:tc>
          <w:tcPr>
            <w:tcW w:type="dxa" w:w="1231"/>
          </w:tcPr>
          <w:p>
            <w:pPr>
              <w:spacing w:before="0" w:after="0" w:line="276" w:lineRule="auto"/>
            </w:pPr>
            <w:r/>
            <w:r>
              <w:rPr>
                <w:rFonts w:ascii="Times New Roman" w:hAnsi="Times New Roman" w:eastAsia="宋体"/>
                <w:b w:val="0"/>
                <w:color w:val="1F1F1F"/>
                <w:sz w:val="18"/>
              </w:rPr>
              <w:t>1</w:t>
            </w:r>
          </w:p>
        </w:tc>
        <w:tc>
          <w:tcPr>
            <w:tcW w:type="dxa" w:w="1458"/>
          </w:tcPr>
          <w:p>
            <w:pPr>
              <w:spacing w:before="0" w:after="0" w:line="276" w:lineRule="auto"/>
            </w:pPr>
            <w:r/>
            <w:r>
              <w:rPr>
                <w:rFonts w:ascii="Times New Roman" w:hAnsi="Times New Roman" w:eastAsia="宋体"/>
                <w:b w:val="0"/>
                <w:color w:val="1F1F1F"/>
                <w:sz w:val="18"/>
              </w:rPr>
              <w:t>碳账与核算口径</w:t>
            </w:r>
          </w:p>
        </w:tc>
        <w:tc>
          <w:tcPr>
            <w:tcW w:type="dxa" w:w="3580"/>
          </w:tcPr>
          <w:p>
            <w:pPr>
              <w:spacing w:before="0" w:after="0" w:line="276" w:lineRule="auto"/>
            </w:pPr>
            <w:r/>
            <w:r>
              <w:rPr>
                <w:rFonts w:ascii="Times New Roman" w:hAnsi="Times New Roman" w:eastAsia="宋体"/>
                <w:b w:val="0"/>
                <w:color w:val="1F1F1F"/>
                <w:sz w:val="18"/>
              </w:rPr>
              <w:t>园区级碳账本、核算边界判定方法（含数据机房进出账规则）、与国家标准台阶的校核关系</w:t>
            </w:r>
          </w:p>
        </w:tc>
        <w:tc>
          <w:tcPr>
            <w:tcW w:type="dxa" w:w="2575"/>
          </w:tcPr>
          <w:p>
            <w:pPr>
              <w:spacing w:before="0" w:after="0" w:line="276" w:lineRule="auto"/>
            </w:pPr>
            <w:r/>
            <w:r>
              <w:rPr>
                <w:rFonts w:ascii="Times New Roman" w:hAnsi="Times New Roman" w:eastAsia="宋体"/>
                <w:b w:val="0"/>
                <w:color w:val="1F1F1F"/>
                <w:sz w:val="18"/>
              </w:rPr>
              <w:t>一套账在既有园区能否立得住、对得上、复核得了</w:t>
            </w:r>
          </w:p>
        </w:tc>
      </w:tr>
      <w:tr>
        <w:trPr>
          <w:cantSplit/>
        </w:trPr>
        <w:tc>
          <w:tcPr>
            <w:tcW w:type="dxa" w:w="1231"/>
          </w:tcPr>
          <w:p>
            <w:pPr>
              <w:spacing w:before="0" w:after="0" w:line="276" w:lineRule="auto"/>
            </w:pPr>
            <w:r/>
            <w:r>
              <w:rPr>
                <w:rFonts w:ascii="Times New Roman" w:hAnsi="Times New Roman" w:eastAsia="宋体"/>
                <w:b w:val="0"/>
                <w:color w:val="1F1F1F"/>
                <w:sz w:val="18"/>
              </w:rPr>
              <w:t>2</w:t>
            </w:r>
          </w:p>
        </w:tc>
        <w:tc>
          <w:tcPr>
            <w:tcW w:type="dxa" w:w="1458"/>
          </w:tcPr>
          <w:p>
            <w:pPr>
              <w:spacing w:before="0" w:after="0" w:line="276" w:lineRule="auto"/>
            </w:pPr>
            <w:r/>
            <w:r>
              <w:rPr>
                <w:rFonts w:ascii="Times New Roman" w:hAnsi="Times New Roman" w:eastAsia="宋体"/>
                <w:b w:val="0"/>
                <w:color w:val="1F1F1F"/>
                <w:sz w:val="18"/>
              </w:rPr>
              <w:t>调控与交易模型</w:t>
            </w:r>
          </w:p>
        </w:tc>
        <w:tc>
          <w:tcPr>
            <w:tcW w:type="dxa" w:w="3580"/>
          </w:tcPr>
          <w:p>
            <w:pPr>
              <w:spacing w:before="0" w:after="0" w:line="276" w:lineRule="auto"/>
            </w:pPr>
            <w:r/>
            <w:r>
              <w:rPr>
                <w:rFonts w:ascii="Times New Roman" w:hAnsi="Times New Roman" w:eastAsia="宋体"/>
                <w:b w:val="0"/>
                <w:color w:val="1F1F1F"/>
                <w:sz w:val="18"/>
              </w:rPr>
              <w:t>冷站、蓄冷、光伏、储能、充电、算力等柔性资源接入实时电价、需求响应与交易系统的控制策略与算法</w:t>
            </w:r>
          </w:p>
        </w:tc>
        <w:tc>
          <w:tcPr>
            <w:tcW w:type="dxa" w:w="2575"/>
          </w:tcPr>
          <w:p>
            <w:pPr>
              <w:spacing w:before="0" w:after="0" w:line="276" w:lineRule="auto"/>
            </w:pPr>
            <w:r/>
            <w:r>
              <w:rPr>
                <w:rFonts w:ascii="Times New Roman" w:hAnsi="Times New Roman" w:eastAsia="宋体"/>
                <w:b w:val="0"/>
                <w:color w:val="1F1F1F"/>
                <w:sz w:val="18"/>
              </w:rPr>
              <w:t>电网侧能力能否进入园区运行回路并产生可核验的效果</w:t>
            </w:r>
          </w:p>
        </w:tc>
      </w:tr>
      <w:tr>
        <w:trPr>
          <w:cantSplit/>
        </w:trPr>
        <w:tc>
          <w:tcPr>
            <w:tcW w:type="dxa" w:w="1231"/>
          </w:tcPr>
          <w:p>
            <w:pPr>
              <w:spacing w:before="0" w:after="0" w:line="276" w:lineRule="auto"/>
            </w:pPr>
            <w:r/>
            <w:r>
              <w:rPr>
                <w:rFonts w:ascii="Times New Roman" w:hAnsi="Times New Roman" w:eastAsia="宋体"/>
                <w:b w:val="0"/>
                <w:color w:val="1F1F1F"/>
                <w:sz w:val="18"/>
              </w:rPr>
              <w:t>3</w:t>
            </w:r>
          </w:p>
        </w:tc>
        <w:tc>
          <w:tcPr>
            <w:tcW w:type="dxa" w:w="1458"/>
          </w:tcPr>
          <w:p>
            <w:pPr>
              <w:spacing w:before="0" w:after="0" w:line="276" w:lineRule="auto"/>
            </w:pPr>
            <w:r/>
            <w:r>
              <w:rPr>
                <w:rFonts w:ascii="Times New Roman" w:hAnsi="Times New Roman" w:eastAsia="宋体"/>
                <w:b w:val="0"/>
                <w:color w:val="1F1F1F"/>
                <w:sz w:val="18"/>
              </w:rPr>
              <w:t>数字底座与数据资产</w:t>
            </w:r>
          </w:p>
        </w:tc>
        <w:tc>
          <w:tcPr>
            <w:tcW w:type="dxa" w:w="3580"/>
          </w:tcPr>
          <w:p>
            <w:pPr>
              <w:spacing w:before="0" w:after="0" w:line="276" w:lineRule="auto"/>
            </w:pPr>
            <w:r/>
            <w:r>
              <w:rPr>
                <w:rFonts w:ascii="Times New Roman" w:hAnsi="Times New Roman" w:eastAsia="宋体"/>
                <w:b w:val="0"/>
                <w:color w:val="1F1F1F"/>
                <w:sz w:val="18"/>
              </w:rPr>
              <w:t>“一个平台、两类功能”的平台架构、设备与用能数据资产、训练完成的负荷预测与调优模型</w:t>
            </w:r>
          </w:p>
        </w:tc>
        <w:tc>
          <w:tcPr>
            <w:tcW w:type="dxa" w:w="2575"/>
          </w:tcPr>
          <w:p>
            <w:pPr>
              <w:spacing w:before="0" w:after="0" w:line="276" w:lineRule="auto"/>
            </w:pPr>
            <w:r/>
            <w:r>
              <w:rPr>
                <w:rFonts w:ascii="Times New Roman" w:hAnsi="Times New Roman" w:eastAsia="宋体"/>
                <w:b w:val="0"/>
                <w:color w:val="1F1F1F"/>
                <w:sz w:val="18"/>
              </w:rPr>
              <w:t>一次规划的底座能否同时承接园内运营与园外互动，数据主权能否自持</w:t>
            </w:r>
          </w:p>
        </w:tc>
      </w:tr>
      <w:tr>
        <w:trPr>
          <w:cantSplit/>
        </w:trPr>
        <w:tc>
          <w:tcPr>
            <w:tcW w:type="dxa" w:w="1231"/>
          </w:tcPr>
          <w:p>
            <w:pPr>
              <w:spacing w:before="0" w:after="0" w:line="276" w:lineRule="auto"/>
            </w:pPr>
            <w:r/>
            <w:r>
              <w:rPr>
                <w:rFonts w:ascii="Times New Roman" w:hAnsi="Times New Roman" w:eastAsia="宋体"/>
                <w:b w:val="0"/>
                <w:color w:val="1F1F1F"/>
                <w:sz w:val="18"/>
              </w:rPr>
              <w:t>4</w:t>
            </w:r>
          </w:p>
        </w:tc>
        <w:tc>
          <w:tcPr>
            <w:tcW w:type="dxa" w:w="1458"/>
          </w:tcPr>
          <w:p>
            <w:pPr>
              <w:spacing w:before="0" w:after="0" w:line="276" w:lineRule="auto"/>
            </w:pPr>
            <w:r/>
            <w:r>
              <w:rPr>
                <w:rFonts w:ascii="Times New Roman" w:hAnsi="Times New Roman" w:eastAsia="宋体"/>
                <w:b w:val="0"/>
                <w:color w:val="1F1F1F"/>
                <w:sz w:val="18"/>
              </w:rPr>
              <w:t>改造与运营方法论</w:t>
            </w:r>
          </w:p>
        </w:tc>
        <w:tc>
          <w:tcPr>
            <w:tcW w:type="dxa" w:w="3580"/>
          </w:tcPr>
          <w:p>
            <w:pPr>
              <w:spacing w:before="0" w:after="0" w:line="276" w:lineRule="auto"/>
            </w:pPr>
            <w:r/>
            <w:r>
              <w:rPr>
                <w:rFonts w:ascii="Times New Roman" w:hAnsi="Times New Roman" w:eastAsia="宋体"/>
                <w:b w:val="0"/>
                <w:color w:val="1F1F1F"/>
                <w:sz w:val="18"/>
              </w:rPr>
              <w:t>连续办公既有园区“不停机、分区试点、先测后改”的诊断分档、实施与验证流程</w:t>
            </w:r>
          </w:p>
        </w:tc>
        <w:tc>
          <w:tcPr>
            <w:tcW w:type="dxa" w:w="2575"/>
          </w:tcPr>
          <w:p>
            <w:pPr>
              <w:spacing w:before="0" w:after="0" w:line="276" w:lineRule="auto"/>
            </w:pPr>
            <w:r/>
            <w:r>
              <w:rPr>
                <w:rFonts w:ascii="Times New Roman" w:hAnsi="Times New Roman" w:eastAsia="宋体"/>
                <w:b w:val="0"/>
                <w:color w:val="1F1F1F"/>
                <w:sz w:val="18"/>
              </w:rPr>
              <w:t>方法论能否在下一个连续办公既有园区复用</w:t>
            </w:r>
          </w:p>
        </w:tc>
      </w:tr>
    </w:tbl>
    <w:p>
      <w:pPr>
        <w:spacing w:after="80"/>
      </w:pPr>
    </w:p>
    <w:p>
      <w:pPr>
        <w:spacing w:before="0" w:after="120" w:line="360" w:lineRule="auto"/>
        <w:ind w:firstLine="480"/>
      </w:pPr>
      <w:r>
        <w:rPr>
          <w:rFonts w:ascii="Times New Roman" w:hAnsi="Times New Roman" w:eastAsia="仿宋_GB2312"/>
          <w:b/>
          <w:color w:val="1F1F1F"/>
          <w:sz w:val="24"/>
        </w:rPr>
        <w:t>基地是验证场，对应课题“内部验证—行业复制”。</w:t>
      </w:r>
      <w:r>
        <w:rPr>
          <w:rFonts w:ascii="Times New Roman" w:hAnsi="Times New Roman" w:eastAsia="仿宋_GB2312"/>
          <w:b w:val="0"/>
          <w:color w:val="1F1F1F"/>
          <w:sz w:val="24"/>
        </w:rPr>
        <w:t xml:space="preserve"> 验证场的验收口径不是“这栋楼多好看”，而是“跑通之后能不能复制给下一个园区”。复制次序是：南网内其他园区（生产、科研、变电站配套等园区）在先，其他央国企园区在后。</w:t>
      </w:r>
    </w:p>
    <w:p>
      <w:pPr>
        <w:spacing w:before="0" w:after="120" w:line="360" w:lineRule="auto"/>
        <w:ind w:firstLine="480"/>
      </w:pPr>
      <w:r>
        <w:rPr>
          <w:rFonts w:ascii="Times New Roman" w:hAnsi="Times New Roman" w:eastAsia="仿宋_GB2312"/>
          <w:b/>
          <w:color w:val="1F1F1F"/>
          <w:sz w:val="24"/>
        </w:rPr>
        <w:t>基地不是第二增长曲线本身。</w:t>
      </w:r>
      <w:r>
        <w:rPr>
          <w:rFonts w:ascii="Times New Roman" w:hAnsi="Times New Roman" w:eastAsia="仿宋_GB2312"/>
          <w:b w:val="0"/>
          <w:color w:val="1F1F1F"/>
          <w:sz w:val="24"/>
        </w:rPr>
        <w:t xml:space="preserve"> 曲线是能力与业务，基地是证据与信用。把基地当曲线，会退回展台化的老路；把基地丢掉，曲线无从取信。</w:t>
      </w:r>
    </w:p>
    <w:p>
      <w:pPr>
        <w:pStyle w:val="Heading2"/>
        <w:keepNext/>
        <w:spacing w:before="240" w:after="120" w:line="360" w:lineRule="auto"/>
      </w:pPr>
      <w:r>
        <w:rPr>
          <w:rFonts w:ascii="Times New Roman" w:hAnsi="Times New Roman" w:eastAsia="黑体"/>
          <w:b w:val="0"/>
          <w:color w:val="1F1F1F"/>
          <w:sz w:val="28"/>
        </w:rPr>
        <w:t>三、零碳如何托住核与绿色边</w:t>
      </w:r>
    </w:p>
    <w:p>
      <w:pPr>
        <w:spacing w:before="0" w:after="120" w:line="360" w:lineRule="auto"/>
        <w:ind w:firstLine="480"/>
      </w:pPr>
      <w:r>
        <w:rPr>
          <w:rFonts w:ascii="Times New Roman" w:hAnsi="Times New Roman" w:eastAsia="仿宋_GB2312"/>
          <w:b w:val="0"/>
          <w:color w:val="1F1F1F"/>
          <w:sz w:val="24"/>
        </w:rPr>
        <w:t>零碳不单列为边。零碳是核所验证的目标结果，由绿色边（碳账、绿电与抵消、光伏与柔性资源）承载指标，由高效边（需求侧节能）提供达标的主力，由智慧边（计量与平台）提供可核验的数据。目标档位按低碳、近零碳、碳中和三档并列进入预可研比较，先核边界、再比目标、后设指标，不机械套用零碳。</w:t>
      </w:r>
    </w:p>
    <w:p>
      <w:pPr>
        <w:pStyle w:val="Heading2"/>
        <w:keepNext/>
        <w:spacing w:before="240" w:after="120" w:line="360" w:lineRule="auto"/>
      </w:pPr>
      <w:r>
        <w:rPr>
          <w:rFonts w:ascii="Times New Roman" w:hAnsi="Times New Roman" w:eastAsia="黑体"/>
          <w:b w:val="0"/>
          <w:color w:val="1F1F1F"/>
          <w:sz w:val="28"/>
        </w:rPr>
        <w:t>四、基地的身份与主笔关系</w:t>
      </w:r>
    </w:p>
    <w:p>
      <w:pPr>
        <w:spacing w:before="0" w:after="120" w:line="360" w:lineRule="auto"/>
        <w:ind w:firstLine="480"/>
      </w:pPr>
      <w:r>
        <w:rPr>
          <w:rFonts w:ascii="Times New Roman" w:hAnsi="Times New Roman" w:eastAsia="仿宋_GB2312"/>
          <w:b w:val="0"/>
          <w:color w:val="1F1F1F"/>
          <w:sz w:val="24"/>
        </w:rPr>
        <w:t>总部基地是南网整体的名片和验证场。园区归南网总部，成果是总部资产与总部名片；能源公司承担主笔与起草，负责最终交付，不是战略主体，也不把基地写成能源公司的展台。主笔与集成由南网自持：买设备、买平台、买认证、买服务，不买主笔。</w:t>
      </w:r>
    </w:p>
    <w:p>
      <w:pPr>
        <w:pStyle w:val="Heading1"/>
        <w:keepNext/>
        <w:pageBreakBefore/>
        <w:spacing w:before="360" w:after="240" w:line="360" w:lineRule="auto"/>
        <w:jc w:val="center"/>
      </w:pPr>
      <w:r>
        <w:rPr>
          <w:rFonts w:ascii="Times New Roman" w:hAnsi="Times New Roman" w:eastAsia="黑体"/>
          <w:b w:val="0"/>
          <w:color w:val="1F1F1F"/>
          <w:sz w:val="32"/>
        </w:rPr>
        <w:t>第二章 改造论证：四层政策束</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既有园区改造不能只由“六张网”单点证成。改造的必要性、可行性、具体内容与责任主体，分别由国家方向、行业与电网、园区与建筑、南网自身四层政策共同支撑。四层各有证据口径，稿中逐层标注，不混用；文件名称与印发状态以正式文本为准【待核】。</w:t>
      </w:r>
    </w:p>
    <w:p>
      <w:pPr>
        <w:pStyle w:val="Heading2"/>
        <w:keepNext/>
        <w:spacing w:before="240" w:after="120" w:line="360" w:lineRule="auto"/>
      </w:pPr>
      <w:r>
        <w:rPr>
          <w:rFonts w:ascii="Times New Roman" w:hAnsi="Times New Roman" w:eastAsia="黑体"/>
          <w:b w:val="0"/>
          <w:color w:val="1F1F1F"/>
          <w:sz w:val="28"/>
        </w:rPr>
        <w:t>一、国家方向：六张网与双碳节能降碳</w:t>
      </w:r>
    </w:p>
    <w:p>
      <w:pPr>
        <w:spacing w:before="0" w:after="120" w:line="360" w:lineRule="auto"/>
        <w:ind w:firstLine="480"/>
      </w:pPr>
      <w:r>
        <w:rPr>
          <w:rFonts w:ascii="Times New Roman" w:hAnsi="Times New Roman" w:eastAsia="仿宋_GB2312"/>
          <w:b w:val="0"/>
          <w:color w:val="1F1F1F"/>
          <w:sz w:val="24"/>
        </w:rPr>
        <w:t>六张网收总方向，说明基础设施建设的重点在哪里【公开报道，待核】。双碳与节能降碳说明既有园区运行提效“必改”：中共中央办公厅、国务院办公厅关于做好节能降碳工作的意见提出把节能降碳贯穿经济社会发展全过程各方面，明确国有企业特别是中央企业加强示范引领【中央文件公开文本，待核】；国务院《2024—2025 年节能降碳行动方案》将建筑、公共机构和用能设备列入重点领域，部署节能降碳改造和用能设备更新【国务院公开文件】。国家发展改革委、国家能源局关于推进“人工智能+”能源高质量发展的实施意见提出以人工智能支撑能源系统安全、绿色和高效运行【部门公开文件】。本层回答“为什么现在要改”，不把国家任务写成本项目资格。</w:t>
      </w:r>
    </w:p>
    <w:p>
      <w:pPr>
        <w:pStyle w:val="Heading2"/>
        <w:keepNext/>
        <w:spacing w:before="240" w:after="120" w:line="360" w:lineRule="auto"/>
      </w:pPr>
      <w:r>
        <w:rPr>
          <w:rFonts w:ascii="Times New Roman" w:hAnsi="Times New Roman" w:eastAsia="黑体"/>
          <w:b w:val="0"/>
          <w:color w:val="1F1F1F"/>
          <w:sz w:val="28"/>
        </w:rPr>
        <w:t>二、行业与电网：新型电力系统与算电协同</w:t>
      </w:r>
    </w:p>
    <w:p>
      <w:pPr>
        <w:spacing w:before="0" w:after="120" w:line="360" w:lineRule="auto"/>
        <w:ind w:firstLine="480"/>
      </w:pPr>
      <w:r>
        <w:rPr>
          <w:rFonts w:ascii="Times New Roman" w:hAnsi="Times New Roman" w:eastAsia="仿宋_GB2312"/>
          <w:b w:val="0"/>
          <w:color w:val="1F1F1F"/>
          <w:sz w:val="24"/>
        </w:rPr>
        <w:t>国家发展改革委、国家能源局、国家数据局《加快构建新型电力系统行动方案（2024—2027 年）》将算力与电力协同项目纳入行动内容，提出协同规划算力与电力基础设施、整合源荷储资源、探索新能源就近供电与聚合交易【部门公开文件】。算电协同由此从方向概念落到资源组织、运行控制与市场机制。本层回答“靠什么改、南网有什么能力改”：总部基地不是国家算力枢纽项目，政策落点收敛为园区级验证，把数据机房、冷站、蓄冷、光伏、储能与充电负荷做成可观测、可预测、可调节的资源池。</w:t>
      </w:r>
    </w:p>
    <w:p>
      <w:pPr>
        <w:pStyle w:val="Heading2"/>
        <w:keepNext/>
        <w:spacing w:before="240" w:after="120" w:line="360" w:lineRule="auto"/>
      </w:pPr>
      <w:r>
        <w:rPr>
          <w:rFonts w:ascii="Times New Roman" w:hAnsi="Times New Roman" w:eastAsia="黑体"/>
          <w:b w:val="0"/>
          <w:color w:val="1F1F1F"/>
          <w:sz w:val="28"/>
        </w:rPr>
        <w:t>三、园区与建筑：既有建筑绿色改造与近零碳</w:t>
      </w:r>
    </w:p>
    <w:p>
      <w:pPr>
        <w:spacing w:before="0" w:after="120" w:line="360" w:lineRule="auto"/>
        <w:ind w:firstLine="480"/>
      </w:pPr>
      <w:r>
        <w:rPr>
          <w:rFonts w:ascii="Times New Roman" w:hAnsi="Times New Roman" w:eastAsia="仿宋_GB2312"/>
          <w:b w:val="0"/>
          <w:color w:val="1F1F1F"/>
          <w:sz w:val="24"/>
        </w:rPr>
        <w:t>国管局等部门关于公共机构绿色低碳引领行动的实施方案提出加大既有建筑节能改造力度、推进空调系统节能改造与智能管控、完善碳排放核算【部门公开文件】；住房和城乡建设部相关规划与碳达峰实施方案提出既有建筑节能绿色改造、建筑运行能效提升【部门公开文件】；《建筑节能与可再生能源利用通用规范》GB 55015-2021 为建筑节能与碳排放提供强制性工程规范基础。低碳、近零碳、零碳三级台阶来自中国建科院宣讲材料转述的《零碳建筑技术标准》口径，标准稿件状态待核实【宣讲材料，待核】，不直接写入项目指标。总部基地不是行政机关公共机构项目，相关政策作大型总部办公园区的方向参照，不作身份套用。本层回答“具体改什么、怎么证明改得有效”：先诊断、补计量、提冷站与机电效率、建碳账、评估效果。</w:t>
      </w:r>
    </w:p>
    <w:p>
      <w:pPr>
        <w:pStyle w:val="Heading2"/>
        <w:keepNext/>
        <w:spacing w:before="240" w:after="120" w:line="360" w:lineRule="auto"/>
      </w:pPr>
      <w:r>
        <w:rPr>
          <w:rFonts w:ascii="Times New Roman" w:hAnsi="Times New Roman" w:eastAsia="黑体"/>
          <w:b w:val="0"/>
          <w:color w:val="1F1F1F"/>
          <w:sz w:val="28"/>
        </w:rPr>
        <w:t>四、南网自身：战略资产与第二增长曲线</w:t>
      </w:r>
    </w:p>
    <w:p>
      <w:pPr>
        <w:spacing w:before="0" w:after="120" w:line="360" w:lineRule="auto"/>
        <w:ind w:firstLine="480"/>
      </w:pPr>
      <w:r>
        <w:rPr>
          <w:rFonts w:ascii="Times New Roman" w:hAnsi="Times New Roman" w:eastAsia="仿宋_GB2312"/>
          <w:b w:val="0"/>
          <w:color w:val="1F1F1F"/>
          <w:sz w:val="24"/>
        </w:rPr>
        <w:t>南网以新型电网为枢纽推进协同发展，算电协同是当前突破口；课题提出“加快积累战略资产，驱动第二增长曲线”。本层回答“该谁改、改完沉淀什么”：主笔、集成、数据与模型由南网掌握，改造成果沉淀为第一章所列四件资产。</w:t>
      </w:r>
    </w:p>
    <w:p>
      <w:pPr>
        <w:pStyle w:val="Heading2"/>
        <w:keepNext/>
        <w:spacing w:before="240" w:after="120" w:line="360" w:lineRule="auto"/>
      </w:pPr>
      <w:r>
        <w:rPr>
          <w:rFonts w:ascii="Times New Roman" w:hAnsi="Times New Roman" w:eastAsia="黑体"/>
          <w:b w:val="0"/>
          <w:color w:val="1F1F1F"/>
          <w:sz w:val="28"/>
        </w:rPr>
        <w:t>五、政策束到改造行动的对应关系</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13"/>
        <w:gridCol w:w="1603"/>
        <w:gridCol w:w="2955"/>
        <w:gridCol w:w="2974"/>
      </w:tblGrid>
      <w:tr>
        <w:trPr>
          <w:cantSplit/>
          <w:tblHeader/>
        </w:trPr>
        <w:tc>
          <w:tcPr>
            <w:tcW w:type="dxa" w:w="1313"/>
            <w:shd w:val="clear" w:color="auto" w:fill="E7EEF3"/>
          </w:tcPr>
          <w:p>
            <w:pPr>
              <w:keepNext/>
              <w:spacing w:before="0" w:after="0" w:line="276" w:lineRule="auto"/>
            </w:pPr>
            <w:r/>
            <w:r>
              <w:rPr>
                <w:rFonts w:ascii="Times New Roman" w:hAnsi="Times New Roman" w:eastAsia="宋体"/>
                <w:b/>
                <w:color w:val="1F1F1F"/>
                <w:sz w:val="18"/>
              </w:rPr>
              <w:t>政策层</w:t>
            </w:r>
          </w:p>
        </w:tc>
        <w:tc>
          <w:tcPr>
            <w:tcW w:type="dxa" w:w="1603"/>
            <w:shd w:val="clear" w:color="auto" w:fill="E7EEF3"/>
          </w:tcPr>
          <w:p>
            <w:pPr>
              <w:keepNext/>
              <w:spacing w:before="0" w:after="0" w:line="276" w:lineRule="auto"/>
            </w:pPr>
            <w:r/>
            <w:r>
              <w:rPr>
                <w:rFonts w:ascii="Times New Roman" w:hAnsi="Times New Roman" w:eastAsia="宋体"/>
                <w:b/>
                <w:color w:val="1F1F1F"/>
                <w:sz w:val="18"/>
              </w:rPr>
              <w:t>回答的问题</w:t>
            </w:r>
          </w:p>
        </w:tc>
        <w:tc>
          <w:tcPr>
            <w:tcW w:type="dxa" w:w="2955"/>
            <w:shd w:val="clear" w:color="auto" w:fill="E7EEF3"/>
          </w:tcPr>
          <w:p>
            <w:pPr>
              <w:keepNext/>
              <w:spacing w:before="0" w:after="0" w:line="276" w:lineRule="auto"/>
            </w:pPr>
            <w:r/>
            <w:r>
              <w:rPr>
                <w:rFonts w:ascii="Times New Roman" w:hAnsi="Times New Roman" w:eastAsia="宋体"/>
                <w:b/>
                <w:color w:val="1F1F1F"/>
                <w:sz w:val="18"/>
              </w:rPr>
              <w:t>总部基地行动落点</w:t>
            </w:r>
          </w:p>
        </w:tc>
        <w:tc>
          <w:tcPr>
            <w:tcW w:type="dxa" w:w="2974"/>
            <w:shd w:val="clear" w:color="auto" w:fill="E7EEF3"/>
          </w:tcPr>
          <w:p>
            <w:pPr>
              <w:keepNext/>
              <w:spacing w:before="0" w:after="0" w:line="276" w:lineRule="auto"/>
            </w:pPr>
            <w:r/>
            <w:r>
              <w:rPr>
                <w:rFonts w:ascii="Times New Roman" w:hAnsi="Times New Roman" w:eastAsia="宋体"/>
                <w:b/>
                <w:color w:val="1F1F1F"/>
                <w:sz w:val="18"/>
              </w:rPr>
              <w:t>证据纪律</w:t>
            </w:r>
          </w:p>
        </w:tc>
      </w:tr>
      <w:tr>
        <w:trPr>
          <w:cantSplit/>
        </w:trPr>
        <w:tc>
          <w:tcPr>
            <w:tcW w:type="dxa" w:w="1313"/>
          </w:tcPr>
          <w:p>
            <w:pPr>
              <w:spacing w:before="0" w:after="0" w:line="276" w:lineRule="auto"/>
            </w:pPr>
            <w:r/>
            <w:r>
              <w:rPr>
                <w:rFonts w:ascii="Times New Roman" w:hAnsi="Times New Roman" w:eastAsia="宋体"/>
                <w:b w:val="0"/>
                <w:color w:val="1F1F1F"/>
                <w:sz w:val="18"/>
              </w:rPr>
              <w:t>国家方向</w:t>
            </w:r>
          </w:p>
        </w:tc>
        <w:tc>
          <w:tcPr>
            <w:tcW w:type="dxa" w:w="1603"/>
          </w:tcPr>
          <w:p>
            <w:pPr>
              <w:spacing w:before="0" w:after="0" w:line="276" w:lineRule="auto"/>
            </w:pPr>
            <w:r/>
            <w:r>
              <w:rPr>
                <w:rFonts w:ascii="Times New Roman" w:hAnsi="Times New Roman" w:eastAsia="宋体"/>
                <w:b w:val="0"/>
                <w:color w:val="1F1F1F"/>
                <w:sz w:val="18"/>
              </w:rPr>
              <w:t>为什么现在必改</w:t>
            </w:r>
          </w:p>
        </w:tc>
        <w:tc>
          <w:tcPr>
            <w:tcW w:type="dxa" w:w="2955"/>
          </w:tcPr>
          <w:p>
            <w:pPr>
              <w:spacing w:before="0" w:after="0" w:line="276" w:lineRule="auto"/>
            </w:pPr>
            <w:r/>
            <w:r>
              <w:rPr>
                <w:rFonts w:ascii="Times New Roman" w:hAnsi="Times New Roman" w:eastAsia="宋体"/>
                <w:b w:val="0"/>
                <w:color w:val="1F1F1F"/>
                <w:sz w:val="18"/>
              </w:rPr>
              <w:t>节能降碳贯穿运行全过程；人工智能支撑能源系统提效</w:t>
            </w:r>
          </w:p>
        </w:tc>
        <w:tc>
          <w:tcPr>
            <w:tcW w:type="dxa" w:w="2974"/>
          </w:tcPr>
          <w:p>
            <w:pPr>
              <w:spacing w:before="0" w:after="0" w:line="276" w:lineRule="auto"/>
            </w:pPr>
            <w:r/>
            <w:r>
              <w:rPr>
                <w:rFonts w:ascii="Times New Roman" w:hAnsi="Times New Roman" w:eastAsia="宋体"/>
                <w:b w:val="0"/>
                <w:color w:val="1F1F1F"/>
                <w:sz w:val="18"/>
              </w:rPr>
              <w:t>引用中央、国务院及部门公开文件；不把国家任务写成本项目资格</w:t>
            </w:r>
          </w:p>
        </w:tc>
      </w:tr>
      <w:tr>
        <w:trPr>
          <w:cantSplit/>
        </w:trPr>
        <w:tc>
          <w:tcPr>
            <w:tcW w:type="dxa" w:w="1313"/>
          </w:tcPr>
          <w:p>
            <w:pPr>
              <w:spacing w:before="0" w:after="0" w:line="276" w:lineRule="auto"/>
            </w:pPr>
            <w:r/>
            <w:r>
              <w:rPr>
                <w:rFonts w:ascii="Times New Roman" w:hAnsi="Times New Roman" w:eastAsia="宋体"/>
                <w:b w:val="0"/>
                <w:color w:val="1F1F1F"/>
                <w:sz w:val="18"/>
              </w:rPr>
              <w:t>行业与电网</w:t>
            </w:r>
          </w:p>
        </w:tc>
        <w:tc>
          <w:tcPr>
            <w:tcW w:type="dxa" w:w="1603"/>
          </w:tcPr>
          <w:p>
            <w:pPr>
              <w:spacing w:before="0" w:after="0" w:line="276" w:lineRule="auto"/>
            </w:pPr>
            <w:r/>
            <w:r>
              <w:rPr>
                <w:rFonts w:ascii="Times New Roman" w:hAnsi="Times New Roman" w:eastAsia="宋体"/>
                <w:b w:val="0"/>
                <w:color w:val="1F1F1F"/>
                <w:sz w:val="18"/>
              </w:rPr>
              <w:t>依靠什么能力改</w:t>
            </w:r>
          </w:p>
        </w:tc>
        <w:tc>
          <w:tcPr>
            <w:tcW w:type="dxa" w:w="2955"/>
          </w:tcPr>
          <w:p>
            <w:pPr>
              <w:spacing w:before="0" w:after="0" w:line="276" w:lineRule="auto"/>
            </w:pPr>
            <w:r/>
            <w:r>
              <w:rPr>
                <w:rFonts w:ascii="Times New Roman" w:hAnsi="Times New Roman" w:eastAsia="宋体"/>
                <w:b w:val="0"/>
                <w:color w:val="1F1F1F"/>
                <w:sz w:val="18"/>
              </w:rPr>
              <w:t>源网荷储、算电协同、双向调度、绿电与需求响应接口</w:t>
            </w:r>
          </w:p>
        </w:tc>
        <w:tc>
          <w:tcPr>
            <w:tcW w:type="dxa" w:w="2974"/>
          </w:tcPr>
          <w:p>
            <w:pPr>
              <w:spacing w:before="0" w:after="0" w:line="276" w:lineRule="auto"/>
            </w:pPr>
            <w:r/>
            <w:r>
              <w:rPr>
                <w:rFonts w:ascii="Times New Roman" w:hAnsi="Times New Roman" w:eastAsia="宋体"/>
                <w:b w:val="0"/>
                <w:color w:val="1F1F1F"/>
                <w:sz w:val="18"/>
              </w:rPr>
              <w:t>引用部门公开文件与发布会口径；机制时间表以正式规则为准</w:t>
            </w:r>
          </w:p>
        </w:tc>
      </w:tr>
      <w:tr>
        <w:trPr>
          <w:cantSplit/>
        </w:trPr>
        <w:tc>
          <w:tcPr>
            <w:tcW w:type="dxa" w:w="1313"/>
          </w:tcPr>
          <w:p>
            <w:pPr>
              <w:spacing w:before="0" w:after="0" w:line="276" w:lineRule="auto"/>
            </w:pPr>
            <w:r/>
            <w:r>
              <w:rPr>
                <w:rFonts w:ascii="Times New Roman" w:hAnsi="Times New Roman" w:eastAsia="宋体"/>
                <w:b w:val="0"/>
                <w:color w:val="1F1F1F"/>
                <w:sz w:val="18"/>
              </w:rPr>
              <w:t>园区与建筑</w:t>
            </w:r>
          </w:p>
        </w:tc>
        <w:tc>
          <w:tcPr>
            <w:tcW w:type="dxa" w:w="1603"/>
          </w:tcPr>
          <w:p>
            <w:pPr>
              <w:spacing w:before="0" w:after="0" w:line="276" w:lineRule="auto"/>
            </w:pPr>
            <w:r/>
            <w:r>
              <w:rPr>
                <w:rFonts w:ascii="Times New Roman" w:hAnsi="Times New Roman" w:eastAsia="宋体"/>
                <w:b w:val="0"/>
                <w:color w:val="1F1F1F"/>
                <w:sz w:val="18"/>
              </w:rPr>
              <w:t>具体改什么、如何验</w:t>
            </w:r>
          </w:p>
        </w:tc>
        <w:tc>
          <w:tcPr>
            <w:tcW w:type="dxa" w:w="2955"/>
          </w:tcPr>
          <w:p>
            <w:pPr>
              <w:spacing w:before="0" w:after="0" w:line="276" w:lineRule="auto"/>
            </w:pPr>
            <w:r/>
            <w:r>
              <w:rPr>
                <w:rFonts w:ascii="Times New Roman" w:hAnsi="Times New Roman" w:eastAsia="宋体"/>
                <w:b w:val="0"/>
                <w:color w:val="1F1F1F"/>
                <w:sz w:val="18"/>
              </w:rPr>
              <w:t>先诊断、补计量、提冷站与机电效率、建碳账、评估效果</w:t>
            </w:r>
          </w:p>
        </w:tc>
        <w:tc>
          <w:tcPr>
            <w:tcW w:type="dxa" w:w="2974"/>
          </w:tcPr>
          <w:p>
            <w:pPr>
              <w:spacing w:before="0" w:after="0" w:line="276" w:lineRule="auto"/>
            </w:pPr>
            <w:r/>
            <w:r>
              <w:rPr>
                <w:rFonts w:ascii="Times New Roman" w:hAnsi="Times New Roman" w:eastAsia="宋体"/>
                <w:b w:val="0"/>
                <w:color w:val="1F1F1F"/>
                <w:sz w:val="18"/>
              </w:rPr>
              <w:t>强制性标准与政策方向分开；宣讲台阶不进项目指标</w:t>
            </w:r>
          </w:p>
        </w:tc>
      </w:tr>
      <w:tr>
        <w:trPr>
          <w:cantSplit/>
        </w:trPr>
        <w:tc>
          <w:tcPr>
            <w:tcW w:type="dxa" w:w="1313"/>
          </w:tcPr>
          <w:p>
            <w:pPr>
              <w:spacing w:before="0" w:after="0" w:line="276" w:lineRule="auto"/>
            </w:pPr>
            <w:r/>
            <w:r>
              <w:rPr>
                <w:rFonts w:ascii="Times New Roman" w:hAnsi="Times New Roman" w:eastAsia="宋体"/>
                <w:b w:val="0"/>
                <w:color w:val="1F1F1F"/>
                <w:sz w:val="18"/>
              </w:rPr>
              <w:t>南网自身</w:t>
            </w:r>
          </w:p>
        </w:tc>
        <w:tc>
          <w:tcPr>
            <w:tcW w:type="dxa" w:w="1603"/>
          </w:tcPr>
          <w:p>
            <w:pPr>
              <w:spacing w:before="0" w:after="0" w:line="276" w:lineRule="auto"/>
            </w:pPr>
            <w:r/>
            <w:r>
              <w:rPr>
                <w:rFonts w:ascii="Times New Roman" w:hAnsi="Times New Roman" w:eastAsia="宋体"/>
                <w:b w:val="0"/>
                <w:color w:val="1F1F1F"/>
                <w:sz w:val="18"/>
              </w:rPr>
              <w:t>该谁改、沉淀什么</w:t>
            </w:r>
          </w:p>
        </w:tc>
        <w:tc>
          <w:tcPr>
            <w:tcW w:type="dxa" w:w="2955"/>
          </w:tcPr>
          <w:p>
            <w:pPr>
              <w:spacing w:before="0" w:after="0" w:line="276" w:lineRule="auto"/>
            </w:pPr>
            <w:r/>
            <w:r>
              <w:rPr>
                <w:rFonts w:ascii="Times New Roman" w:hAnsi="Times New Roman" w:eastAsia="宋体"/>
                <w:b w:val="0"/>
                <w:color w:val="1F1F1F"/>
                <w:sz w:val="18"/>
              </w:rPr>
              <w:t>能源公司主笔起草，成果沉淀为碳账、模型、数据与方法</w:t>
            </w:r>
          </w:p>
        </w:tc>
        <w:tc>
          <w:tcPr>
            <w:tcW w:type="dxa" w:w="2974"/>
          </w:tcPr>
          <w:p>
            <w:pPr>
              <w:spacing w:before="0" w:after="0" w:line="276" w:lineRule="auto"/>
            </w:pPr>
            <w:r/>
            <w:r>
              <w:rPr>
                <w:rFonts w:ascii="Times New Roman" w:hAnsi="Times New Roman" w:eastAsia="宋体"/>
                <w:b w:val="0"/>
                <w:color w:val="1F1F1F"/>
                <w:sz w:val="18"/>
              </w:rPr>
              <w:t>公司战略以正式文件为准；不提前写投资额或合作安排</w:t>
            </w:r>
          </w:p>
        </w:tc>
      </w:tr>
    </w:tbl>
    <w:p>
      <w:pPr>
        <w:spacing w:after="80"/>
      </w:pPr>
    </w:p>
    <w:p>
      <w:pPr>
        <w:pStyle w:val="Heading1"/>
        <w:keepNext/>
        <w:pageBreakBefore/>
        <w:spacing w:before="360" w:after="240" w:line="360" w:lineRule="auto"/>
        <w:jc w:val="center"/>
      </w:pPr>
      <w:r>
        <w:rPr>
          <w:rFonts w:ascii="Times New Roman" w:hAnsi="Times New Roman" w:eastAsia="黑体"/>
          <w:b w:val="0"/>
          <w:color w:val="1F1F1F"/>
          <w:sz w:val="32"/>
        </w:rPr>
        <w:t>第三章 现状、约束与工作基础</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现有材料足以支撑“先诊断、先立账、先规划平台、分区试点”的方向判断，不足以设定量化指标；缺口不影响方向，影响的是指标值，故指标留待预可研在实测基线上设定。</w:t>
      </w:r>
    </w:p>
    <w:p>
      <w:pPr>
        <w:pStyle w:val="Heading2"/>
        <w:keepNext/>
        <w:spacing w:before="240" w:after="120" w:line="360" w:lineRule="auto"/>
      </w:pPr>
      <w:r>
        <w:rPr>
          <w:rFonts w:ascii="Times New Roman" w:hAnsi="Times New Roman" w:eastAsia="黑体"/>
          <w:b w:val="0"/>
          <w:color w:val="1F1F1F"/>
          <w:sz w:val="28"/>
        </w:rPr>
        <w:t>一、园区底数（均为交流口径，待核）</w:t>
      </w:r>
    </w:p>
    <w:p>
      <w:pPr>
        <w:spacing w:before="0" w:after="80" w:line="360" w:lineRule="auto"/>
        <w:ind w:left="480" w:hanging="240"/>
      </w:pPr>
      <w:r>
        <w:rPr>
          <w:rFonts w:ascii="Times New Roman" w:hAnsi="Times New Roman" w:eastAsia="仿宋_GB2312"/>
          <w:b w:val="0"/>
          <w:color w:val="1F1F1F"/>
          <w:sz w:val="24"/>
        </w:rPr>
        <w:t>▪ 广州科学城既有园区，约 5000 人持续办公【交流纪要，待核】。</w:t>
      </w:r>
    </w:p>
    <w:p>
      <w:pPr>
        <w:spacing w:before="0" w:after="80" w:line="360" w:lineRule="auto"/>
        <w:ind w:left="480" w:hanging="240"/>
      </w:pPr>
      <w:r>
        <w:rPr>
          <w:rFonts w:ascii="Times New Roman" w:hAnsi="Times New Roman" w:eastAsia="仿宋_GB2312"/>
          <w:b w:val="0"/>
          <w:color w:val="1F1F1F"/>
          <w:sz w:val="24"/>
        </w:rPr>
        <w:t>▪ 主要机电设备 2016 年投运，运行已满十年、未到报废年限【交流纪要，待核】。</w:t>
      </w:r>
    </w:p>
    <w:p>
      <w:pPr>
        <w:spacing w:before="0" w:after="80" w:line="360" w:lineRule="auto"/>
        <w:ind w:left="480" w:hanging="240"/>
      </w:pPr>
      <w:r>
        <w:rPr>
          <w:rFonts w:ascii="Times New Roman" w:hAnsi="Times New Roman" w:eastAsia="仿宋_GB2312"/>
          <w:b w:val="0"/>
          <w:color w:val="1F1F1F"/>
          <w:sz w:val="24"/>
        </w:rPr>
        <w:t>▪ 既有建筑历史风貌与外立面不可大改；屋顶光伏空间有限，立面尚未布置光伏【交流纪要，待核】。</w:t>
      </w:r>
    </w:p>
    <w:p>
      <w:pPr>
        <w:spacing w:before="0" w:after="80" w:line="360" w:lineRule="auto"/>
        <w:ind w:left="480" w:hanging="240"/>
      </w:pPr>
      <w:r>
        <w:rPr>
          <w:rFonts w:ascii="Times New Roman" w:hAnsi="Times New Roman" w:eastAsia="仿宋_GB2312"/>
          <w:b w:val="0"/>
          <w:color w:val="1F1F1F"/>
          <w:sz w:val="24"/>
        </w:rPr>
        <w:t>▪ 年用电量存在两种并存口径（约 7000 万度是否含数据机房未澄清）【会中口述，待核】；现状光伏装机约 2 点几兆瓦【会中口述，待核】。</w:t>
      </w:r>
    </w:p>
    <w:p>
      <w:pPr>
        <w:spacing w:before="0" w:after="80" w:line="360" w:lineRule="auto"/>
        <w:ind w:left="480" w:hanging="240"/>
      </w:pPr>
      <w:r>
        <w:rPr>
          <w:rFonts w:ascii="Times New Roman" w:hAnsi="Times New Roman" w:eastAsia="仿宋_GB2312"/>
          <w:b w:val="0"/>
          <w:color w:val="1F1F1F"/>
          <w:sz w:val="24"/>
        </w:rPr>
        <w:t>▪ 园区含数据机房；现有冰蓄冷系统的经济性建立在固定低谷电价之上【交流纪要，待核】。</w:t>
      </w:r>
    </w:p>
    <w:p>
      <w:pPr>
        <w:pStyle w:val="Heading2"/>
        <w:keepNext/>
        <w:spacing w:before="240" w:after="120" w:line="360" w:lineRule="auto"/>
      </w:pPr>
      <w:r>
        <w:rPr>
          <w:rFonts w:ascii="Times New Roman" w:hAnsi="Times New Roman" w:eastAsia="黑体"/>
          <w:b w:val="0"/>
          <w:color w:val="1F1F1F"/>
          <w:sz w:val="28"/>
        </w:rPr>
        <w:t>二、五项硬约束及其对方案的反向塑造</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07"/>
        <w:gridCol w:w="6037"/>
      </w:tblGrid>
      <w:tr>
        <w:trPr>
          <w:cantSplit/>
          <w:tblHeader/>
        </w:trPr>
        <w:tc>
          <w:tcPr>
            <w:tcW w:type="dxa" w:w="2807"/>
            <w:shd w:val="clear" w:color="auto" w:fill="E7EEF3"/>
          </w:tcPr>
          <w:p>
            <w:pPr>
              <w:keepNext/>
              <w:spacing w:before="0" w:after="0" w:line="276" w:lineRule="auto"/>
            </w:pPr>
            <w:r/>
            <w:r>
              <w:rPr>
                <w:rFonts w:ascii="Times New Roman" w:hAnsi="Times New Roman" w:eastAsia="宋体"/>
                <w:b/>
                <w:color w:val="1F1F1F"/>
                <w:sz w:val="18"/>
              </w:rPr>
              <w:t>约束</w:t>
            </w:r>
          </w:p>
        </w:tc>
        <w:tc>
          <w:tcPr>
            <w:tcW w:type="dxa" w:w="6037"/>
            <w:shd w:val="clear" w:color="auto" w:fill="E7EEF3"/>
          </w:tcPr>
          <w:p>
            <w:pPr>
              <w:keepNext/>
              <w:spacing w:before="0" w:after="0" w:line="276" w:lineRule="auto"/>
            </w:pPr>
            <w:r/>
            <w:r>
              <w:rPr>
                <w:rFonts w:ascii="Times New Roman" w:hAnsi="Times New Roman" w:eastAsia="宋体"/>
                <w:b/>
                <w:color w:val="1F1F1F"/>
                <w:sz w:val="18"/>
              </w:rPr>
              <w:t>对方案的塑造</w:t>
            </w:r>
          </w:p>
        </w:tc>
      </w:tr>
      <w:tr>
        <w:trPr>
          <w:cantSplit/>
        </w:trPr>
        <w:tc>
          <w:tcPr>
            <w:tcW w:type="dxa" w:w="2807"/>
          </w:tcPr>
          <w:p>
            <w:pPr>
              <w:spacing w:before="0" w:after="0" w:line="276" w:lineRule="auto"/>
            </w:pPr>
            <w:r/>
            <w:r>
              <w:rPr>
                <w:rFonts w:ascii="Times New Roman" w:hAnsi="Times New Roman" w:eastAsia="宋体"/>
                <w:b w:val="0"/>
                <w:color w:val="1F1F1F"/>
                <w:sz w:val="18"/>
              </w:rPr>
              <w:t>连续办公、不能成片停机</w:t>
            </w:r>
          </w:p>
        </w:tc>
        <w:tc>
          <w:tcPr>
            <w:tcW w:type="dxa" w:w="6037"/>
          </w:tcPr>
          <w:p>
            <w:pPr>
              <w:spacing w:before="0" w:after="0" w:line="276" w:lineRule="auto"/>
            </w:pPr>
            <w:r/>
            <w:r>
              <w:rPr>
                <w:rFonts w:ascii="Times New Roman" w:hAnsi="Times New Roman" w:eastAsia="宋体"/>
                <w:b w:val="0"/>
                <w:color w:val="1F1F1F"/>
                <w:sz w:val="18"/>
              </w:rPr>
              <w:t>园中园、分区试点；改造以控制回路与末端为主，不做休克式大改</w:t>
            </w:r>
          </w:p>
        </w:tc>
      </w:tr>
      <w:tr>
        <w:trPr>
          <w:cantSplit/>
        </w:trPr>
        <w:tc>
          <w:tcPr>
            <w:tcW w:type="dxa" w:w="2807"/>
          </w:tcPr>
          <w:p>
            <w:pPr>
              <w:spacing w:before="0" w:after="0" w:line="276" w:lineRule="auto"/>
            </w:pPr>
            <w:r/>
            <w:r>
              <w:rPr>
                <w:rFonts w:ascii="Times New Roman" w:hAnsi="Times New Roman" w:eastAsia="宋体"/>
                <w:b w:val="0"/>
                <w:color w:val="1F1F1F"/>
                <w:sz w:val="18"/>
              </w:rPr>
              <w:t>风貌与外立面不可大改</w:t>
            </w:r>
          </w:p>
        </w:tc>
        <w:tc>
          <w:tcPr>
            <w:tcW w:type="dxa" w:w="6037"/>
          </w:tcPr>
          <w:p>
            <w:pPr>
              <w:spacing w:before="0" w:after="0" w:line="276" w:lineRule="auto"/>
            </w:pPr>
            <w:r/>
            <w:r>
              <w:rPr>
                <w:rFonts w:ascii="Times New Roman" w:hAnsi="Times New Roman" w:eastAsia="宋体"/>
                <w:b w:val="0"/>
                <w:color w:val="1F1F1F"/>
                <w:sz w:val="18"/>
              </w:rPr>
              <w:t>针灸式局部更新；围护结构与立面光伏不作主路径</w:t>
            </w:r>
          </w:p>
        </w:tc>
      </w:tr>
      <w:tr>
        <w:trPr>
          <w:cantSplit/>
        </w:trPr>
        <w:tc>
          <w:tcPr>
            <w:tcW w:type="dxa" w:w="2807"/>
          </w:tcPr>
          <w:p>
            <w:pPr>
              <w:spacing w:before="0" w:after="0" w:line="276" w:lineRule="auto"/>
            </w:pPr>
            <w:r/>
            <w:r>
              <w:rPr>
                <w:rFonts w:ascii="Times New Roman" w:hAnsi="Times New Roman" w:eastAsia="宋体"/>
                <w:b w:val="0"/>
                <w:color w:val="1F1F1F"/>
                <w:sz w:val="18"/>
              </w:rPr>
              <w:t>设备满十年未到报废</w:t>
            </w:r>
          </w:p>
        </w:tc>
        <w:tc>
          <w:tcPr>
            <w:tcW w:type="dxa" w:w="6037"/>
          </w:tcPr>
          <w:p>
            <w:pPr>
              <w:spacing w:before="0" w:after="0" w:line="276" w:lineRule="auto"/>
            </w:pPr>
            <w:r/>
            <w:r>
              <w:rPr>
                <w:rFonts w:ascii="Times New Roman" w:hAnsi="Times New Roman" w:eastAsia="宋体"/>
                <w:b w:val="0"/>
                <w:color w:val="1F1F1F"/>
                <w:sz w:val="18"/>
              </w:rPr>
              <w:t>先诊断、后决定；不换主机的节能路径优先</w:t>
            </w:r>
          </w:p>
        </w:tc>
      </w:tr>
      <w:tr>
        <w:trPr>
          <w:cantSplit/>
        </w:trPr>
        <w:tc>
          <w:tcPr>
            <w:tcW w:type="dxa" w:w="2807"/>
          </w:tcPr>
          <w:p>
            <w:pPr>
              <w:spacing w:before="0" w:after="0" w:line="276" w:lineRule="auto"/>
            </w:pPr>
            <w:r/>
            <w:r>
              <w:rPr>
                <w:rFonts w:ascii="Times New Roman" w:hAnsi="Times New Roman" w:eastAsia="宋体"/>
                <w:b w:val="0"/>
                <w:color w:val="1F1F1F"/>
                <w:sz w:val="18"/>
              </w:rPr>
              <w:t>屋顶光伏空间有限</w:t>
            </w:r>
          </w:p>
        </w:tc>
        <w:tc>
          <w:tcPr>
            <w:tcW w:type="dxa" w:w="6037"/>
          </w:tcPr>
          <w:p>
            <w:pPr>
              <w:spacing w:before="0" w:after="0" w:line="276" w:lineRule="auto"/>
            </w:pPr>
            <w:r/>
            <w:r>
              <w:rPr>
                <w:rFonts w:ascii="Times New Roman" w:hAnsi="Times New Roman" w:eastAsia="宋体"/>
                <w:b w:val="0"/>
                <w:color w:val="1F1F1F"/>
                <w:sz w:val="18"/>
              </w:rPr>
              <w:t>先做资源普查，光伏不作达标主路径；抵消主力在需求侧节能与绿电交易</w:t>
            </w:r>
          </w:p>
        </w:tc>
      </w:tr>
      <w:tr>
        <w:trPr>
          <w:cantSplit/>
        </w:trPr>
        <w:tc>
          <w:tcPr>
            <w:tcW w:type="dxa" w:w="2807"/>
          </w:tcPr>
          <w:p>
            <w:pPr>
              <w:spacing w:before="0" w:after="0" w:line="276" w:lineRule="auto"/>
            </w:pPr>
            <w:r/>
            <w:r>
              <w:rPr>
                <w:rFonts w:ascii="Times New Roman" w:hAnsi="Times New Roman" w:eastAsia="宋体"/>
                <w:b w:val="0"/>
                <w:color w:val="1F1F1F"/>
                <w:sz w:val="18"/>
              </w:rPr>
              <w:t>电价机制转向实时电价</w:t>
            </w:r>
          </w:p>
        </w:tc>
        <w:tc>
          <w:tcPr>
            <w:tcW w:type="dxa" w:w="6037"/>
          </w:tcPr>
          <w:p>
            <w:pPr>
              <w:spacing w:before="0" w:after="0" w:line="276" w:lineRule="auto"/>
            </w:pPr>
            <w:r/>
            <w:r>
              <w:rPr>
                <w:rFonts w:ascii="Times New Roman" w:hAnsi="Times New Roman" w:eastAsia="宋体"/>
                <w:b w:val="0"/>
                <w:color w:val="1F1F1F"/>
                <w:sz w:val="18"/>
              </w:rPr>
              <w:t>蓄冷策略必须与交易系统对接，属需提前安排事项而非可选项</w:t>
            </w:r>
          </w:p>
        </w:tc>
      </w:tr>
    </w:tbl>
    <w:p>
      <w:pPr>
        <w:spacing w:after="80"/>
      </w:pPr>
    </w:p>
    <w:p>
      <w:pPr>
        <w:pStyle w:val="Heading2"/>
        <w:keepNext/>
        <w:spacing w:before="240" w:after="120" w:line="360" w:lineRule="auto"/>
      </w:pPr>
      <w:r>
        <w:rPr>
          <w:rFonts w:ascii="Times New Roman" w:hAnsi="Times New Roman" w:eastAsia="黑体"/>
          <w:b w:val="0"/>
          <w:color w:val="1F1F1F"/>
          <w:sz w:val="28"/>
        </w:rPr>
        <w:t>三、工作基础</w:t>
      </w:r>
    </w:p>
    <w:p>
      <w:pPr>
        <w:spacing w:before="0" w:after="80" w:line="360" w:lineRule="auto"/>
        <w:ind w:left="480" w:hanging="240"/>
      </w:pPr>
      <w:r>
        <w:rPr>
          <w:rFonts w:ascii="Times New Roman" w:hAnsi="Times New Roman" w:eastAsia="仿宋_GB2312"/>
          <w:b w:val="0"/>
          <w:color w:val="1F1F1F"/>
          <w:sz w:val="24"/>
        </w:rPr>
        <w:t>▪ 北京调研已完成中国建科院、中国移动、清华大学三家单位的交流，形成调研报告与技术清单；实地环节与深圳、广州两站按调研计划推进。</w:t>
      </w:r>
    </w:p>
    <w:p>
      <w:pPr>
        <w:spacing w:before="0" w:after="80" w:line="360" w:lineRule="auto"/>
        <w:ind w:left="480" w:hanging="240"/>
      </w:pPr>
      <w:r>
        <w:rPr>
          <w:rFonts w:ascii="Times New Roman" w:hAnsi="Times New Roman" w:eastAsia="仿宋_GB2312"/>
          <w:b w:val="0"/>
          <w:color w:val="1F1F1F"/>
          <w:sz w:val="24"/>
        </w:rPr>
        <w:t>▪ 8 月 26 日研讨会与 8 月 27 日工作安排已定“一个核心战略、六个属性点”口径，明确能源公司主笔并负责最终交付、外请事项按已立专项落实、框架审议通过后由网公司分阶段安排预算。</w:t>
      </w:r>
    </w:p>
    <w:p>
      <w:pPr>
        <w:spacing w:before="0" w:after="80" w:line="360" w:lineRule="auto"/>
        <w:ind w:left="480" w:hanging="240"/>
      </w:pPr>
      <w:r>
        <w:rPr>
          <w:rFonts w:ascii="Times New Roman" w:hAnsi="Times New Roman" w:eastAsia="仿宋_GB2312"/>
          <w:b w:val="0"/>
          <w:color w:val="1F1F1F"/>
          <w:sz w:val="24"/>
        </w:rPr>
        <w:t>▪ 8 月 30 日形成《南网总部基地建设框架方案》修订稿及顶层架构包；本稿在其架构与论证线基础上，按 9 月锁定的六要素口径重做为规划方案。</w:t>
      </w:r>
    </w:p>
    <w:p>
      <w:pPr>
        <w:spacing w:before="0" w:after="80" w:line="360" w:lineRule="auto"/>
        <w:ind w:left="480" w:hanging="240"/>
      </w:pPr>
      <w:r>
        <w:rPr>
          <w:rFonts w:ascii="Times New Roman" w:hAnsi="Times New Roman" w:eastAsia="仿宋_GB2312"/>
          <w:b w:val="0"/>
          <w:color w:val="1F1F1F"/>
          <w:sz w:val="24"/>
        </w:rPr>
        <w:t>▪ 建设方案 V3 仅作家底与卡点参考，不作为本稿的立意与编制依据。</w:t>
      </w:r>
    </w:p>
    <w:p>
      <w:pPr>
        <w:pStyle w:val="Heading1"/>
        <w:keepNext/>
        <w:pageBreakBefore/>
        <w:spacing w:before="360" w:after="240" w:line="360" w:lineRule="auto"/>
        <w:jc w:val="center"/>
      </w:pPr>
      <w:r>
        <w:rPr>
          <w:rFonts w:ascii="Times New Roman" w:hAnsi="Times New Roman" w:eastAsia="黑体"/>
          <w:b w:val="0"/>
          <w:color w:val="1F1F1F"/>
          <w:sz w:val="32"/>
        </w:rPr>
        <w:t>第四章 总体架构：一核六边</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一核六边是全篇总图。核是战略资产价值体系，六边是绿色、高效、智慧、普惠、健康、人文六个要素。核与边的关系只有一条规则：每条边跑通之后，必须能说清往核里沉淀了什么资产；不向核沉淀资产的动作，不做。</w:t>
      </w:r>
    </w:p>
    <w:p>
      <w:pPr>
        <w:pStyle w:val="Heading2"/>
        <w:keepNext/>
        <w:spacing w:before="240" w:after="120" w:line="360" w:lineRule="auto"/>
      </w:pPr>
      <w:r>
        <w:rPr>
          <w:rFonts w:ascii="Times New Roman" w:hAnsi="Times New Roman" w:eastAsia="黑体"/>
          <w:b w:val="0"/>
          <w:color w:val="1F1F1F"/>
          <w:sz w:val="28"/>
        </w:rPr>
        <w:t>一、六边的定义与边界</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93"/>
        <w:gridCol w:w="3157"/>
        <w:gridCol w:w="2318"/>
        <w:gridCol w:w="2175"/>
      </w:tblGrid>
      <w:tr>
        <w:trPr>
          <w:cantSplit/>
          <w:tblHeader/>
        </w:trPr>
        <w:tc>
          <w:tcPr>
            <w:tcW w:type="dxa" w:w="1193"/>
            <w:shd w:val="clear" w:color="auto" w:fill="E7EEF3"/>
          </w:tcPr>
          <w:p>
            <w:pPr>
              <w:keepNext/>
              <w:spacing w:before="0" w:after="0" w:line="276" w:lineRule="auto"/>
            </w:pPr>
            <w:r/>
            <w:r>
              <w:rPr>
                <w:rFonts w:ascii="Times New Roman" w:hAnsi="Times New Roman" w:eastAsia="宋体"/>
                <w:b/>
                <w:color w:val="1F1F1F"/>
                <w:sz w:val="18"/>
              </w:rPr>
              <w:t>边</w:t>
            </w:r>
          </w:p>
        </w:tc>
        <w:tc>
          <w:tcPr>
            <w:tcW w:type="dxa" w:w="3157"/>
            <w:shd w:val="clear" w:color="auto" w:fill="E7EEF3"/>
          </w:tcPr>
          <w:p>
            <w:pPr>
              <w:keepNext/>
              <w:spacing w:before="0" w:after="0" w:line="276" w:lineRule="auto"/>
            </w:pPr>
            <w:r/>
            <w:r>
              <w:rPr>
                <w:rFonts w:ascii="Times New Roman" w:hAnsi="Times New Roman" w:eastAsia="宋体"/>
                <w:b/>
                <w:color w:val="1F1F1F"/>
                <w:sz w:val="18"/>
              </w:rPr>
              <w:t>一句话定义</w:t>
            </w:r>
          </w:p>
        </w:tc>
        <w:tc>
          <w:tcPr>
            <w:tcW w:type="dxa" w:w="2318"/>
            <w:shd w:val="clear" w:color="auto" w:fill="E7EEF3"/>
          </w:tcPr>
          <w:p>
            <w:pPr>
              <w:keepNext/>
              <w:spacing w:before="0" w:after="0" w:line="276" w:lineRule="auto"/>
            </w:pPr>
            <w:r/>
            <w:r>
              <w:rPr>
                <w:rFonts w:ascii="Times New Roman" w:hAnsi="Times New Roman" w:eastAsia="宋体"/>
                <w:b/>
                <w:color w:val="1F1F1F"/>
                <w:sz w:val="18"/>
              </w:rPr>
              <w:t>园区验证什么</w:t>
            </w:r>
          </w:p>
        </w:tc>
        <w:tc>
          <w:tcPr>
            <w:tcW w:type="dxa" w:w="2175"/>
            <w:shd w:val="clear" w:color="auto" w:fill="E7EEF3"/>
          </w:tcPr>
          <w:p>
            <w:pPr>
              <w:keepNext/>
              <w:spacing w:before="0" w:after="0" w:line="276" w:lineRule="auto"/>
            </w:pPr>
            <w:r/>
            <w:r>
              <w:rPr>
                <w:rFonts w:ascii="Times New Roman" w:hAnsi="Times New Roman" w:eastAsia="宋体"/>
                <w:b/>
                <w:color w:val="1F1F1F"/>
                <w:sz w:val="18"/>
              </w:rPr>
              <w:t>不管什么（边界）</w:t>
            </w:r>
          </w:p>
        </w:tc>
      </w:tr>
      <w:tr>
        <w:trPr>
          <w:cantSplit/>
        </w:trPr>
        <w:tc>
          <w:tcPr>
            <w:tcW w:type="dxa" w:w="1193"/>
          </w:tcPr>
          <w:p>
            <w:pPr>
              <w:spacing w:before="0" w:after="0" w:line="276" w:lineRule="auto"/>
            </w:pPr>
            <w:r/>
            <w:r>
              <w:rPr>
                <w:rFonts w:ascii="Times New Roman" w:hAnsi="Times New Roman" w:eastAsia="宋体"/>
                <w:b w:val="0"/>
                <w:color w:val="1F1F1F"/>
                <w:sz w:val="18"/>
              </w:rPr>
              <w:t>绿色</w:t>
            </w:r>
          </w:p>
        </w:tc>
        <w:tc>
          <w:tcPr>
            <w:tcW w:type="dxa" w:w="3157"/>
          </w:tcPr>
          <w:p>
            <w:pPr>
              <w:spacing w:before="0" w:after="0" w:line="276" w:lineRule="auto"/>
            </w:pPr>
            <w:r/>
            <w:r>
              <w:rPr>
                <w:rFonts w:ascii="Times New Roman" w:hAnsi="Times New Roman" w:eastAsia="宋体"/>
                <w:b w:val="0"/>
                <w:color w:val="1F1F1F"/>
                <w:sz w:val="18"/>
              </w:rPr>
              <w:t>能与碳：碳账、绿电与抵消结构、光伏与柔性资源、水与生态微气候</w:t>
            </w:r>
          </w:p>
        </w:tc>
        <w:tc>
          <w:tcPr>
            <w:tcW w:type="dxa" w:w="2318"/>
          </w:tcPr>
          <w:p>
            <w:pPr>
              <w:spacing w:before="0" w:after="0" w:line="276" w:lineRule="auto"/>
            </w:pPr>
            <w:r/>
            <w:r>
              <w:rPr>
                <w:rFonts w:ascii="Times New Roman" w:hAnsi="Times New Roman" w:eastAsia="宋体"/>
                <w:b w:val="0"/>
                <w:color w:val="1F1F1F"/>
                <w:sz w:val="18"/>
              </w:rPr>
              <w:t>园区级碳账能否立得住，抵消结构与柔性资源接入能否走通</w:t>
            </w:r>
          </w:p>
        </w:tc>
        <w:tc>
          <w:tcPr>
            <w:tcW w:type="dxa" w:w="2175"/>
          </w:tcPr>
          <w:p>
            <w:pPr>
              <w:spacing w:before="0" w:after="0" w:line="276" w:lineRule="auto"/>
            </w:pPr>
            <w:r/>
            <w:r>
              <w:rPr>
                <w:rFonts w:ascii="Times New Roman" w:hAnsi="Times New Roman" w:eastAsia="宋体"/>
                <w:b w:val="0"/>
                <w:color w:val="1F1F1F"/>
                <w:sz w:val="18"/>
              </w:rPr>
              <w:t>不管“少用电”（归高效）；不单列零碳边</w:t>
            </w:r>
          </w:p>
        </w:tc>
      </w:tr>
      <w:tr>
        <w:trPr>
          <w:cantSplit/>
        </w:trPr>
        <w:tc>
          <w:tcPr>
            <w:tcW w:type="dxa" w:w="1193"/>
          </w:tcPr>
          <w:p>
            <w:pPr>
              <w:spacing w:before="0" w:after="0" w:line="276" w:lineRule="auto"/>
            </w:pPr>
            <w:r/>
            <w:r>
              <w:rPr>
                <w:rFonts w:ascii="Times New Roman" w:hAnsi="Times New Roman" w:eastAsia="宋体"/>
                <w:b w:val="0"/>
                <w:color w:val="1F1F1F"/>
                <w:sz w:val="18"/>
              </w:rPr>
              <w:t>高效</w:t>
            </w:r>
          </w:p>
        </w:tc>
        <w:tc>
          <w:tcPr>
            <w:tcW w:type="dxa" w:w="3157"/>
          </w:tcPr>
          <w:p>
            <w:pPr>
              <w:spacing w:before="0" w:after="0" w:line="276" w:lineRule="auto"/>
            </w:pPr>
            <w:r/>
            <w:r>
              <w:rPr>
                <w:rFonts w:ascii="Times New Roman" w:hAnsi="Times New Roman" w:eastAsia="宋体"/>
                <w:b w:val="0"/>
                <w:color w:val="1F1F1F"/>
                <w:sz w:val="18"/>
              </w:rPr>
              <w:t>用能与运营效率：冷站与机电主战场、调控策略与实时电价、行为驱动末端</w:t>
            </w:r>
          </w:p>
        </w:tc>
        <w:tc>
          <w:tcPr>
            <w:tcW w:type="dxa" w:w="2318"/>
          </w:tcPr>
          <w:p>
            <w:pPr>
              <w:spacing w:before="0" w:after="0" w:line="276" w:lineRule="auto"/>
            </w:pPr>
            <w:r/>
            <w:r>
              <w:rPr>
                <w:rFonts w:ascii="Times New Roman" w:hAnsi="Times New Roman" w:eastAsia="宋体"/>
                <w:b w:val="0"/>
                <w:color w:val="1F1F1F"/>
                <w:sz w:val="18"/>
              </w:rPr>
              <w:t>不换主机、不停机能否取得实测节能与运行提效</w:t>
            </w:r>
          </w:p>
        </w:tc>
        <w:tc>
          <w:tcPr>
            <w:tcW w:type="dxa" w:w="2175"/>
          </w:tcPr>
          <w:p>
            <w:pPr>
              <w:spacing w:before="0" w:after="0" w:line="276" w:lineRule="auto"/>
            </w:pPr>
            <w:r/>
            <w:r>
              <w:rPr>
                <w:rFonts w:ascii="Times New Roman" w:hAnsi="Times New Roman" w:eastAsia="宋体"/>
                <w:b w:val="0"/>
                <w:color w:val="1F1F1F"/>
                <w:sz w:val="18"/>
              </w:rPr>
              <w:t>不管碳的核算与抵消（归绿色）</w:t>
            </w:r>
          </w:p>
        </w:tc>
      </w:tr>
      <w:tr>
        <w:trPr>
          <w:cantSplit/>
        </w:trPr>
        <w:tc>
          <w:tcPr>
            <w:tcW w:type="dxa" w:w="1193"/>
          </w:tcPr>
          <w:p>
            <w:pPr>
              <w:spacing w:before="0" w:after="0" w:line="276" w:lineRule="auto"/>
            </w:pPr>
            <w:r/>
            <w:r>
              <w:rPr>
                <w:rFonts w:ascii="Times New Roman" w:hAnsi="Times New Roman" w:eastAsia="宋体"/>
                <w:b w:val="0"/>
                <w:color w:val="1F1F1F"/>
                <w:sz w:val="18"/>
              </w:rPr>
              <w:t>智慧</w:t>
            </w:r>
          </w:p>
        </w:tc>
        <w:tc>
          <w:tcPr>
            <w:tcW w:type="dxa" w:w="3157"/>
          </w:tcPr>
          <w:p>
            <w:pPr>
              <w:spacing w:before="0" w:after="0" w:line="276" w:lineRule="auto"/>
            </w:pPr>
            <w:r/>
            <w:r>
              <w:rPr>
                <w:rFonts w:ascii="Times New Roman" w:hAnsi="Times New Roman" w:eastAsia="宋体"/>
                <w:b w:val="0"/>
                <w:color w:val="1F1F1F"/>
                <w:sz w:val="18"/>
              </w:rPr>
              <w:t>数字底座：“一个平台、两类功能”、四级计量、数字孪生与运营中心、预测与调优模型、数据主权</w:t>
            </w:r>
          </w:p>
        </w:tc>
        <w:tc>
          <w:tcPr>
            <w:tcW w:type="dxa" w:w="2318"/>
          </w:tcPr>
          <w:p>
            <w:pPr>
              <w:spacing w:before="0" w:after="0" w:line="276" w:lineRule="auto"/>
            </w:pPr>
            <w:r/>
            <w:r>
              <w:rPr>
                <w:rFonts w:ascii="Times New Roman" w:hAnsi="Times New Roman" w:eastAsia="宋体"/>
                <w:b w:val="0"/>
                <w:color w:val="1F1F1F"/>
                <w:sz w:val="18"/>
              </w:rPr>
              <w:t>一次规划的平台能否同时承接园内运营与园外互动</w:t>
            </w:r>
          </w:p>
        </w:tc>
        <w:tc>
          <w:tcPr>
            <w:tcW w:type="dxa" w:w="2175"/>
          </w:tcPr>
          <w:p>
            <w:pPr>
              <w:spacing w:before="0" w:after="0" w:line="276" w:lineRule="auto"/>
            </w:pPr>
            <w:r/>
            <w:r>
              <w:rPr>
                <w:rFonts w:ascii="Times New Roman" w:hAnsi="Times New Roman" w:eastAsia="宋体"/>
                <w:b w:val="0"/>
                <w:color w:val="1F1F1F"/>
                <w:sz w:val="18"/>
              </w:rPr>
              <w:t>不做大屏秀；不把平台本身当成果</w:t>
            </w:r>
          </w:p>
        </w:tc>
      </w:tr>
      <w:tr>
        <w:trPr>
          <w:cantSplit/>
        </w:trPr>
        <w:tc>
          <w:tcPr>
            <w:tcW w:type="dxa" w:w="1193"/>
          </w:tcPr>
          <w:p>
            <w:pPr>
              <w:spacing w:before="0" w:after="0" w:line="276" w:lineRule="auto"/>
            </w:pPr>
            <w:r/>
            <w:r>
              <w:rPr>
                <w:rFonts w:ascii="Times New Roman" w:hAnsi="Times New Roman" w:eastAsia="宋体"/>
                <w:b w:val="0"/>
                <w:color w:val="1F1F1F"/>
                <w:sz w:val="18"/>
              </w:rPr>
              <w:t>普惠</w:t>
            </w:r>
          </w:p>
        </w:tc>
        <w:tc>
          <w:tcPr>
            <w:tcW w:type="dxa" w:w="3157"/>
          </w:tcPr>
          <w:p>
            <w:pPr>
              <w:spacing w:before="0" w:after="0" w:line="276" w:lineRule="auto"/>
            </w:pPr>
            <w:r/>
            <w:r>
              <w:rPr>
                <w:rFonts w:ascii="Times New Roman" w:hAnsi="Times New Roman" w:eastAsia="宋体"/>
                <w:b w:val="0"/>
                <w:color w:val="1F1F1F"/>
                <w:sz w:val="18"/>
              </w:rPr>
              <w:t>人人参与、人人受益：碳普惠、算力普惠、园区资源普惠；无障碍是标配</w:t>
            </w:r>
          </w:p>
        </w:tc>
        <w:tc>
          <w:tcPr>
            <w:tcW w:type="dxa" w:w="2318"/>
          </w:tcPr>
          <w:p>
            <w:pPr>
              <w:spacing w:before="0" w:after="0" w:line="276" w:lineRule="auto"/>
            </w:pPr>
            <w:r/>
            <w:r>
              <w:rPr>
                <w:rFonts w:ascii="Times New Roman" w:hAnsi="Times New Roman" w:eastAsia="宋体"/>
                <w:b w:val="0"/>
                <w:color w:val="1F1F1F"/>
                <w:sz w:val="18"/>
              </w:rPr>
              <w:t>全员参与机制能否形成、能否沉淀为可复制机制</w:t>
            </w:r>
          </w:p>
        </w:tc>
        <w:tc>
          <w:tcPr>
            <w:tcW w:type="dxa" w:w="2175"/>
          </w:tcPr>
          <w:p>
            <w:pPr>
              <w:spacing w:before="0" w:after="0" w:line="276" w:lineRule="auto"/>
            </w:pPr>
            <w:r/>
            <w:r>
              <w:rPr>
                <w:rFonts w:ascii="Times New Roman" w:hAnsi="Times New Roman" w:eastAsia="宋体"/>
                <w:b w:val="0"/>
                <w:color w:val="1F1F1F"/>
                <w:sz w:val="18"/>
              </w:rPr>
              <w:t>不管投资收益、分档报价、服务包（归核的复制叙事）</w:t>
            </w:r>
          </w:p>
        </w:tc>
      </w:tr>
      <w:tr>
        <w:trPr>
          <w:cantSplit/>
        </w:trPr>
        <w:tc>
          <w:tcPr>
            <w:tcW w:type="dxa" w:w="1193"/>
          </w:tcPr>
          <w:p>
            <w:pPr>
              <w:spacing w:before="0" w:after="0" w:line="276" w:lineRule="auto"/>
            </w:pPr>
            <w:r/>
            <w:r>
              <w:rPr>
                <w:rFonts w:ascii="Times New Roman" w:hAnsi="Times New Roman" w:eastAsia="宋体"/>
                <w:b w:val="0"/>
                <w:color w:val="1F1F1F"/>
                <w:sz w:val="18"/>
              </w:rPr>
              <w:t>健康</w:t>
            </w:r>
          </w:p>
        </w:tc>
        <w:tc>
          <w:tcPr>
            <w:tcW w:type="dxa" w:w="3157"/>
          </w:tcPr>
          <w:p>
            <w:pPr>
              <w:spacing w:before="0" w:after="0" w:line="276" w:lineRule="auto"/>
            </w:pPr>
            <w:r/>
            <w:r>
              <w:rPr>
                <w:rFonts w:ascii="Times New Roman" w:hAnsi="Times New Roman" w:eastAsia="宋体"/>
                <w:b w:val="0"/>
                <w:color w:val="1F1F1F"/>
                <w:sz w:val="18"/>
              </w:rPr>
              <w:t>可检测、可验收的员工健康环境：空气、水、光、声、热与身心健康服务</w:t>
            </w:r>
          </w:p>
        </w:tc>
        <w:tc>
          <w:tcPr>
            <w:tcW w:type="dxa" w:w="2318"/>
          </w:tcPr>
          <w:p>
            <w:pPr>
              <w:spacing w:before="0" w:after="0" w:line="276" w:lineRule="auto"/>
            </w:pPr>
            <w:r/>
            <w:r>
              <w:rPr>
                <w:rFonts w:ascii="Times New Roman" w:hAnsi="Times New Roman" w:eastAsia="宋体"/>
                <w:b w:val="0"/>
                <w:color w:val="1F1F1F"/>
                <w:sz w:val="18"/>
              </w:rPr>
              <w:t>节能改造与健康环境能否同时达标</w:t>
            </w:r>
          </w:p>
        </w:tc>
        <w:tc>
          <w:tcPr>
            <w:tcW w:type="dxa" w:w="2175"/>
          </w:tcPr>
          <w:p>
            <w:pPr>
              <w:spacing w:before="0" w:after="0" w:line="276" w:lineRule="auto"/>
            </w:pPr>
            <w:r/>
            <w:r>
              <w:rPr>
                <w:rFonts w:ascii="Times New Roman" w:hAnsi="Times New Roman" w:eastAsia="宋体"/>
                <w:b w:val="0"/>
                <w:color w:val="1F1F1F"/>
                <w:sz w:val="18"/>
              </w:rPr>
              <w:t>不管文化与场所审美（归人文）；数据不用于个人考核</w:t>
            </w:r>
          </w:p>
        </w:tc>
      </w:tr>
      <w:tr>
        <w:trPr>
          <w:cantSplit/>
        </w:trPr>
        <w:tc>
          <w:tcPr>
            <w:tcW w:type="dxa" w:w="1193"/>
          </w:tcPr>
          <w:p>
            <w:pPr>
              <w:spacing w:before="0" w:after="0" w:line="276" w:lineRule="auto"/>
            </w:pPr>
            <w:r/>
            <w:r>
              <w:rPr>
                <w:rFonts w:ascii="Times New Roman" w:hAnsi="Times New Roman" w:eastAsia="宋体"/>
                <w:b w:val="0"/>
                <w:color w:val="1F1F1F"/>
                <w:sz w:val="18"/>
              </w:rPr>
              <w:t>人文</w:t>
            </w:r>
          </w:p>
        </w:tc>
        <w:tc>
          <w:tcPr>
            <w:tcW w:type="dxa" w:w="3157"/>
          </w:tcPr>
          <w:p>
            <w:pPr>
              <w:spacing w:before="0" w:after="0" w:line="276" w:lineRule="auto"/>
            </w:pPr>
            <w:r/>
            <w:r>
              <w:rPr>
                <w:rFonts w:ascii="Times New Roman" w:hAnsi="Times New Roman" w:eastAsia="宋体"/>
                <w:b w:val="0"/>
                <w:color w:val="1F1F1F"/>
                <w:sz w:val="18"/>
              </w:rPr>
              <w:t>场所品质与文化：风貌保护下的更新、半开放空间与岭南微气候、电网文化与双碳科普、员工获得感</w:t>
            </w:r>
          </w:p>
        </w:tc>
        <w:tc>
          <w:tcPr>
            <w:tcW w:type="dxa" w:w="2318"/>
          </w:tcPr>
          <w:p>
            <w:pPr>
              <w:spacing w:before="0" w:after="0" w:line="276" w:lineRule="auto"/>
            </w:pPr>
            <w:r/>
            <w:r>
              <w:rPr>
                <w:rFonts w:ascii="Times New Roman" w:hAnsi="Times New Roman" w:eastAsia="宋体"/>
                <w:b w:val="0"/>
                <w:color w:val="1F1F1F"/>
                <w:sz w:val="18"/>
              </w:rPr>
              <w:t>不动立面能否提升场所品质，六边成果能否转成员工可感体验</w:t>
            </w:r>
          </w:p>
        </w:tc>
        <w:tc>
          <w:tcPr>
            <w:tcW w:type="dxa" w:w="2175"/>
          </w:tcPr>
          <w:p>
            <w:pPr>
              <w:spacing w:before="0" w:after="0" w:line="276" w:lineRule="auto"/>
            </w:pPr>
            <w:r/>
            <w:r>
              <w:rPr>
                <w:rFonts w:ascii="Times New Roman" w:hAnsi="Times New Roman" w:eastAsia="宋体"/>
                <w:b w:val="0"/>
                <w:color w:val="1F1F1F"/>
                <w:sz w:val="18"/>
              </w:rPr>
              <w:t>不管环境参数达标（归健康）；不建独立展馆</w:t>
            </w:r>
          </w:p>
        </w:tc>
      </w:tr>
    </w:tbl>
    <w:p>
      <w:pPr>
        <w:spacing w:after="80"/>
      </w:pPr>
    </w:p>
    <w:p>
      <w:pPr>
        <w:spacing w:before="0" w:after="120" w:line="360" w:lineRule="auto"/>
        <w:ind w:firstLine="480"/>
      </w:pPr>
      <w:r>
        <w:rPr>
          <w:rFonts w:ascii="Times New Roman" w:hAnsi="Times New Roman" w:eastAsia="仿宋_GB2312"/>
          <w:b w:val="0"/>
          <w:color w:val="1F1F1F"/>
          <w:sz w:val="24"/>
        </w:rPr>
        <w:t>六边独立成边、分列落实、分开验收；绿色与高效不合并，健康与人文不合并；六边与国家六张网不做一对一对应。</w:t>
      </w:r>
    </w:p>
    <w:p>
      <w:pPr>
        <w:pStyle w:val="Heading2"/>
        <w:keepNext/>
        <w:spacing w:before="240" w:after="120" w:line="360" w:lineRule="auto"/>
      </w:pPr>
      <w:r>
        <w:rPr>
          <w:rFonts w:ascii="Times New Roman" w:hAnsi="Times New Roman" w:eastAsia="黑体"/>
          <w:b w:val="0"/>
          <w:color w:val="1F1F1F"/>
          <w:sz w:val="28"/>
        </w:rPr>
        <w:t>二、核与边的关系：六边向核沉淀什么</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17"/>
        <w:gridCol w:w="4698"/>
        <w:gridCol w:w="2628"/>
      </w:tblGrid>
      <w:tr>
        <w:trPr>
          <w:cantSplit/>
          <w:tblHeader/>
        </w:trPr>
        <w:tc>
          <w:tcPr>
            <w:tcW w:type="dxa" w:w="1517"/>
            <w:shd w:val="clear" w:color="auto" w:fill="E7EEF3"/>
          </w:tcPr>
          <w:p>
            <w:pPr>
              <w:keepNext/>
              <w:spacing w:before="0" w:after="0" w:line="276" w:lineRule="auto"/>
            </w:pPr>
            <w:r/>
            <w:r>
              <w:rPr>
                <w:rFonts w:ascii="Times New Roman" w:hAnsi="Times New Roman" w:eastAsia="宋体"/>
                <w:b/>
                <w:color w:val="1F1F1F"/>
                <w:sz w:val="18"/>
              </w:rPr>
              <w:t>边</w:t>
            </w:r>
          </w:p>
        </w:tc>
        <w:tc>
          <w:tcPr>
            <w:tcW w:type="dxa" w:w="4698"/>
            <w:shd w:val="clear" w:color="auto" w:fill="E7EEF3"/>
          </w:tcPr>
          <w:p>
            <w:pPr>
              <w:keepNext/>
              <w:spacing w:before="0" w:after="0" w:line="276" w:lineRule="auto"/>
            </w:pPr>
            <w:r/>
            <w:r>
              <w:rPr>
                <w:rFonts w:ascii="Times New Roman" w:hAnsi="Times New Roman" w:eastAsia="宋体"/>
                <w:b/>
                <w:color w:val="1F1F1F"/>
                <w:sz w:val="18"/>
              </w:rPr>
              <w:t>沉淀到核的资产</w:t>
            </w:r>
          </w:p>
        </w:tc>
        <w:tc>
          <w:tcPr>
            <w:tcW w:type="dxa" w:w="2628"/>
            <w:shd w:val="clear" w:color="auto" w:fill="E7EEF3"/>
          </w:tcPr>
          <w:p>
            <w:pPr>
              <w:keepNext/>
              <w:spacing w:before="0" w:after="0" w:line="276" w:lineRule="auto"/>
            </w:pPr>
            <w:r/>
            <w:r>
              <w:rPr>
                <w:rFonts w:ascii="Times New Roman" w:hAnsi="Times New Roman" w:eastAsia="宋体"/>
                <w:b/>
                <w:color w:val="1F1F1F"/>
                <w:sz w:val="18"/>
              </w:rPr>
              <w:t>对应核的资产项</w:t>
            </w:r>
          </w:p>
        </w:tc>
      </w:tr>
      <w:tr>
        <w:trPr>
          <w:cantSplit/>
        </w:trPr>
        <w:tc>
          <w:tcPr>
            <w:tcW w:type="dxa" w:w="1517"/>
          </w:tcPr>
          <w:p>
            <w:pPr>
              <w:spacing w:before="0" w:after="0" w:line="276" w:lineRule="auto"/>
            </w:pPr>
            <w:r/>
            <w:r>
              <w:rPr>
                <w:rFonts w:ascii="Times New Roman" w:hAnsi="Times New Roman" w:eastAsia="宋体"/>
                <w:b w:val="0"/>
                <w:color w:val="1F1F1F"/>
                <w:sz w:val="18"/>
              </w:rPr>
              <w:t>绿色</w:t>
            </w:r>
          </w:p>
        </w:tc>
        <w:tc>
          <w:tcPr>
            <w:tcW w:type="dxa" w:w="4698"/>
          </w:tcPr>
          <w:p>
            <w:pPr>
              <w:spacing w:before="0" w:after="0" w:line="276" w:lineRule="auto"/>
            </w:pPr>
            <w:r/>
            <w:r>
              <w:rPr>
                <w:rFonts w:ascii="Times New Roman" w:hAnsi="Times New Roman" w:eastAsia="宋体"/>
                <w:b w:val="0"/>
                <w:color w:val="1F1F1F"/>
                <w:sz w:val="18"/>
              </w:rPr>
              <w:t>碳账本、核算边界方法、抵消结构设计、柔性资源接入方法</w:t>
            </w:r>
          </w:p>
        </w:tc>
        <w:tc>
          <w:tcPr>
            <w:tcW w:type="dxa" w:w="2628"/>
          </w:tcPr>
          <w:p>
            <w:pPr>
              <w:spacing w:before="0" w:after="0" w:line="276" w:lineRule="auto"/>
            </w:pPr>
            <w:r/>
            <w:r>
              <w:rPr>
                <w:rFonts w:ascii="Times New Roman" w:hAnsi="Times New Roman" w:eastAsia="宋体"/>
                <w:b w:val="0"/>
                <w:color w:val="1F1F1F"/>
                <w:sz w:val="18"/>
              </w:rPr>
              <w:t>碳账与核算口径；调控与交易模型</w:t>
            </w:r>
          </w:p>
        </w:tc>
      </w:tr>
      <w:tr>
        <w:trPr>
          <w:cantSplit/>
        </w:trPr>
        <w:tc>
          <w:tcPr>
            <w:tcW w:type="dxa" w:w="1517"/>
          </w:tcPr>
          <w:p>
            <w:pPr>
              <w:spacing w:before="0" w:after="0" w:line="276" w:lineRule="auto"/>
            </w:pPr>
            <w:r/>
            <w:r>
              <w:rPr>
                <w:rFonts w:ascii="Times New Roman" w:hAnsi="Times New Roman" w:eastAsia="宋体"/>
                <w:b w:val="0"/>
                <w:color w:val="1F1F1F"/>
                <w:sz w:val="18"/>
              </w:rPr>
              <w:t>高效</w:t>
            </w:r>
          </w:p>
        </w:tc>
        <w:tc>
          <w:tcPr>
            <w:tcW w:type="dxa" w:w="4698"/>
          </w:tcPr>
          <w:p>
            <w:pPr>
              <w:spacing w:before="0" w:after="0" w:line="276" w:lineRule="auto"/>
            </w:pPr>
            <w:r/>
            <w:r>
              <w:rPr>
                <w:rFonts w:ascii="Times New Roman" w:hAnsi="Times New Roman" w:eastAsia="宋体"/>
                <w:b w:val="0"/>
                <w:color w:val="1F1F1F"/>
                <w:sz w:val="18"/>
              </w:rPr>
              <w:t>冷站诊断分档流程、群控与蓄冷控制策略、行为驱动节能 SOP</w:t>
            </w:r>
          </w:p>
        </w:tc>
        <w:tc>
          <w:tcPr>
            <w:tcW w:type="dxa" w:w="2628"/>
          </w:tcPr>
          <w:p>
            <w:pPr>
              <w:spacing w:before="0" w:after="0" w:line="276" w:lineRule="auto"/>
            </w:pPr>
            <w:r/>
            <w:r>
              <w:rPr>
                <w:rFonts w:ascii="Times New Roman" w:hAnsi="Times New Roman" w:eastAsia="宋体"/>
                <w:b w:val="0"/>
                <w:color w:val="1F1F1F"/>
                <w:sz w:val="18"/>
              </w:rPr>
              <w:t>调控与交易模型；改造与运营方法论</w:t>
            </w:r>
          </w:p>
        </w:tc>
      </w:tr>
      <w:tr>
        <w:trPr>
          <w:cantSplit/>
        </w:trPr>
        <w:tc>
          <w:tcPr>
            <w:tcW w:type="dxa" w:w="1517"/>
          </w:tcPr>
          <w:p>
            <w:pPr>
              <w:spacing w:before="0" w:after="0" w:line="276" w:lineRule="auto"/>
            </w:pPr>
            <w:r/>
            <w:r>
              <w:rPr>
                <w:rFonts w:ascii="Times New Roman" w:hAnsi="Times New Roman" w:eastAsia="宋体"/>
                <w:b w:val="0"/>
                <w:color w:val="1F1F1F"/>
                <w:sz w:val="18"/>
              </w:rPr>
              <w:t>智慧</w:t>
            </w:r>
          </w:p>
        </w:tc>
        <w:tc>
          <w:tcPr>
            <w:tcW w:type="dxa" w:w="4698"/>
          </w:tcPr>
          <w:p>
            <w:pPr>
              <w:spacing w:before="0" w:after="0" w:line="276" w:lineRule="auto"/>
            </w:pPr>
            <w:r/>
            <w:r>
              <w:rPr>
                <w:rFonts w:ascii="Times New Roman" w:hAnsi="Times New Roman" w:eastAsia="宋体"/>
                <w:b w:val="0"/>
                <w:color w:val="1F1F1F"/>
                <w:sz w:val="18"/>
              </w:rPr>
              <w:t>平台架构、数据资产、预测与调优模型、数据主权条款模板</w:t>
            </w:r>
          </w:p>
        </w:tc>
        <w:tc>
          <w:tcPr>
            <w:tcW w:type="dxa" w:w="2628"/>
          </w:tcPr>
          <w:p>
            <w:pPr>
              <w:spacing w:before="0" w:after="0" w:line="276" w:lineRule="auto"/>
            </w:pPr>
            <w:r/>
            <w:r>
              <w:rPr>
                <w:rFonts w:ascii="Times New Roman" w:hAnsi="Times New Roman" w:eastAsia="宋体"/>
                <w:b w:val="0"/>
                <w:color w:val="1F1F1F"/>
                <w:sz w:val="18"/>
              </w:rPr>
              <w:t>数字底座与数据资产</w:t>
            </w:r>
          </w:p>
        </w:tc>
      </w:tr>
      <w:tr>
        <w:trPr>
          <w:cantSplit/>
        </w:trPr>
        <w:tc>
          <w:tcPr>
            <w:tcW w:type="dxa" w:w="1517"/>
          </w:tcPr>
          <w:p>
            <w:pPr>
              <w:spacing w:before="0" w:after="0" w:line="276" w:lineRule="auto"/>
            </w:pPr>
            <w:r/>
            <w:r>
              <w:rPr>
                <w:rFonts w:ascii="Times New Roman" w:hAnsi="Times New Roman" w:eastAsia="宋体"/>
                <w:b w:val="0"/>
                <w:color w:val="1F1F1F"/>
                <w:sz w:val="18"/>
              </w:rPr>
              <w:t>普惠</w:t>
            </w:r>
          </w:p>
        </w:tc>
        <w:tc>
          <w:tcPr>
            <w:tcW w:type="dxa" w:w="4698"/>
          </w:tcPr>
          <w:p>
            <w:pPr>
              <w:spacing w:before="0" w:after="0" w:line="276" w:lineRule="auto"/>
            </w:pPr>
            <w:r/>
            <w:r>
              <w:rPr>
                <w:rFonts w:ascii="Times New Roman" w:hAnsi="Times New Roman" w:eastAsia="宋体"/>
                <w:b w:val="0"/>
                <w:color w:val="1F1F1F"/>
                <w:sz w:val="18"/>
              </w:rPr>
              <w:t>个人—团队—园区碳账规则、算力开放机制、资源预约与分配规则</w:t>
            </w:r>
          </w:p>
        </w:tc>
        <w:tc>
          <w:tcPr>
            <w:tcW w:type="dxa" w:w="2628"/>
          </w:tcPr>
          <w:p>
            <w:pPr>
              <w:spacing w:before="0" w:after="0" w:line="276" w:lineRule="auto"/>
            </w:pPr>
            <w:r/>
            <w:r>
              <w:rPr>
                <w:rFonts w:ascii="Times New Roman" w:hAnsi="Times New Roman" w:eastAsia="宋体"/>
                <w:b w:val="0"/>
                <w:color w:val="1F1F1F"/>
                <w:sz w:val="18"/>
              </w:rPr>
              <w:t>改造与运营方法论（全员参与机制）</w:t>
            </w:r>
          </w:p>
        </w:tc>
      </w:tr>
      <w:tr>
        <w:trPr>
          <w:cantSplit/>
        </w:trPr>
        <w:tc>
          <w:tcPr>
            <w:tcW w:type="dxa" w:w="1517"/>
          </w:tcPr>
          <w:p>
            <w:pPr>
              <w:spacing w:before="0" w:after="0" w:line="276" w:lineRule="auto"/>
            </w:pPr>
            <w:r/>
            <w:r>
              <w:rPr>
                <w:rFonts w:ascii="Times New Roman" w:hAnsi="Times New Roman" w:eastAsia="宋体"/>
                <w:b w:val="0"/>
                <w:color w:val="1F1F1F"/>
                <w:sz w:val="18"/>
              </w:rPr>
              <w:t>健康</w:t>
            </w:r>
          </w:p>
        </w:tc>
        <w:tc>
          <w:tcPr>
            <w:tcW w:type="dxa" w:w="4698"/>
          </w:tcPr>
          <w:p>
            <w:pPr>
              <w:spacing w:before="0" w:after="0" w:line="276" w:lineRule="auto"/>
            </w:pPr>
            <w:r/>
            <w:r>
              <w:rPr>
                <w:rFonts w:ascii="Times New Roman" w:hAnsi="Times New Roman" w:eastAsia="宋体"/>
                <w:b w:val="0"/>
                <w:color w:val="1F1F1F"/>
                <w:sz w:val="18"/>
              </w:rPr>
              <w:t>环境监测指标集、节能与健康互锁 SOP、健康数据治理规则</w:t>
            </w:r>
          </w:p>
        </w:tc>
        <w:tc>
          <w:tcPr>
            <w:tcW w:type="dxa" w:w="2628"/>
          </w:tcPr>
          <w:p>
            <w:pPr>
              <w:spacing w:before="0" w:after="0" w:line="276" w:lineRule="auto"/>
            </w:pPr>
            <w:r/>
            <w:r>
              <w:rPr>
                <w:rFonts w:ascii="Times New Roman" w:hAnsi="Times New Roman" w:eastAsia="宋体"/>
                <w:b w:val="0"/>
                <w:color w:val="1F1F1F"/>
                <w:sz w:val="18"/>
              </w:rPr>
              <w:t>改造与运营方法论</w:t>
            </w:r>
          </w:p>
        </w:tc>
      </w:tr>
      <w:tr>
        <w:trPr>
          <w:cantSplit/>
        </w:trPr>
        <w:tc>
          <w:tcPr>
            <w:tcW w:type="dxa" w:w="1517"/>
          </w:tcPr>
          <w:p>
            <w:pPr>
              <w:spacing w:before="0" w:after="0" w:line="276" w:lineRule="auto"/>
            </w:pPr>
            <w:r/>
            <w:r>
              <w:rPr>
                <w:rFonts w:ascii="Times New Roman" w:hAnsi="Times New Roman" w:eastAsia="宋体"/>
                <w:b w:val="0"/>
                <w:color w:val="1F1F1F"/>
                <w:sz w:val="18"/>
              </w:rPr>
              <w:t>人文</w:t>
            </w:r>
          </w:p>
        </w:tc>
        <w:tc>
          <w:tcPr>
            <w:tcW w:type="dxa" w:w="4698"/>
          </w:tcPr>
          <w:p>
            <w:pPr>
              <w:spacing w:before="0" w:after="0" w:line="276" w:lineRule="auto"/>
            </w:pPr>
            <w:r/>
            <w:r>
              <w:rPr>
                <w:rFonts w:ascii="Times New Roman" w:hAnsi="Times New Roman" w:eastAsia="宋体"/>
                <w:b w:val="0"/>
                <w:color w:val="1F1F1F"/>
                <w:sz w:val="18"/>
              </w:rPr>
              <w:t>风貌约束下的更新导则、真实系统展项动线、获得感场景运营手册</w:t>
            </w:r>
          </w:p>
        </w:tc>
        <w:tc>
          <w:tcPr>
            <w:tcW w:type="dxa" w:w="2628"/>
          </w:tcPr>
          <w:p>
            <w:pPr>
              <w:spacing w:before="0" w:after="0" w:line="276" w:lineRule="auto"/>
            </w:pPr>
            <w:r/>
            <w:r>
              <w:rPr>
                <w:rFonts w:ascii="Times New Roman" w:hAnsi="Times New Roman" w:eastAsia="宋体"/>
                <w:b w:val="0"/>
                <w:color w:val="1F1F1F"/>
                <w:sz w:val="18"/>
              </w:rPr>
              <w:t>改造与运营方法论</w:t>
            </w:r>
          </w:p>
        </w:tc>
      </w:tr>
    </w:tbl>
    <w:p>
      <w:pPr>
        <w:spacing w:after="80"/>
      </w:pPr>
    </w:p>
    <w:p>
      <w:pPr>
        <w:pStyle w:val="Heading2"/>
        <w:keepNext/>
        <w:spacing w:before="240" w:after="120" w:line="360" w:lineRule="auto"/>
      </w:pPr>
      <w:r>
        <w:rPr>
          <w:rFonts w:ascii="Times New Roman" w:hAnsi="Times New Roman" w:eastAsia="黑体"/>
          <w:b w:val="0"/>
          <w:color w:val="1F1F1F"/>
          <w:sz w:val="28"/>
        </w:rPr>
        <w:t>三、三条不做</w:t>
      </w:r>
    </w:p>
    <w:p>
      <w:pPr>
        <w:spacing w:before="0" w:after="80" w:line="360" w:lineRule="auto"/>
        <w:ind w:left="480" w:hanging="480"/>
      </w:pPr>
      <w:r>
        <w:rPr>
          <w:rFonts w:ascii="Times New Roman" w:hAnsi="Times New Roman" w:eastAsia="仿宋_GB2312"/>
          <w:b w:val="0"/>
          <w:color w:val="1F1F1F"/>
          <w:sz w:val="24"/>
        </w:rPr>
        <w:t>1．</w:t>
      </w:r>
      <w:r>
        <w:rPr>
          <w:rFonts w:ascii="Times New Roman" w:hAnsi="Times New Roman" w:eastAsia="仿宋_GB2312"/>
          <w:b/>
          <w:color w:val="1F1F1F"/>
          <w:sz w:val="24"/>
        </w:rPr>
        <w:t>不做新建盆景。</w:t>
      </w:r>
      <w:r>
        <w:rPr>
          <w:rFonts w:ascii="Times New Roman" w:hAnsi="Times New Roman" w:eastAsia="仿宋_GB2312"/>
          <w:b w:val="0"/>
          <w:color w:val="1F1F1F"/>
          <w:sz w:val="24"/>
        </w:rPr>
        <w:t xml:space="preserve"> 只做连续办公既有园区可复制的模块化、增量、可逆改造。</w:t>
      </w:r>
    </w:p>
    <w:p>
      <w:pPr>
        <w:spacing w:before="0" w:after="80" w:line="360" w:lineRule="auto"/>
        <w:ind w:left="480" w:hanging="480"/>
      </w:pPr>
      <w:r>
        <w:rPr>
          <w:rFonts w:ascii="Times New Roman" w:hAnsi="Times New Roman" w:eastAsia="仿宋_GB2312"/>
          <w:b w:val="0"/>
          <w:color w:val="1F1F1F"/>
          <w:sz w:val="24"/>
        </w:rPr>
        <w:t>2．</w:t>
      </w:r>
      <w:r>
        <w:rPr>
          <w:rFonts w:ascii="Times New Roman" w:hAnsi="Times New Roman" w:eastAsia="仿宋_GB2312"/>
          <w:b/>
          <w:color w:val="1F1F1F"/>
          <w:sz w:val="24"/>
        </w:rPr>
        <w:t>不做休克式大改。</w:t>
      </w:r>
      <w:r>
        <w:rPr>
          <w:rFonts w:ascii="Times New Roman" w:hAnsi="Times New Roman" w:eastAsia="仿宋_GB2312"/>
          <w:b w:val="0"/>
          <w:color w:val="1F1F1F"/>
          <w:sz w:val="24"/>
        </w:rPr>
        <w:t xml:space="preserve"> 园中园、分区试点，先测后改，用运行数据说话。</w:t>
      </w:r>
    </w:p>
    <w:p>
      <w:pPr>
        <w:spacing w:before="0" w:after="80" w:line="360" w:lineRule="auto"/>
        <w:ind w:left="480" w:hanging="480"/>
      </w:pPr>
      <w:r>
        <w:rPr>
          <w:rFonts w:ascii="Times New Roman" w:hAnsi="Times New Roman" w:eastAsia="仿宋_GB2312"/>
          <w:b w:val="0"/>
          <w:color w:val="1F1F1F"/>
          <w:sz w:val="24"/>
        </w:rPr>
        <w:t>3．</w:t>
      </w:r>
      <w:r>
        <w:rPr>
          <w:rFonts w:ascii="Times New Roman" w:hAnsi="Times New Roman" w:eastAsia="仿宋_GB2312"/>
          <w:b/>
          <w:color w:val="1F1F1F"/>
          <w:sz w:val="24"/>
        </w:rPr>
        <w:t>不抢帽子、不编数字。</w:t>
      </w:r>
      <w:r>
        <w:rPr>
          <w:rFonts w:ascii="Times New Roman" w:hAnsi="Times New Roman" w:eastAsia="仿宋_GB2312"/>
          <w:b w:val="0"/>
          <w:color w:val="1F1F1F"/>
          <w:sz w:val="24"/>
        </w:rPr>
        <w:t xml:space="preserve"> 不用“首个、唯一、领先”类表述；口述与宣称数据只作量级参照并标注【待核】；不写未签约合作。</w:t>
      </w:r>
    </w:p>
    <w:p>
      <w:pPr>
        <w:pStyle w:val="Heading2"/>
        <w:keepNext/>
        <w:spacing w:before="240" w:after="120" w:line="360" w:lineRule="auto"/>
      </w:pPr>
      <w:r>
        <w:rPr>
          <w:rFonts w:ascii="Times New Roman" w:hAnsi="Times New Roman" w:eastAsia="黑体"/>
          <w:b w:val="0"/>
          <w:color w:val="1F1F1F"/>
          <w:sz w:val="28"/>
        </w:rPr>
        <w:t>四、六边各章的统一结构</w:t>
      </w:r>
    </w:p>
    <w:p>
      <w:pPr>
        <w:spacing w:before="0" w:after="120" w:line="360" w:lineRule="auto"/>
        <w:ind w:firstLine="480"/>
      </w:pPr>
      <w:r>
        <w:rPr>
          <w:rFonts w:ascii="Times New Roman" w:hAnsi="Times New Roman" w:eastAsia="仿宋_GB2312"/>
          <w:b w:val="0"/>
          <w:color w:val="1F1F1F"/>
          <w:sz w:val="24"/>
        </w:rPr>
        <w:t>第五章至第十章逐边展开，统一按以下结构写：本章结论 → 一、是什么（园区验证什么）→ 二、为什么（约束、机遇与政策落点）→ 三、怎么做（工作包表：物理改造、数据、SOP、可复制产品包四类，每包给出落点、可检查指标方向与转化路径）→ 四、对标参照（一律标待核）→ 五、向核沉淀什么。</w:t>
      </w:r>
    </w:p>
    <w:p>
      <w:pPr>
        <w:pStyle w:val="Heading1"/>
        <w:keepNext/>
        <w:pageBreakBefore/>
        <w:spacing w:before="360" w:after="240" w:line="360" w:lineRule="auto"/>
        <w:jc w:val="center"/>
      </w:pPr>
      <w:r>
        <w:rPr>
          <w:rFonts w:ascii="Times New Roman" w:hAnsi="Times New Roman" w:eastAsia="黑体"/>
          <w:b w:val="0"/>
          <w:color w:val="1F1F1F"/>
          <w:sz w:val="32"/>
        </w:rPr>
        <w:t>第五章 绿色：能与碳</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绿色边管“能与碳”：园区碳账立得住、抵消结构走得通、柔性资源接得上电价、水与生态微气候改得动。零碳是本边托住核的目标结果，按低碳、近零碳、碳中和三档并列进预可研比较，不在本稿定档。</w:t>
      </w:r>
    </w:p>
    <w:p>
      <w:pPr>
        <w:pStyle w:val="Heading2"/>
        <w:keepNext/>
        <w:spacing w:before="240" w:after="120" w:line="360" w:lineRule="auto"/>
      </w:pPr>
      <w:r>
        <w:rPr>
          <w:rFonts w:ascii="Times New Roman" w:hAnsi="Times New Roman" w:eastAsia="黑体"/>
          <w:b w:val="0"/>
          <w:color w:val="1F1F1F"/>
          <w:sz w:val="28"/>
        </w:rPr>
        <w:t>一、是什么：园区验证什么</w:t>
      </w:r>
    </w:p>
    <w:p>
      <w:pPr>
        <w:spacing w:before="0" w:after="120" w:line="360" w:lineRule="auto"/>
        <w:ind w:firstLine="480"/>
      </w:pPr>
      <w:r>
        <w:rPr>
          <w:rFonts w:ascii="Times New Roman" w:hAnsi="Times New Roman" w:eastAsia="仿宋_GB2312"/>
          <w:b w:val="0"/>
          <w:color w:val="1F1F1F"/>
          <w:sz w:val="24"/>
        </w:rPr>
        <w:t>绿色边在基地验证四件事：一是园区级碳账本能否在既有园区建立并持续复核，核算边界（尤其是数据机房进出账）能否讲清；二是在本地光伏贡献有限的条件下，“需求侧节能＋本地光伏＋绿电交易”的抵消结构能否走通并满足认证口径；三是蓄冷、光伏、储能、充电等柔性资源能否聚合为可观测、可调节的资源池并接入实时电价；四是水循环与生态微气候改造能否在不动结构、不停机的条件下实施。</w:t>
      </w:r>
    </w:p>
    <w:p>
      <w:pPr>
        <w:pStyle w:val="Heading2"/>
        <w:keepNext/>
        <w:spacing w:before="240" w:after="120" w:line="360" w:lineRule="auto"/>
      </w:pPr>
      <w:r>
        <w:rPr>
          <w:rFonts w:ascii="Times New Roman" w:hAnsi="Times New Roman" w:eastAsia="黑体"/>
          <w:b w:val="0"/>
          <w:color w:val="1F1F1F"/>
          <w:sz w:val="28"/>
        </w:rPr>
        <w:t>二、为什么</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政策落点。</w:t>
      </w:r>
      <w:r>
        <w:rPr>
          <w:rFonts w:ascii="Times New Roman" w:hAnsi="Times New Roman" w:eastAsia="仿宋_GB2312"/>
          <w:b w:val="0"/>
          <w:color w:val="1F1F1F"/>
          <w:sz w:val="24"/>
        </w:rPr>
        <w:t xml:space="preserve"> 双碳与节能降碳要求把节能降碳贯穿运行全过程，央企加强示范引领【中央文件公开文本，待核】；既有建筑绿色改造与碳核算是园区与建筑层的明确方向【部门公开文件】；园区级碳核算是三级降碳台阶的前提【宣讲材料，待核】。</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现场约束。</w:t>
      </w:r>
      <w:r>
        <w:rPr>
          <w:rFonts w:ascii="Times New Roman" w:hAnsi="Times New Roman" w:eastAsia="仿宋_GB2312"/>
          <w:b w:val="0"/>
          <w:color w:val="1F1F1F"/>
          <w:sz w:val="24"/>
        </w:rPr>
        <w:t xml:space="preserve"> 屋顶光伏空间有限、风貌不可大改，光伏不能作为达标主路径【交流纪要，待核】。对标雄安项目碳账结构，在本体节能率超过五成、屋面光伏基本铺满的条件下仍有约 38% 的碳依靠交易抵消（据宣讲材料所载数据计算）【宣讲材料，待核】。本项目用能强度更高，同量级光伏的贡献比例更低【据口述数据估算，待核】。达标主力必然在需求侧节能与绿电交易，恰是南网的主场能力。</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核算边界先于目标。</w:t>
      </w:r>
      <w:r>
        <w:rPr>
          <w:rFonts w:ascii="Times New Roman" w:hAnsi="Times New Roman" w:eastAsia="仿宋_GB2312"/>
          <w:b w:val="0"/>
          <w:color w:val="1F1F1F"/>
          <w:sz w:val="24"/>
        </w:rPr>
        <w:t xml:space="preserve"> 数据机房入账则园区基数大、余热利用计入收益、口径统一；独立核算则可讨论机房单独叙事，但缺少全国统一判定标准【宣讲材料，待核】。边界选择连锁影响目标档位、余热利用与算力普惠，必须先核边界、再比目标。</w:t>
      </w:r>
    </w:p>
    <w:p>
      <w:pPr>
        <w:pStyle w:val="Heading2"/>
        <w:keepNext/>
        <w:spacing w:before="240" w:after="120" w:line="360" w:lineRule="auto"/>
      </w:pPr>
      <w:r>
        <w:rPr>
          <w:rFonts w:ascii="Times New Roman" w:hAnsi="Times New Roman" w:eastAsia="黑体"/>
          <w:b w:val="0"/>
          <w:color w:val="1F1F1F"/>
          <w:sz w:val="28"/>
        </w:rPr>
        <w:t>三、怎么做：工作包</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49"/>
        <w:gridCol w:w="1186"/>
        <w:gridCol w:w="1075"/>
        <w:gridCol w:w="2186"/>
        <w:gridCol w:w="1851"/>
        <w:gridCol w:w="1496"/>
      </w:tblGrid>
      <w:tr>
        <w:trPr>
          <w:cantSplit/>
          <w:tblHeader/>
        </w:trPr>
        <w:tc>
          <w:tcPr>
            <w:tcW w:type="dxa" w:w="1049"/>
            <w:shd w:val="clear" w:color="auto" w:fill="E7EEF3"/>
          </w:tcPr>
          <w:p>
            <w:pPr>
              <w:keepNext/>
              <w:spacing w:before="0" w:after="0" w:line="276" w:lineRule="auto"/>
            </w:pPr>
            <w:r/>
            <w:r>
              <w:rPr>
                <w:rFonts w:ascii="Times New Roman" w:hAnsi="Times New Roman" w:eastAsia="宋体"/>
                <w:b/>
                <w:color w:val="1F1F1F"/>
                <w:sz w:val="18"/>
              </w:rPr>
              <w:t>编号</w:t>
            </w:r>
          </w:p>
        </w:tc>
        <w:tc>
          <w:tcPr>
            <w:tcW w:type="dxa" w:w="1186"/>
            <w:shd w:val="clear" w:color="auto" w:fill="E7EEF3"/>
          </w:tcPr>
          <w:p>
            <w:pPr>
              <w:keepNext/>
              <w:spacing w:before="0" w:after="0" w:line="276" w:lineRule="auto"/>
            </w:pPr>
            <w:r/>
            <w:r>
              <w:rPr>
                <w:rFonts w:ascii="Times New Roman" w:hAnsi="Times New Roman" w:eastAsia="宋体"/>
                <w:b/>
                <w:color w:val="1F1F1F"/>
                <w:sz w:val="18"/>
              </w:rPr>
              <w:t>工作包</w:t>
            </w:r>
          </w:p>
        </w:tc>
        <w:tc>
          <w:tcPr>
            <w:tcW w:type="dxa" w:w="1075"/>
            <w:shd w:val="clear" w:color="auto" w:fill="E7EEF3"/>
          </w:tcPr>
          <w:p>
            <w:pPr>
              <w:keepNext/>
              <w:spacing w:before="0" w:after="0" w:line="276" w:lineRule="auto"/>
            </w:pPr>
            <w:r/>
            <w:r>
              <w:rPr>
                <w:rFonts w:ascii="Times New Roman" w:hAnsi="Times New Roman" w:eastAsia="宋体"/>
                <w:b/>
                <w:color w:val="1F1F1F"/>
                <w:sz w:val="18"/>
              </w:rPr>
              <w:t>类型</w:t>
            </w:r>
          </w:p>
        </w:tc>
        <w:tc>
          <w:tcPr>
            <w:tcW w:type="dxa" w:w="2186"/>
            <w:shd w:val="clear" w:color="auto" w:fill="E7EEF3"/>
          </w:tcPr>
          <w:p>
            <w:pPr>
              <w:keepNext/>
              <w:spacing w:before="0" w:after="0" w:line="276" w:lineRule="auto"/>
            </w:pPr>
            <w:r/>
            <w:r>
              <w:rPr>
                <w:rFonts w:ascii="Times New Roman" w:hAnsi="Times New Roman" w:eastAsia="宋体"/>
                <w:b/>
                <w:color w:val="1F1F1F"/>
                <w:sz w:val="18"/>
              </w:rPr>
              <w:t>内容与落点</w:t>
            </w:r>
          </w:p>
        </w:tc>
        <w:tc>
          <w:tcPr>
            <w:tcW w:type="dxa" w:w="1851"/>
            <w:shd w:val="clear" w:color="auto" w:fill="E7EEF3"/>
          </w:tcPr>
          <w:p>
            <w:pPr>
              <w:keepNext/>
              <w:spacing w:before="0" w:after="0" w:line="276" w:lineRule="auto"/>
            </w:pPr>
            <w:r/>
            <w:r>
              <w:rPr>
                <w:rFonts w:ascii="Times New Roman" w:hAnsi="Times New Roman" w:eastAsia="宋体"/>
                <w:b/>
                <w:color w:val="1F1F1F"/>
                <w:sz w:val="18"/>
              </w:rPr>
              <w:t>可检查指标（方向）</w:t>
            </w:r>
          </w:p>
        </w:tc>
        <w:tc>
          <w:tcPr>
            <w:tcW w:type="dxa" w:w="1496"/>
            <w:shd w:val="clear" w:color="auto" w:fill="E7EEF3"/>
          </w:tcPr>
          <w:p>
            <w:pPr>
              <w:keepNext/>
              <w:spacing w:before="0" w:after="0" w:line="276" w:lineRule="auto"/>
            </w:pPr>
            <w:r/>
            <w:r>
              <w:rPr>
                <w:rFonts w:ascii="Times New Roman" w:hAnsi="Times New Roman" w:eastAsia="宋体"/>
                <w:b/>
                <w:color w:val="1F1F1F"/>
                <w:sz w:val="18"/>
              </w:rPr>
              <w:t>转化路径</w:t>
            </w:r>
          </w:p>
        </w:tc>
      </w:tr>
      <w:tr>
        <w:trPr>
          <w:cantSplit/>
        </w:trPr>
        <w:tc>
          <w:tcPr>
            <w:tcW w:type="dxa" w:w="1049"/>
          </w:tcPr>
          <w:p>
            <w:pPr>
              <w:spacing w:before="0" w:after="0" w:line="276" w:lineRule="auto"/>
            </w:pPr>
            <w:r/>
            <w:r>
              <w:rPr>
                <w:rFonts w:ascii="Times New Roman" w:hAnsi="Times New Roman" w:eastAsia="宋体"/>
                <w:b w:val="0"/>
                <w:color w:val="1F1F1F"/>
                <w:sz w:val="18"/>
              </w:rPr>
              <w:t>G1</w:t>
            </w:r>
          </w:p>
        </w:tc>
        <w:tc>
          <w:tcPr>
            <w:tcW w:type="dxa" w:w="1186"/>
          </w:tcPr>
          <w:p>
            <w:pPr>
              <w:spacing w:before="0" w:after="0" w:line="276" w:lineRule="auto"/>
            </w:pPr>
            <w:r/>
            <w:r>
              <w:rPr>
                <w:rFonts w:ascii="Times New Roman" w:hAnsi="Times New Roman" w:eastAsia="宋体"/>
                <w:b w:val="0"/>
                <w:color w:val="1F1F1F"/>
                <w:sz w:val="18"/>
              </w:rPr>
              <w:t>园区碳账本与核算边界</w:t>
            </w:r>
          </w:p>
        </w:tc>
        <w:tc>
          <w:tcPr>
            <w:tcW w:type="dxa" w:w="1075"/>
          </w:tcPr>
          <w:p>
            <w:pPr>
              <w:spacing w:before="0" w:after="0" w:line="276" w:lineRule="auto"/>
            </w:pPr>
            <w:r/>
            <w:r>
              <w:rPr>
                <w:rFonts w:ascii="Times New Roman" w:hAnsi="Times New Roman" w:eastAsia="宋体"/>
                <w:b w:val="0"/>
                <w:color w:val="1F1F1F"/>
                <w:sz w:val="18"/>
              </w:rPr>
              <w:t>数据</w:t>
            </w:r>
          </w:p>
        </w:tc>
        <w:tc>
          <w:tcPr>
            <w:tcW w:type="dxa" w:w="2186"/>
          </w:tcPr>
          <w:p>
            <w:pPr>
              <w:spacing w:before="0" w:after="0" w:line="276" w:lineRule="auto"/>
            </w:pPr>
            <w:r/>
            <w:r>
              <w:rPr>
                <w:rFonts w:ascii="Times New Roman" w:hAnsi="Times New Roman" w:eastAsia="宋体"/>
                <w:b w:val="0"/>
                <w:color w:val="1F1F1F"/>
                <w:sz w:val="18"/>
              </w:rPr>
              <w:t>以 GB 55015-2021 为基准建立园区碳账；形成“机房入账”与“独立核算”两套可比碳账；对照三级台阶校核【宣讲材料，待核】</w:t>
            </w:r>
          </w:p>
        </w:tc>
        <w:tc>
          <w:tcPr>
            <w:tcW w:type="dxa" w:w="1851"/>
          </w:tcPr>
          <w:p>
            <w:pPr>
              <w:spacing w:before="0" w:after="0" w:line="276" w:lineRule="auto"/>
            </w:pPr>
            <w:r/>
            <w:r>
              <w:rPr>
                <w:rFonts w:ascii="Times New Roman" w:hAnsi="Times New Roman" w:eastAsia="宋体"/>
                <w:b w:val="0"/>
                <w:color w:val="1F1F1F"/>
                <w:sz w:val="18"/>
              </w:rPr>
              <w:t>碳账覆盖率（纳入核算的用能单元占比）；边界判定规则书面化；年度复核通过</w:t>
            </w:r>
          </w:p>
        </w:tc>
        <w:tc>
          <w:tcPr>
            <w:tcW w:type="dxa" w:w="1496"/>
          </w:tcPr>
          <w:p>
            <w:pPr>
              <w:spacing w:before="0" w:after="0" w:line="276" w:lineRule="auto"/>
            </w:pPr>
            <w:r/>
            <w:r>
              <w:rPr>
                <w:rFonts w:ascii="Times New Roman" w:hAnsi="Times New Roman" w:eastAsia="宋体"/>
                <w:b w:val="0"/>
                <w:color w:val="1F1F1F"/>
                <w:sz w:val="18"/>
              </w:rPr>
              <w:t>沉淀为碳账口径与边界判定方法，向南网内园区复制</w:t>
            </w:r>
          </w:p>
        </w:tc>
      </w:tr>
      <w:tr>
        <w:trPr>
          <w:cantSplit/>
        </w:trPr>
        <w:tc>
          <w:tcPr>
            <w:tcW w:type="dxa" w:w="1049"/>
          </w:tcPr>
          <w:p>
            <w:pPr>
              <w:spacing w:before="0" w:after="0" w:line="276" w:lineRule="auto"/>
            </w:pPr>
            <w:r/>
            <w:r>
              <w:rPr>
                <w:rFonts w:ascii="Times New Roman" w:hAnsi="Times New Roman" w:eastAsia="宋体"/>
                <w:b w:val="0"/>
                <w:color w:val="1F1F1F"/>
                <w:sz w:val="18"/>
              </w:rPr>
              <w:t>G2</w:t>
            </w:r>
          </w:p>
        </w:tc>
        <w:tc>
          <w:tcPr>
            <w:tcW w:type="dxa" w:w="1186"/>
          </w:tcPr>
          <w:p>
            <w:pPr>
              <w:spacing w:before="0" w:after="0" w:line="276" w:lineRule="auto"/>
            </w:pPr>
            <w:r/>
            <w:r>
              <w:rPr>
                <w:rFonts w:ascii="Times New Roman" w:hAnsi="Times New Roman" w:eastAsia="宋体"/>
                <w:b w:val="0"/>
                <w:color w:val="1F1F1F"/>
                <w:sz w:val="18"/>
              </w:rPr>
              <w:t>目标三档比较</w:t>
            </w:r>
          </w:p>
        </w:tc>
        <w:tc>
          <w:tcPr>
            <w:tcW w:type="dxa" w:w="1075"/>
          </w:tcPr>
          <w:p>
            <w:pPr>
              <w:spacing w:before="0" w:after="0" w:line="276" w:lineRule="auto"/>
            </w:pPr>
            <w:r/>
            <w:r>
              <w:rPr>
                <w:rFonts w:ascii="Times New Roman" w:hAnsi="Times New Roman" w:eastAsia="宋体"/>
                <w:b w:val="0"/>
                <w:color w:val="1F1F1F"/>
                <w:sz w:val="18"/>
              </w:rPr>
              <w:t>SOP</w:t>
            </w:r>
          </w:p>
        </w:tc>
        <w:tc>
          <w:tcPr>
            <w:tcW w:type="dxa" w:w="2186"/>
          </w:tcPr>
          <w:p>
            <w:pPr>
              <w:spacing w:before="0" w:after="0" w:line="276" w:lineRule="auto"/>
            </w:pPr>
            <w:r/>
            <w:r>
              <w:rPr>
                <w:rFonts w:ascii="Times New Roman" w:hAnsi="Times New Roman" w:eastAsia="宋体"/>
                <w:b w:val="0"/>
                <w:color w:val="1F1F1F"/>
                <w:sz w:val="18"/>
              </w:rPr>
              <w:t>低碳、近零碳、碳中和三档并列，逐档给出达成条件、定性代价、认证路径与主要风险，随预可研提出</w:t>
            </w:r>
          </w:p>
        </w:tc>
        <w:tc>
          <w:tcPr>
            <w:tcW w:type="dxa" w:w="1851"/>
          </w:tcPr>
          <w:p>
            <w:pPr>
              <w:spacing w:before="0" w:after="0" w:line="276" w:lineRule="auto"/>
            </w:pPr>
            <w:r/>
            <w:r>
              <w:rPr>
                <w:rFonts w:ascii="Times New Roman" w:hAnsi="Times New Roman" w:eastAsia="宋体"/>
                <w:b w:val="0"/>
                <w:color w:val="1F1F1F"/>
                <w:sz w:val="18"/>
              </w:rPr>
              <w:t>三档比较表完成；每档风险项有对应处置</w:t>
            </w:r>
          </w:p>
        </w:tc>
        <w:tc>
          <w:tcPr>
            <w:tcW w:type="dxa" w:w="1496"/>
          </w:tcPr>
          <w:p>
            <w:pPr>
              <w:spacing w:before="0" w:after="0" w:line="276" w:lineRule="auto"/>
            </w:pPr>
            <w:r/>
            <w:r>
              <w:rPr>
                <w:rFonts w:ascii="Times New Roman" w:hAnsi="Times New Roman" w:eastAsia="宋体"/>
                <w:b w:val="0"/>
                <w:color w:val="1F1F1F"/>
                <w:sz w:val="18"/>
              </w:rPr>
              <w:t>形成“既有园区目标定档”方法，进入方法论</w:t>
            </w:r>
          </w:p>
        </w:tc>
      </w:tr>
      <w:tr>
        <w:trPr>
          <w:cantSplit/>
        </w:trPr>
        <w:tc>
          <w:tcPr>
            <w:tcW w:type="dxa" w:w="1049"/>
          </w:tcPr>
          <w:p>
            <w:pPr>
              <w:spacing w:before="0" w:after="0" w:line="276" w:lineRule="auto"/>
            </w:pPr>
            <w:r/>
            <w:r>
              <w:rPr>
                <w:rFonts w:ascii="Times New Roman" w:hAnsi="Times New Roman" w:eastAsia="宋体"/>
                <w:b w:val="0"/>
                <w:color w:val="1F1F1F"/>
                <w:sz w:val="18"/>
              </w:rPr>
              <w:t>G3</w:t>
            </w:r>
          </w:p>
        </w:tc>
        <w:tc>
          <w:tcPr>
            <w:tcW w:type="dxa" w:w="1186"/>
          </w:tcPr>
          <w:p>
            <w:pPr>
              <w:spacing w:before="0" w:after="0" w:line="276" w:lineRule="auto"/>
            </w:pPr>
            <w:r/>
            <w:r>
              <w:rPr>
                <w:rFonts w:ascii="Times New Roman" w:hAnsi="Times New Roman" w:eastAsia="宋体"/>
                <w:b w:val="0"/>
                <w:color w:val="1F1F1F"/>
                <w:sz w:val="18"/>
              </w:rPr>
              <w:t>绿电与抵消结构设计</w:t>
            </w:r>
          </w:p>
        </w:tc>
        <w:tc>
          <w:tcPr>
            <w:tcW w:type="dxa" w:w="1075"/>
          </w:tcPr>
          <w:p>
            <w:pPr>
              <w:spacing w:before="0" w:after="0" w:line="276" w:lineRule="auto"/>
            </w:pPr>
            <w:r/>
            <w:r>
              <w:rPr>
                <w:rFonts w:ascii="Times New Roman" w:hAnsi="Times New Roman" w:eastAsia="宋体"/>
                <w:b w:val="0"/>
                <w:color w:val="1F1F1F"/>
                <w:sz w:val="18"/>
              </w:rPr>
              <w:t>SOP / 产品包</w:t>
            </w:r>
          </w:p>
        </w:tc>
        <w:tc>
          <w:tcPr>
            <w:tcW w:type="dxa" w:w="2186"/>
          </w:tcPr>
          <w:p>
            <w:pPr>
              <w:spacing w:before="0" w:after="0" w:line="276" w:lineRule="auto"/>
            </w:pPr>
            <w:r/>
            <w:r>
              <w:rPr>
                <w:rFonts w:ascii="Times New Roman" w:hAnsi="Times New Roman" w:eastAsia="宋体"/>
                <w:b w:val="0"/>
                <w:color w:val="1F1F1F"/>
                <w:sz w:val="18"/>
              </w:rPr>
              <w:t>设计需求侧节能、本地光伏、绿电交易三部分的抵消结构与采购方式；绿电交易口径以正式规则为准</w:t>
            </w:r>
          </w:p>
        </w:tc>
        <w:tc>
          <w:tcPr>
            <w:tcW w:type="dxa" w:w="1851"/>
          </w:tcPr>
          <w:p>
            <w:pPr>
              <w:spacing w:before="0" w:after="0" w:line="276" w:lineRule="auto"/>
            </w:pPr>
            <w:r/>
            <w:r>
              <w:rPr>
                <w:rFonts w:ascii="Times New Roman" w:hAnsi="Times New Roman" w:eastAsia="宋体"/>
                <w:b w:val="0"/>
                <w:color w:val="1F1F1F"/>
                <w:sz w:val="18"/>
              </w:rPr>
              <w:t>抵消结构中交易抵消占比及其上限合规性（上限值待核）；绿电来源可溯源</w:t>
            </w:r>
          </w:p>
        </w:tc>
        <w:tc>
          <w:tcPr>
            <w:tcW w:type="dxa" w:w="1496"/>
          </w:tcPr>
          <w:p>
            <w:pPr>
              <w:spacing w:before="0" w:after="0" w:line="276" w:lineRule="auto"/>
            </w:pPr>
            <w:r/>
            <w:r>
              <w:rPr>
                <w:rFonts w:ascii="Times New Roman" w:hAnsi="Times New Roman" w:eastAsia="宋体"/>
                <w:b w:val="0"/>
                <w:color w:val="1F1F1F"/>
                <w:sz w:val="18"/>
              </w:rPr>
              <w:t>沉淀为抵消结构设计方法，与南网绿电交易能力打通</w:t>
            </w:r>
          </w:p>
        </w:tc>
      </w:tr>
      <w:tr>
        <w:trPr>
          <w:cantSplit/>
        </w:trPr>
        <w:tc>
          <w:tcPr>
            <w:tcW w:type="dxa" w:w="1049"/>
          </w:tcPr>
          <w:p>
            <w:pPr>
              <w:spacing w:before="0" w:after="0" w:line="276" w:lineRule="auto"/>
            </w:pPr>
            <w:r/>
            <w:r>
              <w:rPr>
                <w:rFonts w:ascii="Times New Roman" w:hAnsi="Times New Roman" w:eastAsia="宋体"/>
                <w:b w:val="0"/>
                <w:color w:val="1F1F1F"/>
                <w:sz w:val="18"/>
              </w:rPr>
              <w:t>G4</w:t>
            </w:r>
          </w:p>
        </w:tc>
        <w:tc>
          <w:tcPr>
            <w:tcW w:type="dxa" w:w="1186"/>
          </w:tcPr>
          <w:p>
            <w:pPr>
              <w:spacing w:before="0" w:after="0" w:line="276" w:lineRule="auto"/>
            </w:pPr>
            <w:r/>
            <w:r>
              <w:rPr>
                <w:rFonts w:ascii="Times New Roman" w:hAnsi="Times New Roman" w:eastAsia="宋体"/>
                <w:b w:val="0"/>
                <w:color w:val="1F1F1F"/>
                <w:sz w:val="18"/>
              </w:rPr>
              <w:t>光伏资源普查与风貌约束布置</w:t>
            </w:r>
          </w:p>
        </w:tc>
        <w:tc>
          <w:tcPr>
            <w:tcW w:type="dxa" w:w="1075"/>
          </w:tcPr>
          <w:p>
            <w:pPr>
              <w:spacing w:before="0" w:after="0" w:line="276" w:lineRule="auto"/>
            </w:pPr>
            <w:r/>
            <w:r>
              <w:rPr>
                <w:rFonts w:ascii="Times New Roman" w:hAnsi="Times New Roman" w:eastAsia="宋体"/>
                <w:b w:val="0"/>
                <w:color w:val="1F1F1F"/>
                <w:sz w:val="18"/>
              </w:rPr>
              <w:t>物理改造</w:t>
            </w:r>
          </w:p>
        </w:tc>
        <w:tc>
          <w:tcPr>
            <w:tcW w:type="dxa" w:w="2186"/>
          </w:tcPr>
          <w:p>
            <w:pPr>
              <w:spacing w:before="0" w:after="0" w:line="276" w:lineRule="auto"/>
            </w:pPr>
            <w:r/>
            <w:r>
              <w:rPr>
                <w:rFonts w:ascii="Times New Roman" w:hAnsi="Times New Roman" w:eastAsia="宋体"/>
                <w:b w:val="0"/>
                <w:color w:val="1F1F1F"/>
                <w:sz w:val="18"/>
              </w:rPr>
              <w:t>卫星影像快速评估屋顶与立面资源【交流纪要，待核】；屋顶、露台、车棚优先；立面光伏与风貌保护一并论证</w:t>
            </w:r>
          </w:p>
        </w:tc>
        <w:tc>
          <w:tcPr>
            <w:tcW w:type="dxa" w:w="1851"/>
          </w:tcPr>
          <w:p>
            <w:pPr>
              <w:spacing w:before="0" w:after="0" w:line="276" w:lineRule="auto"/>
            </w:pPr>
            <w:r/>
            <w:r>
              <w:rPr>
                <w:rFonts w:ascii="Times New Roman" w:hAnsi="Times New Roman" w:eastAsia="宋体"/>
                <w:b w:val="0"/>
                <w:color w:val="1F1F1F"/>
                <w:sz w:val="18"/>
              </w:rPr>
              <w:t>可利用面积与可装容量普查完成；现状装机口径核实（约 2 点几兆瓦，待核）</w:t>
            </w:r>
          </w:p>
        </w:tc>
        <w:tc>
          <w:tcPr>
            <w:tcW w:type="dxa" w:w="1496"/>
          </w:tcPr>
          <w:p>
            <w:pPr>
              <w:spacing w:before="0" w:after="0" w:line="276" w:lineRule="auto"/>
            </w:pPr>
            <w:r/>
            <w:r>
              <w:rPr>
                <w:rFonts w:ascii="Times New Roman" w:hAnsi="Times New Roman" w:eastAsia="宋体"/>
                <w:b w:val="0"/>
                <w:color w:val="1F1F1F"/>
                <w:sz w:val="18"/>
              </w:rPr>
              <w:t>形成风貌约束下的光伏布置导则</w:t>
            </w:r>
          </w:p>
        </w:tc>
      </w:tr>
      <w:tr>
        <w:trPr>
          <w:cantSplit/>
        </w:trPr>
        <w:tc>
          <w:tcPr>
            <w:tcW w:type="dxa" w:w="1049"/>
          </w:tcPr>
          <w:p>
            <w:pPr>
              <w:spacing w:before="0" w:after="0" w:line="276" w:lineRule="auto"/>
            </w:pPr>
            <w:r/>
            <w:r>
              <w:rPr>
                <w:rFonts w:ascii="Times New Roman" w:hAnsi="Times New Roman" w:eastAsia="宋体"/>
                <w:b w:val="0"/>
                <w:color w:val="1F1F1F"/>
                <w:sz w:val="18"/>
              </w:rPr>
              <w:t>G5</w:t>
            </w:r>
          </w:p>
        </w:tc>
        <w:tc>
          <w:tcPr>
            <w:tcW w:type="dxa" w:w="1186"/>
          </w:tcPr>
          <w:p>
            <w:pPr>
              <w:spacing w:before="0" w:after="0" w:line="276" w:lineRule="auto"/>
            </w:pPr>
            <w:r/>
            <w:r>
              <w:rPr>
                <w:rFonts w:ascii="Times New Roman" w:hAnsi="Times New Roman" w:eastAsia="宋体"/>
                <w:b w:val="0"/>
                <w:color w:val="1F1F1F"/>
                <w:sz w:val="18"/>
              </w:rPr>
              <w:t>柔性资源池</w:t>
            </w:r>
          </w:p>
        </w:tc>
        <w:tc>
          <w:tcPr>
            <w:tcW w:type="dxa" w:w="1075"/>
          </w:tcPr>
          <w:p>
            <w:pPr>
              <w:spacing w:before="0" w:after="0" w:line="276" w:lineRule="auto"/>
            </w:pPr>
            <w:r/>
            <w:r>
              <w:rPr>
                <w:rFonts w:ascii="Times New Roman" w:hAnsi="Times New Roman" w:eastAsia="宋体"/>
                <w:b w:val="0"/>
                <w:color w:val="1F1F1F"/>
                <w:sz w:val="18"/>
              </w:rPr>
              <w:t>物理改造 / 数据</w:t>
            </w:r>
          </w:p>
        </w:tc>
        <w:tc>
          <w:tcPr>
            <w:tcW w:type="dxa" w:w="2186"/>
          </w:tcPr>
          <w:p>
            <w:pPr>
              <w:spacing w:before="0" w:after="0" w:line="276" w:lineRule="auto"/>
            </w:pPr>
            <w:r/>
            <w:r>
              <w:rPr>
                <w:rFonts w:ascii="Times New Roman" w:hAnsi="Times New Roman" w:eastAsia="宋体"/>
                <w:b w:val="0"/>
                <w:color w:val="1F1F1F"/>
                <w:sz w:val="18"/>
              </w:rPr>
              <w:t>蓄冷、光伏、储能、充电桩聚合为可观测、可调节资源，接入实时电价与需求响应；控制策略专题见高效边 E3</w:t>
            </w:r>
          </w:p>
        </w:tc>
        <w:tc>
          <w:tcPr>
            <w:tcW w:type="dxa" w:w="1851"/>
          </w:tcPr>
          <w:p>
            <w:pPr>
              <w:spacing w:before="0" w:after="0" w:line="276" w:lineRule="auto"/>
            </w:pPr>
            <w:r/>
            <w:r>
              <w:rPr>
                <w:rFonts w:ascii="Times New Roman" w:hAnsi="Times New Roman" w:eastAsia="宋体"/>
                <w:b w:val="0"/>
                <w:color w:val="1F1F1F"/>
                <w:sz w:val="18"/>
              </w:rPr>
              <w:t>柔性资源可观测率、可调节容量口径；接入平台的资源类别数</w:t>
            </w:r>
          </w:p>
        </w:tc>
        <w:tc>
          <w:tcPr>
            <w:tcW w:type="dxa" w:w="1496"/>
          </w:tcPr>
          <w:p>
            <w:pPr>
              <w:spacing w:before="0" w:after="0" w:line="276" w:lineRule="auto"/>
            </w:pPr>
            <w:r/>
            <w:r>
              <w:rPr>
                <w:rFonts w:ascii="Times New Roman" w:hAnsi="Times New Roman" w:eastAsia="宋体"/>
                <w:b w:val="0"/>
                <w:color w:val="1F1F1F"/>
                <w:sz w:val="18"/>
              </w:rPr>
              <w:t>沉淀为调控与交易模型的资源接入方法</w:t>
            </w:r>
          </w:p>
        </w:tc>
      </w:tr>
      <w:tr>
        <w:trPr>
          <w:cantSplit/>
        </w:trPr>
        <w:tc>
          <w:tcPr>
            <w:tcW w:type="dxa" w:w="1049"/>
          </w:tcPr>
          <w:p>
            <w:pPr>
              <w:spacing w:before="0" w:after="0" w:line="276" w:lineRule="auto"/>
            </w:pPr>
            <w:r/>
            <w:r>
              <w:rPr>
                <w:rFonts w:ascii="Times New Roman" w:hAnsi="Times New Roman" w:eastAsia="宋体"/>
                <w:b w:val="0"/>
                <w:color w:val="1F1F1F"/>
                <w:sz w:val="18"/>
              </w:rPr>
              <w:t>G6</w:t>
            </w:r>
          </w:p>
        </w:tc>
        <w:tc>
          <w:tcPr>
            <w:tcW w:type="dxa" w:w="1186"/>
          </w:tcPr>
          <w:p>
            <w:pPr>
              <w:spacing w:before="0" w:after="0" w:line="276" w:lineRule="auto"/>
            </w:pPr>
            <w:r/>
            <w:r>
              <w:rPr>
                <w:rFonts w:ascii="Times New Roman" w:hAnsi="Times New Roman" w:eastAsia="宋体"/>
                <w:b w:val="0"/>
                <w:color w:val="1F1F1F"/>
                <w:sz w:val="18"/>
              </w:rPr>
              <w:t>水循环与生态微气候</w:t>
            </w:r>
          </w:p>
        </w:tc>
        <w:tc>
          <w:tcPr>
            <w:tcW w:type="dxa" w:w="1075"/>
          </w:tcPr>
          <w:p>
            <w:pPr>
              <w:spacing w:before="0" w:after="0" w:line="276" w:lineRule="auto"/>
            </w:pPr>
            <w:r/>
            <w:r>
              <w:rPr>
                <w:rFonts w:ascii="Times New Roman" w:hAnsi="Times New Roman" w:eastAsia="宋体"/>
                <w:b w:val="0"/>
                <w:color w:val="1F1F1F"/>
                <w:sz w:val="18"/>
              </w:rPr>
              <w:t>物理改造</w:t>
            </w:r>
          </w:p>
        </w:tc>
        <w:tc>
          <w:tcPr>
            <w:tcW w:type="dxa" w:w="2186"/>
          </w:tcPr>
          <w:p>
            <w:pPr>
              <w:spacing w:before="0" w:after="0" w:line="276" w:lineRule="auto"/>
            </w:pPr>
            <w:r/>
            <w:r>
              <w:rPr>
                <w:rFonts w:ascii="Times New Roman" w:hAnsi="Times New Roman" w:eastAsia="宋体"/>
                <w:b w:val="0"/>
                <w:color w:val="1F1F1F"/>
                <w:sz w:val="18"/>
              </w:rPr>
              <w:t>中水与雨水回用、透水铺装海绵化、乔木与垂直绿化、自然通风组织；与人文边 C2 共用改造界面</w:t>
            </w:r>
          </w:p>
        </w:tc>
        <w:tc>
          <w:tcPr>
            <w:tcW w:type="dxa" w:w="1851"/>
          </w:tcPr>
          <w:p>
            <w:pPr>
              <w:spacing w:before="0" w:after="0" w:line="276" w:lineRule="auto"/>
            </w:pPr>
            <w:r/>
            <w:r>
              <w:rPr>
                <w:rFonts w:ascii="Times New Roman" w:hAnsi="Times New Roman" w:eastAsia="宋体"/>
                <w:b w:val="0"/>
                <w:color w:val="1F1F1F"/>
                <w:sz w:val="18"/>
              </w:rPr>
              <w:t>非传统水源利用率；透水铺装比例；绿量指标（值待踏勘后定）</w:t>
            </w:r>
          </w:p>
        </w:tc>
        <w:tc>
          <w:tcPr>
            <w:tcW w:type="dxa" w:w="1496"/>
          </w:tcPr>
          <w:p>
            <w:pPr>
              <w:spacing w:before="0" w:after="0" w:line="276" w:lineRule="auto"/>
            </w:pPr>
            <w:r/>
            <w:r>
              <w:rPr>
                <w:rFonts w:ascii="Times New Roman" w:hAnsi="Times New Roman" w:eastAsia="宋体"/>
                <w:b w:val="0"/>
                <w:color w:val="1F1F1F"/>
                <w:sz w:val="18"/>
              </w:rPr>
              <w:t>形成不停机景观与水系统改造清单</w:t>
            </w:r>
          </w:p>
        </w:tc>
      </w:tr>
    </w:tbl>
    <w:p>
      <w:pPr>
        <w:spacing w:after="80"/>
      </w:pPr>
    </w:p>
    <w:p>
      <w:pPr>
        <w:pStyle w:val="Heading2"/>
        <w:keepNext/>
        <w:spacing w:before="240" w:after="120" w:line="360" w:lineRule="auto"/>
      </w:pPr>
      <w:r>
        <w:rPr>
          <w:rFonts w:ascii="Times New Roman" w:hAnsi="Times New Roman" w:eastAsia="黑体"/>
          <w:b w:val="0"/>
          <w:color w:val="1F1F1F"/>
          <w:sz w:val="28"/>
        </w:rPr>
        <w:t>四、对标参照（待核）</w:t>
      </w:r>
    </w:p>
    <w:p>
      <w:pPr>
        <w:spacing w:before="0" w:after="80" w:line="360" w:lineRule="auto"/>
        <w:ind w:left="480" w:hanging="240"/>
      </w:pPr>
      <w:r>
        <w:rPr>
          <w:rFonts w:ascii="Times New Roman" w:hAnsi="Times New Roman" w:eastAsia="仿宋_GB2312"/>
          <w:b w:val="0"/>
          <w:color w:val="1F1F1F"/>
          <w:sz w:val="24"/>
        </w:rPr>
        <w:t>▪ 国网雄安创新中心智慧零碳园区：碳账结构与直流、V2G 配电做法【宣讲材料，对标案例，待核】；差异在于新建与既有、北方与岭南、示范与复制。</w:t>
      </w:r>
    </w:p>
    <w:p>
      <w:pPr>
        <w:spacing w:before="0" w:after="80" w:line="360" w:lineRule="auto"/>
        <w:ind w:left="480" w:hanging="240"/>
      </w:pPr>
      <w:r>
        <w:rPr>
          <w:rFonts w:ascii="Times New Roman" w:hAnsi="Times New Roman" w:eastAsia="仿宋_GB2312"/>
          <w:b w:val="0"/>
          <w:color w:val="1F1F1F"/>
          <w:sz w:val="24"/>
        </w:rPr>
        <w:t>▪ 中国移动国际信息港 G13 号楼屋面光伏：既有园区屋面加装样本【公开报道，对标案例，待核】。</w:t>
      </w:r>
    </w:p>
    <w:p>
      <w:pPr>
        <w:spacing w:before="0" w:after="80" w:line="360" w:lineRule="auto"/>
        <w:ind w:left="480" w:hanging="240"/>
      </w:pPr>
      <w:r>
        <w:rPr>
          <w:rFonts w:ascii="Times New Roman" w:hAnsi="Times New Roman" w:eastAsia="仿宋_GB2312"/>
          <w:b w:val="0"/>
          <w:color w:val="1F1F1F"/>
          <w:sz w:val="24"/>
        </w:rPr>
        <w:t>▪ 腾讯滨海大厦海绵设计、松山湖生态绿地：第四轮赛马所引生态与水循环案例【对标案例，待核】。</w:t>
      </w:r>
    </w:p>
    <w:p>
      <w:pPr>
        <w:pStyle w:val="Heading2"/>
        <w:keepNext/>
        <w:spacing w:before="240" w:after="120" w:line="360" w:lineRule="auto"/>
      </w:pPr>
      <w:r>
        <w:rPr>
          <w:rFonts w:ascii="Times New Roman" w:hAnsi="Times New Roman" w:eastAsia="黑体"/>
          <w:b w:val="0"/>
          <w:color w:val="1F1F1F"/>
          <w:sz w:val="28"/>
        </w:rPr>
        <w:t>五、向核沉淀什么</w:t>
      </w:r>
    </w:p>
    <w:p>
      <w:pPr>
        <w:spacing w:before="0" w:after="120" w:line="360" w:lineRule="auto"/>
        <w:ind w:firstLine="480"/>
      </w:pPr>
      <w:r>
        <w:rPr>
          <w:rFonts w:ascii="Times New Roman" w:hAnsi="Times New Roman" w:eastAsia="仿宋_GB2312"/>
          <w:b w:val="0"/>
          <w:color w:val="1F1F1F"/>
          <w:sz w:val="24"/>
        </w:rPr>
        <w:t>碳账口径与边界判定方法、抵消结构设计方法、柔性资源接入方法。零碳目标结果由本边承载指标、由高效边提供达标主力、由智慧边提供核验数据。</w:t>
      </w:r>
    </w:p>
    <w:p>
      <w:pPr>
        <w:pStyle w:val="Heading1"/>
        <w:keepNext/>
        <w:pageBreakBefore/>
        <w:spacing w:before="360" w:after="240" w:line="360" w:lineRule="auto"/>
        <w:jc w:val="center"/>
      </w:pPr>
      <w:r>
        <w:rPr>
          <w:rFonts w:ascii="Times New Roman" w:hAnsi="Times New Roman" w:eastAsia="黑体"/>
          <w:b w:val="0"/>
          <w:color w:val="1F1F1F"/>
          <w:sz w:val="32"/>
        </w:rPr>
        <w:t>第六章 高效：用能与运营效率</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高效边管“同样舒适、少用电、会运营”。冷站与水系统是目前有量级支撑的入手点；蓄冷控制策略与实时电价对接既是存量风险，更是南网数字电网能力的主场。本边全部动作以“不换主机、不停机、先测后改”为前提。</w:t>
      </w:r>
    </w:p>
    <w:p>
      <w:pPr>
        <w:pStyle w:val="Heading2"/>
        <w:keepNext/>
        <w:spacing w:before="240" w:after="120" w:line="360" w:lineRule="auto"/>
      </w:pPr>
      <w:r>
        <w:rPr>
          <w:rFonts w:ascii="Times New Roman" w:hAnsi="Times New Roman" w:eastAsia="黑体"/>
          <w:b w:val="0"/>
          <w:color w:val="1F1F1F"/>
          <w:sz w:val="28"/>
        </w:rPr>
        <w:t>一、是什么：园区验证什么</w:t>
      </w:r>
    </w:p>
    <w:p>
      <w:pPr>
        <w:spacing w:before="0" w:after="120" w:line="360" w:lineRule="auto"/>
        <w:ind w:firstLine="480"/>
      </w:pPr>
      <w:r>
        <w:rPr>
          <w:rFonts w:ascii="Times New Roman" w:hAnsi="Times New Roman" w:eastAsia="仿宋_GB2312"/>
          <w:b w:val="0"/>
          <w:color w:val="1F1F1F"/>
          <w:sz w:val="24"/>
        </w:rPr>
        <w:t>高效边在基地验证三件事：一是主要设备满十年未到报废的既有冷站，在不换主机的条件下能否通过诊断、群控与调优取得实测节能；二是固定低谷电价取消、转向实时电价后，蓄冷等柔性资源的控制策略能否与交易系统对接并保住经济性；三是办公行为驱动的末端节能与机房余热回收，在办公与机房复合园区能否形成可复制的运行 SOP。</w:t>
      </w:r>
    </w:p>
    <w:p>
      <w:pPr>
        <w:pStyle w:val="Heading2"/>
        <w:keepNext/>
        <w:spacing w:before="240" w:after="120" w:line="360" w:lineRule="auto"/>
      </w:pPr>
      <w:r>
        <w:rPr>
          <w:rFonts w:ascii="Times New Roman" w:hAnsi="Times New Roman" w:eastAsia="黑体"/>
          <w:b w:val="0"/>
          <w:color w:val="1F1F1F"/>
          <w:sz w:val="28"/>
        </w:rPr>
        <w:t>二、为什么</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政策落点。</w:t>
      </w:r>
      <w:r>
        <w:rPr>
          <w:rFonts w:ascii="Times New Roman" w:hAnsi="Times New Roman" w:eastAsia="仿宋_GB2312"/>
          <w:b w:val="0"/>
          <w:color w:val="1F1F1F"/>
          <w:sz w:val="24"/>
        </w:rPr>
        <w:t xml:space="preserve"> 节能降碳行动方案把建筑、公共机构与用能设备列为重点领域【国务院公开文件】；公共机构绿色低碳引领行动明确空调系统节能改造、智能管控与运行优化【部门公开文件】。</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量级支撑。</w:t>
      </w:r>
      <w:r>
        <w:rPr>
          <w:rFonts w:ascii="Times New Roman" w:hAnsi="Times New Roman" w:eastAsia="仿宋_GB2312"/>
          <w:b w:val="0"/>
          <w:color w:val="1F1F1F"/>
          <w:sz w:val="24"/>
        </w:rPr>
        <w:t xml:space="preserve"> 广州供冷负荷大，主要设备 2016 年投运【交流纪要，待核】。清华会中估算不换主机可节电 10%–20%【会中估算，待核】，中国移动绿智楼宇资料宣称高效冷热源加群控可降耗 10%–20%【产品资料宣称，待核】，两方独立区间量级吻合，是目前有量级支撑的入手点；具体指标须待实测基线确定后设定。</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机制变化。</w:t>
      </w:r>
      <w:r>
        <w:rPr>
          <w:rFonts w:ascii="Times New Roman" w:hAnsi="Times New Roman" w:eastAsia="仿宋_GB2312"/>
          <w:b w:val="0"/>
          <w:color w:val="1F1F1F"/>
          <w:sz w:val="24"/>
        </w:rPr>
        <w:t xml:space="preserve"> 现有冰蓄冷经济性建立在固定低谷电价之上，国家已取消固定低谷时段，广东细则预计转向约 15 分钟级实时电价【交流纪要，待核】。策略若不对接交易系统，原省钱逻辑失效；对接成功，则是南网数字电网与交易能力在自家园区的第一个实证。</w:t>
      </w:r>
    </w:p>
    <w:p>
      <w:pPr>
        <w:pStyle w:val="Heading2"/>
        <w:keepNext/>
        <w:spacing w:before="240" w:after="120" w:line="360" w:lineRule="auto"/>
      </w:pPr>
      <w:r>
        <w:rPr>
          <w:rFonts w:ascii="Times New Roman" w:hAnsi="Times New Roman" w:eastAsia="黑体"/>
          <w:b w:val="0"/>
          <w:color w:val="1F1F1F"/>
          <w:sz w:val="28"/>
        </w:rPr>
        <w:t>三、怎么做：工作包</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49"/>
        <w:gridCol w:w="1227"/>
        <w:gridCol w:w="1130"/>
        <w:gridCol w:w="2186"/>
        <w:gridCol w:w="1811"/>
        <w:gridCol w:w="1440"/>
      </w:tblGrid>
      <w:tr>
        <w:trPr>
          <w:cantSplit/>
          <w:tblHeader/>
        </w:trPr>
        <w:tc>
          <w:tcPr>
            <w:tcW w:type="dxa" w:w="1049"/>
            <w:shd w:val="clear" w:color="auto" w:fill="E7EEF3"/>
          </w:tcPr>
          <w:p>
            <w:pPr>
              <w:keepNext/>
              <w:spacing w:before="0" w:after="0" w:line="276" w:lineRule="auto"/>
            </w:pPr>
            <w:r/>
            <w:r>
              <w:rPr>
                <w:rFonts w:ascii="Times New Roman" w:hAnsi="Times New Roman" w:eastAsia="宋体"/>
                <w:b/>
                <w:color w:val="1F1F1F"/>
                <w:sz w:val="18"/>
              </w:rPr>
              <w:t>编号</w:t>
            </w:r>
          </w:p>
        </w:tc>
        <w:tc>
          <w:tcPr>
            <w:tcW w:type="dxa" w:w="1227"/>
            <w:shd w:val="clear" w:color="auto" w:fill="E7EEF3"/>
          </w:tcPr>
          <w:p>
            <w:pPr>
              <w:keepNext/>
              <w:spacing w:before="0" w:after="0" w:line="276" w:lineRule="auto"/>
            </w:pPr>
            <w:r/>
            <w:r>
              <w:rPr>
                <w:rFonts w:ascii="Times New Roman" w:hAnsi="Times New Roman" w:eastAsia="宋体"/>
                <w:b/>
                <w:color w:val="1F1F1F"/>
                <w:sz w:val="18"/>
              </w:rPr>
              <w:t>工作包</w:t>
            </w:r>
          </w:p>
        </w:tc>
        <w:tc>
          <w:tcPr>
            <w:tcW w:type="dxa" w:w="1130"/>
            <w:shd w:val="clear" w:color="auto" w:fill="E7EEF3"/>
          </w:tcPr>
          <w:p>
            <w:pPr>
              <w:keepNext/>
              <w:spacing w:before="0" w:after="0" w:line="276" w:lineRule="auto"/>
            </w:pPr>
            <w:r/>
            <w:r>
              <w:rPr>
                <w:rFonts w:ascii="Times New Roman" w:hAnsi="Times New Roman" w:eastAsia="宋体"/>
                <w:b/>
                <w:color w:val="1F1F1F"/>
                <w:sz w:val="18"/>
              </w:rPr>
              <w:t>类型</w:t>
            </w:r>
          </w:p>
        </w:tc>
        <w:tc>
          <w:tcPr>
            <w:tcW w:type="dxa" w:w="2186"/>
            <w:shd w:val="clear" w:color="auto" w:fill="E7EEF3"/>
          </w:tcPr>
          <w:p>
            <w:pPr>
              <w:keepNext/>
              <w:spacing w:before="0" w:after="0" w:line="276" w:lineRule="auto"/>
            </w:pPr>
            <w:r/>
            <w:r>
              <w:rPr>
                <w:rFonts w:ascii="Times New Roman" w:hAnsi="Times New Roman" w:eastAsia="宋体"/>
                <w:b/>
                <w:color w:val="1F1F1F"/>
                <w:sz w:val="18"/>
              </w:rPr>
              <w:t>内容与落点</w:t>
            </w:r>
          </w:p>
        </w:tc>
        <w:tc>
          <w:tcPr>
            <w:tcW w:type="dxa" w:w="1811"/>
            <w:shd w:val="clear" w:color="auto" w:fill="E7EEF3"/>
          </w:tcPr>
          <w:p>
            <w:pPr>
              <w:keepNext/>
              <w:spacing w:before="0" w:after="0" w:line="276" w:lineRule="auto"/>
            </w:pPr>
            <w:r/>
            <w:r>
              <w:rPr>
                <w:rFonts w:ascii="Times New Roman" w:hAnsi="Times New Roman" w:eastAsia="宋体"/>
                <w:b/>
                <w:color w:val="1F1F1F"/>
                <w:sz w:val="18"/>
              </w:rPr>
              <w:t>可检查指标（方向）</w:t>
            </w:r>
          </w:p>
        </w:tc>
        <w:tc>
          <w:tcPr>
            <w:tcW w:type="dxa" w:w="1440"/>
            <w:shd w:val="clear" w:color="auto" w:fill="E7EEF3"/>
          </w:tcPr>
          <w:p>
            <w:pPr>
              <w:keepNext/>
              <w:spacing w:before="0" w:after="0" w:line="276" w:lineRule="auto"/>
            </w:pPr>
            <w:r/>
            <w:r>
              <w:rPr>
                <w:rFonts w:ascii="Times New Roman" w:hAnsi="Times New Roman" w:eastAsia="宋体"/>
                <w:b/>
                <w:color w:val="1F1F1F"/>
                <w:sz w:val="18"/>
              </w:rPr>
              <w:t>转化路径</w:t>
            </w:r>
          </w:p>
        </w:tc>
      </w:tr>
      <w:tr>
        <w:trPr>
          <w:cantSplit/>
        </w:trPr>
        <w:tc>
          <w:tcPr>
            <w:tcW w:type="dxa" w:w="1049"/>
          </w:tcPr>
          <w:p>
            <w:pPr>
              <w:spacing w:before="0" w:after="0" w:line="276" w:lineRule="auto"/>
            </w:pPr>
            <w:r/>
            <w:r>
              <w:rPr>
                <w:rFonts w:ascii="Times New Roman" w:hAnsi="Times New Roman" w:eastAsia="宋体"/>
                <w:b w:val="0"/>
                <w:color w:val="1F1F1F"/>
                <w:sz w:val="18"/>
              </w:rPr>
              <w:t>E1</w:t>
            </w:r>
          </w:p>
        </w:tc>
        <w:tc>
          <w:tcPr>
            <w:tcW w:type="dxa" w:w="1227"/>
          </w:tcPr>
          <w:p>
            <w:pPr>
              <w:spacing w:before="0" w:after="0" w:line="276" w:lineRule="auto"/>
            </w:pPr>
            <w:r/>
            <w:r>
              <w:rPr>
                <w:rFonts w:ascii="Times New Roman" w:hAnsi="Times New Roman" w:eastAsia="宋体"/>
                <w:b w:val="0"/>
                <w:color w:val="1F1F1F"/>
                <w:sz w:val="18"/>
              </w:rPr>
              <w:t>冷站与水系统深度诊断</w:t>
            </w:r>
          </w:p>
        </w:tc>
        <w:tc>
          <w:tcPr>
            <w:tcW w:type="dxa" w:w="1130"/>
          </w:tcPr>
          <w:p>
            <w:pPr>
              <w:spacing w:before="0" w:after="0" w:line="276" w:lineRule="auto"/>
            </w:pPr>
            <w:r/>
            <w:r>
              <w:rPr>
                <w:rFonts w:ascii="Times New Roman" w:hAnsi="Times New Roman" w:eastAsia="宋体"/>
                <w:b w:val="0"/>
                <w:color w:val="1F1F1F"/>
                <w:sz w:val="18"/>
              </w:rPr>
              <w:t>数据 / SOP</w:t>
            </w:r>
          </w:p>
        </w:tc>
        <w:tc>
          <w:tcPr>
            <w:tcW w:type="dxa" w:w="2186"/>
          </w:tcPr>
          <w:p>
            <w:pPr>
              <w:spacing w:before="0" w:after="0" w:line="276" w:lineRule="auto"/>
            </w:pPr>
            <w:r/>
            <w:r>
              <w:rPr>
                <w:rFonts w:ascii="Times New Roman" w:hAnsi="Times New Roman" w:eastAsia="宋体"/>
                <w:b w:val="0"/>
                <w:color w:val="1F1F1F"/>
                <w:sz w:val="18"/>
              </w:rPr>
              <w:t>对冷机、水泵、冷却塔、输配管网实测诊断，建立分项能耗基线；预可研第一项技术工作</w:t>
            </w:r>
          </w:p>
        </w:tc>
        <w:tc>
          <w:tcPr>
            <w:tcW w:type="dxa" w:w="1811"/>
          </w:tcPr>
          <w:p>
            <w:pPr>
              <w:spacing w:before="0" w:after="0" w:line="276" w:lineRule="auto"/>
            </w:pPr>
            <w:r/>
            <w:r>
              <w:rPr>
                <w:rFonts w:ascii="Times New Roman" w:hAnsi="Times New Roman" w:eastAsia="宋体"/>
                <w:b w:val="0"/>
                <w:color w:val="1F1F1F"/>
                <w:sz w:val="18"/>
              </w:rPr>
              <w:t>实测基线报告完成；分项计量覆盖率；冷站综合能效（SCOP/EER）基线值（待实测）</w:t>
            </w:r>
          </w:p>
        </w:tc>
        <w:tc>
          <w:tcPr>
            <w:tcW w:type="dxa" w:w="1440"/>
          </w:tcPr>
          <w:p>
            <w:pPr>
              <w:spacing w:before="0" w:after="0" w:line="276" w:lineRule="auto"/>
            </w:pPr>
            <w:r/>
            <w:r>
              <w:rPr>
                <w:rFonts w:ascii="Times New Roman" w:hAnsi="Times New Roman" w:eastAsia="宋体"/>
                <w:b w:val="0"/>
                <w:color w:val="1F1F1F"/>
                <w:sz w:val="18"/>
              </w:rPr>
              <w:t>沉淀为既有冷站诊断分档流程</w:t>
            </w:r>
          </w:p>
        </w:tc>
      </w:tr>
      <w:tr>
        <w:trPr>
          <w:cantSplit/>
        </w:trPr>
        <w:tc>
          <w:tcPr>
            <w:tcW w:type="dxa" w:w="1049"/>
          </w:tcPr>
          <w:p>
            <w:pPr>
              <w:spacing w:before="0" w:after="0" w:line="276" w:lineRule="auto"/>
            </w:pPr>
            <w:r/>
            <w:r>
              <w:rPr>
                <w:rFonts w:ascii="Times New Roman" w:hAnsi="Times New Roman" w:eastAsia="宋体"/>
                <w:b w:val="0"/>
                <w:color w:val="1F1F1F"/>
                <w:sz w:val="18"/>
              </w:rPr>
              <w:t>E2</w:t>
            </w:r>
          </w:p>
        </w:tc>
        <w:tc>
          <w:tcPr>
            <w:tcW w:type="dxa" w:w="1227"/>
          </w:tcPr>
          <w:p>
            <w:pPr>
              <w:spacing w:before="0" w:after="0" w:line="276" w:lineRule="auto"/>
            </w:pPr>
            <w:r/>
            <w:r>
              <w:rPr>
                <w:rFonts w:ascii="Times New Roman" w:hAnsi="Times New Roman" w:eastAsia="宋体"/>
                <w:b w:val="0"/>
                <w:color w:val="1F1F1F"/>
                <w:sz w:val="18"/>
              </w:rPr>
              <w:t>冷机群控与 AI 能效调优</w:t>
            </w:r>
          </w:p>
        </w:tc>
        <w:tc>
          <w:tcPr>
            <w:tcW w:type="dxa" w:w="1130"/>
          </w:tcPr>
          <w:p>
            <w:pPr>
              <w:spacing w:before="0" w:after="0" w:line="276" w:lineRule="auto"/>
            </w:pPr>
            <w:r/>
            <w:r>
              <w:rPr>
                <w:rFonts w:ascii="Times New Roman" w:hAnsi="Times New Roman" w:eastAsia="宋体"/>
                <w:b w:val="0"/>
                <w:color w:val="1F1F1F"/>
                <w:sz w:val="18"/>
              </w:rPr>
              <w:t>物理改造 / 数据</w:t>
            </w:r>
          </w:p>
        </w:tc>
        <w:tc>
          <w:tcPr>
            <w:tcW w:type="dxa" w:w="2186"/>
          </w:tcPr>
          <w:p>
            <w:pPr>
              <w:spacing w:before="0" w:after="0" w:line="276" w:lineRule="auto"/>
            </w:pPr>
            <w:r/>
            <w:r>
              <w:rPr>
                <w:rFonts w:ascii="Times New Roman" w:hAnsi="Times New Roman" w:eastAsia="宋体"/>
                <w:b w:val="0"/>
                <w:color w:val="1F1F1F"/>
                <w:sz w:val="18"/>
              </w:rPr>
              <w:t>多机组优化加载、变频、大温差、末端联动；负荷预测驱动的运行调优</w:t>
            </w:r>
          </w:p>
        </w:tc>
        <w:tc>
          <w:tcPr>
            <w:tcW w:type="dxa" w:w="1811"/>
          </w:tcPr>
          <w:p>
            <w:pPr>
              <w:spacing w:before="0" w:after="0" w:line="276" w:lineRule="auto"/>
            </w:pPr>
            <w:r/>
            <w:r>
              <w:rPr>
                <w:rFonts w:ascii="Times New Roman" w:hAnsi="Times New Roman" w:eastAsia="宋体"/>
                <w:b w:val="0"/>
                <w:color w:val="1F1F1F"/>
                <w:sz w:val="18"/>
              </w:rPr>
              <w:t>冷站综合能效提升幅度（相对 E1 基线）；调优策略在线运行时长占比</w:t>
            </w:r>
          </w:p>
        </w:tc>
        <w:tc>
          <w:tcPr>
            <w:tcW w:type="dxa" w:w="1440"/>
          </w:tcPr>
          <w:p>
            <w:pPr>
              <w:spacing w:before="0" w:after="0" w:line="276" w:lineRule="auto"/>
            </w:pPr>
            <w:r/>
            <w:r>
              <w:rPr>
                <w:rFonts w:ascii="Times New Roman" w:hAnsi="Times New Roman" w:eastAsia="宋体"/>
                <w:b w:val="0"/>
                <w:color w:val="1F1F1F"/>
                <w:sz w:val="18"/>
              </w:rPr>
              <w:t>沉淀为群控策略库与调优模型</w:t>
            </w:r>
          </w:p>
        </w:tc>
      </w:tr>
      <w:tr>
        <w:trPr>
          <w:cantSplit/>
        </w:trPr>
        <w:tc>
          <w:tcPr>
            <w:tcW w:type="dxa" w:w="1049"/>
          </w:tcPr>
          <w:p>
            <w:pPr>
              <w:spacing w:before="0" w:after="0" w:line="276" w:lineRule="auto"/>
            </w:pPr>
            <w:r/>
            <w:r>
              <w:rPr>
                <w:rFonts w:ascii="Times New Roman" w:hAnsi="Times New Roman" w:eastAsia="宋体"/>
                <w:b w:val="0"/>
                <w:color w:val="1F1F1F"/>
                <w:sz w:val="18"/>
              </w:rPr>
              <w:t>E3</w:t>
            </w:r>
          </w:p>
        </w:tc>
        <w:tc>
          <w:tcPr>
            <w:tcW w:type="dxa" w:w="1227"/>
          </w:tcPr>
          <w:p>
            <w:pPr>
              <w:spacing w:before="0" w:after="0" w:line="276" w:lineRule="auto"/>
            </w:pPr>
            <w:r/>
            <w:r>
              <w:rPr>
                <w:rFonts w:ascii="Times New Roman" w:hAnsi="Times New Roman" w:eastAsia="宋体"/>
                <w:b w:val="0"/>
                <w:color w:val="1F1F1F"/>
                <w:sz w:val="18"/>
              </w:rPr>
              <w:t>冰蓄冷策略与实时电价对接</w:t>
            </w:r>
          </w:p>
        </w:tc>
        <w:tc>
          <w:tcPr>
            <w:tcW w:type="dxa" w:w="1130"/>
          </w:tcPr>
          <w:p>
            <w:pPr>
              <w:spacing w:before="0" w:after="0" w:line="276" w:lineRule="auto"/>
            </w:pPr>
            <w:r/>
            <w:r>
              <w:rPr>
                <w:rFonts w:ascii="Times New Roman" w:hAnsi="Times New Roman" w:eastAsia="宋体"/>
                <w:b w:val="0"/>
                <w:color w:val="1F1F1F"/>
                <w:sz w:val="18"/>
              </w:rPr>
              <w:t>SOP / 数据</w:t>
            </w:r>
          </w:p>
        </w:tc>
        <w:tc>
          <w:tcPr>
            <w:tcW w:type="dxa" w:w="2186"/>
          </w:tcPr>
          <w:p>
            <w:pPr>
              <w:spacing w:before="0" w:after="0" w:line="276" w:lineRule="auto"/>
            </w:pPr>
            <w:r/>
            <w:r>
              <w:rPr>
                <w:rFonts w:ascii="Times New Roman" w:hAnsi="Times New Roman" w:eastAsia="宋体"/>
                <w:b w:val="0"/>
                <w:color w:val="1F1F1F"/>
                <w:sz w:val="18"/>
              </w:rPr>
              <w:t>形成过渡期与稳态期两套控制目标；与电力交易、需求响应平台接口打通；跟踪广东细则进度【待核】</w:t>
            </w:r>
          </w:p>
        </w:tc>
        <w:tc>
          <w:tcPr>
            <w:tcW w:type="dxa" w:w="1811"/>
          </w:tcPr>
          <w:p>
            <w:pPr>
              <w:spacing w:before="0" w:after="0" w:line="276" w:lineRule="auto"/>
            </w:pPr>
            <w:r/>
            <w:r>
              <w:rPr>
                <w:rFonts w:ascii="Times New Roman" w:hAnsi="Times New Roman" w:eastAsia="宋体"/>
                <w:b w:val="0"/>
                <w:color w:val="1F1F1F"/>
                <w:sz w:val="18"/>
              </w:rPr>
              <w:t>策略切换可执行；蓄冷运行经济性在两种电价机制下均可核算</w:t>
            </w:r>
          </w:p>
        </w:tc>
        <w:tc>
          <w:tcPr>
            <w:tcW w:type="dxa" w:w="1440"/>
          </w:tcPr>
          <w:p>
            <w:pPr>
              <w:spacing w:before="0" w:after="0" w:line="276" w:lineRule="auto"/>
            </w:pPr>
            <w:r/>
            <w:r>
              <w:rPr>
                <w:rFonts w:ascii="Times New Roman" w:hAnsi="Times New Roman" w:eastAsia="宋体"/>
                <w:b w:val="0"/>
                <w:color w:val="1F1F1F"/>
                <w:sz w:val="18"/>
              </w:rPr>
              <w:t>沉淀为调控与交易模型的核心案例，是南网独有增量</w:t>
            </w:r>
          </w:p>
        </w:tc>
      </w:tr>
      <w:tr>
        <w:trPr>
          <w:cantSplit/>
        </w:trPr>
        <w:tc>
          <w:tcPr>
            <w:tcW w:type="dxa" w:w="1049"/>
          </w:tcPr>
          <w:p>
            <w:pPr>
              <w:spacing w:before="0" w:after="0" w:line="276" w:lineRule="auto"/>
            </w:pPr>
            <w:r/>
            <w:r>
              <w:rPr>
                <w:rFonts w:ascii="Times New Roman" w:hAnsi="Times New Roman" w:eastAsia="宋体"/>
                <w:b w:val="0"/>
                <w:color w:val="1F1F1F"/>
                <w:sz w:val="18"/>
              </w:rPr>
              <w:t>E4</w:t>
            </w:r>
          </w:p>
        </w:tc>
        <w:tc>
          <w:tcPr>
            <w:tcW w:type="dxa" w:w="1227"/>
          </w:tcPr>
          <w:p>
            <w:pPr>
              <w:spacing w:before="0" w:after="0" w:line="276" w:lineRule="auto"/>
            </w:pPr>
            <w:r/>
            <w:r>
              <w:rPr>
                <w:rFonts w:ascii="Times New Roman" w:hAnsi="Times New Roman" w:eastAsia="宋体"/>
                <w:b w:val="0"/>
                <w:color w:val="1F1F1F"/>
                <w:sz w:val="18"/>
              </w:rPr>
              <w:t>办公行为驱动的末端节能</w:t>
            </w:r>
          </w:p>
        </w:tc>
        <w:tc>
          <w:tcPr>
            <w:tcW w:type="dxa" w:w="1130"/>
          </w:tcPr>
          <w:p>
            <w:pPr>
              <w:spacing w:before="0" w:after="0" w:line="276" w:lineRule="auto"/>
            </w:pPr>
            <w:r/>
            <w:r>
              <w:rPr>
                <w:rFonts w:ascii="Times New Roman" w:hAnsi="Times New Roman" w:eastAsia="宋体"/>
                <w:b w:val="0"/>
                <w:color w:val="1F1F1F"/>
                <w:sz w:val="18"/>
              </w:rPr>
              <w:t>物理改造 / SOP</w:t>
            </w:r>
          </w:p>
        </w:tc>
        <w:tc>
          <w:tcPr>
            <w:tcW w:type="dxa" w:w="2186"/>
          </w:tcPr>
          <w:p>
            <w:pPr>
              <w:spacing w:before="0" w:after="0" w:line="276" w:lineRule="auto"/>
            </w:pPr>
            <w:r/>
            <w:r>
              <w:rPr>
                <w:rFonts w:ascii="Times New Roman" w:hAnsi="Times New Roman" w:eastAsia="宋体"/>
                <w:b w:val="0"/>
                <w:color w:val="1F1F1F"/>
                <w:sz w:val="18"/>
              </w:rPr>
              <w:t>照明、空调末端与会议室预约系统联动，非预约时段自动关闭；人来灯亮人走灯灭；智能空开插座。参照中国移动国际信息港做法【公开报道，待核】</w:t>
            </w:r>
          </w:p>
        </w:tc>
        <w:tc>
          <w:tcPr>
            <w:tcW w:type="dxa" w:w="1811"/>
          </w:tcPr>
          <w:p>
            <w:pPr>
              <w:spacing w:before="0" w:after="0" w:line="276" w:lineRule="auto"/>
            </w:pPr>
            <w:r/>
            <w:r>
              <w:rPr>
                <w:rFonts w:ascii="Times New Roman" w:hAnsi="Times New Roman" w:eastAsia="宋体"/>
                <w:b w:val="0"/>
                <w:color w:val="1F1F1F"/>
                <w:sz w:val="18"/>
              </w:rPr>
              <w:t>联动覆盖的会议室与公共区比例；末端待机能耗下降幅度</w:t>
            </w:r>
          </w:p>
        </w:tc>
        <w:tc>
          <w:tcPr>
            <w:tcW w:type="dxa" w:w="1440"/>
          </w:tcPr>
          <w:p>
            <w:pPr>
              <w:spacing w:before="0" w:after="0" w:line="276" w:lineRule="auto"/>
            </w:pPr>
            <w:r/>
            <w:r>
              <w:rPr>
                <w:rFonts w:ascii="Times New Roman" w:hAnsi="Times New Roman" w:eastAsia="宋体"/>
                <w:b w:val="0"/>
                <w:color w:val="1F1F1F"/>
                <w:sz w:val="18"/>
              </w:rPr>
              <w:t>沉淀为办公园区末端节能 SOP，复制性强</w:t>
            </w:r>
          </w:p>
        </w:tc>
      </w:tr>
      <w:tr>
        <w:trPr>
          <w:cantSplit/>
        </w:trPr>
        <w:tc>
          <w:tcPr>
            <w:tcW w:type="dxa" w:w="1049"/>
          </w:tcPr>
          <w:p>
            <w:pPr>
              <w:spacing w:before="0" w:after="0" w:line="276" w:lineRule="auto"/>
            </w:pPr>
            <w:r/>
            <w:r>
              <w:rPr>
                <w:rFonts w:ascii="Times New Roman" w:hAnsi="Times New Roman" w:eastAsia="宋体"/>
                <w:b w:val="0"/>
                <w:color w:val="1F1F1F"/>
                <w:sz w:val="18"/>
              </w:rPr>
              <w:t>E5</w:t>
            </w:r>
          </w:p>
        </w:tc>
        <w:tc>
          <w:tcPr>
            <w:tcW w:type="dxa" w:w="1227"/>
          </w:tcPr>
          <w:p>
            <w:pPr>
              <w:spacing w:before="0" w:after="0" w:line="276" w:lineRule="auto"/>
            </w:pPr>
            <w:r/>
            <w:r>
              <w:rPr>
                <w:rFonts w:ascii="Times New Roman" w:hAnsi="Times New Roman" w:eastAsia="宋体"/>
                <w:b w:val="0"/>
                <w:color w:val="1F1F1F"/>
                <w:sz w:val="18"/>
              </w:rPr>
              <w:t>数据机房余热回收</w:t>
            </w:r>
          </w:p>
        </w:tc>
        <w:tc>
          <w:tcPr>
            <w:tcW w:type="dxa" w:w="1130"/>
          </w:tcPr>
          <w:p>
            <w:pPr>
              <w:spacing w:before="0" w:after="0" w:line="276" w:lineRule="auto"/>
            </w:pPr>
            <w:r/>
            <w:r>
              <w:rPr>
                <w:rFonts w:ascii="Times New Roman" w:hAnsi="Times New Roman" w:eastAsia="宋体"/>
                <w:b w:val="0"/>
                <w:color w:val="1F1F1F"/>
                <w:sz w:val="18"/>
              </w:rPr>
              <w:t>物理改造</w:t>
            </w:r>
          </w:p>
        </w:tc>
        <w:tc>
          <w:tcPr>
            <w:tcW w:type="dxa" w:w="2186"/>
          </w:tcPr>
          <w:p>
            <w:pPr>
              <w:spacing w:before="0" w:after="0" w:line="276" w:lineRule="auto"/>
            </w:pPr>
            <w:r/>
            <w:r>
              <w:rPr>
                <w:rFonts w:ascii="Times New Roman" w:hAnsi="Times New Roman" w:eastAsia="宋体"/>
                <w:b w:val="0"/>
                <w:color w:val="1F1F1F"/>
                <w:sz w:val="18"/>
              </w:rPr>
              <w:t>机房余热经热泵供生活热水、除湿再热等；广州气候下需求侧先摸底【待核】；与 G1 核算边界绑定。参照信息港四号地余热供办公区【公开报道，待核】</w:t>
            </w:r>
          </w:p>
        </w:tc>
        <w:tc>
          <w:tcPr>
            <w:tcW w:type="dxa" w:w="1811"/>
          </w:tcPr>
          <w:p>
            <w:pPr>
              <w:spacing w:before="0" w:after="0" w:line="276" w:lineRule="auto"/>
            </w:pPr>
            <w:r/>
            <w:r>
              <w:rPr>
                <w:rFonts w:ascii="Times New Roman" w:hAnsi="Times New Roman" w:eastAsia="宋体"/>
                <w:b w:val="0"/>
                <w:color w:val="1F1F1F"/>
                <w:sz w:val="18"/>
              </w:rPr>
              <w:t>热需求侧摸底完成；余热利用率（待需求侧确定后设定）</w:t>
            </w:r>
          </w:p>
        </w:tc>
        <w:tc>
          <w:tcPr>
            <w:tcW w:type="dxa" w:w="1440"/>
          </w:tcPr>
          <w:p>
            <w:pPr>
              <w:spacing w:before="0" w:after="0" w:line="276" w:lineRule="auto"/>
            </w:pPr>
            <w:r/>
            <w:r>
              <w:rPr>
                <w:rFonts w:ascii="Times New Roman" w:hAnsi="Times New Roman" w:eastAsia="宋体"/>
                <w:b w:val="0"/>
                <w:color w:val="1F1F1F"/>
                <w:sz w:val="18"/>
              </w:rPr>
              <w:t>形成办公与机房复合园区余热利用方案</w:t>
            </w:r>
          </w:p>
        </w:tc>
      </w:tr>
      <w:tr>
        <w:trPr>
          <w:cantSplit/>
        </w:trPr>
        <w:tc>
          <w:tcPr>
            <w:tcW w:type="dxa" w:w="1049"/>
          </w:tcPr>
          <w:p>
            <w:pPr>
              <w:spacing w:before="0" w:after="0" w:line="276" w:lineRule="auto"/>
            </w:pPr>
            <w:r/>
            <w:r>
              <w:rPr>
                <w:rFonts w:ascii="Times New Roman" w:hAnsi="Times New Roman" w:eastAsia="宋体"/>
                <w:b w:val="0"/>
                <w:color w:val="1F1F1F"/>
                <w:sz w:val="18"/>
              </w:rPr>
              <w:t>E6</w:t>
            </w:r>
          </w:p>
        </w:tc>
        <w:tc>
          <w:tcPr>
            <w:tcW w:type="dxa" w:w="1227"/>
          </w:tcPr>
          <w:p>
            <w:pPr>
              <w:spacing w:before="0" w:after="0" w:line="276" w:lineRule="auto"/>
            </w:pPr>
            <w:r/>
            <w:r>
              <w:rPr>
                <w:rFonts w:ascii="Times New Roman" w:hAnsi="Times New Roman" w:eastAsia="宋体"/>
                <w:b w:val="0"/>
                <w:color w:val="1F1F1F"/>
                <w:sz w:val="18"/>
              </w:rPr>
              <w:t>楼宇诊断分档</w:t>
            </w:r>
          </w:p>
        </w:tc>
        <w:tc>
          <w:tcPr>
            <w:tcW w:type="dxa" w:w="1130"/>
          </w:tcPr>
          <w:p>
            <w:pPr>
              <w:spacing w:before="0" w:after="0" w:line="276" w:lineRule="auto"/>
            </w:pPr>
            <w:r/>
            <w:r>
              <w:rPr>
                <w:rFonts w:ascii="Times New Roman" w:hAnsi="Times New Roman" w:eastAsia="宋体"/>
                <w:b w:val="0"/>
                <w:color w:val="1F1F1F"/>
                <w:sz w:val="18"/>
              </w:rPr>
              <w:t>SOP</w:t>
            </w:r>
          </w:p>
        </w:tc>
        <w:tc>
          <w:tcPr>
            <w:tcW w:type="dxa" w:w="2186"/>
          </w:tcPr>
          <w:p>
            <w:pPr>
              <w:spacing w:before="0" w:after="0" w:line="276" w:lineRule="auto"/>
            </w:pPr>
            <w:r/>
            <w:r>
              <w:rPr>
                <w:rFonts w:ascii="Times New Roman" w:hAnsi="Times New Roman" w:eastAsia="宋体"/>
                <w:b w:val="0"/>
                <w:color w:val="1F1F1F"/>
                <w:sz w:val="18"/>
              </w:rPr>
              <w:t>参照中国移动 64 项指标打分与分档处置规则【产品资料，待核】，建立本项目楼宇分档；认证达标仍回国家标准口径核算</w:t>
            </w:r>
          </w:p>
        </w:tc>
        <w:tc>
          <w:tcPr>
            <w:tcW w:type="dxa" w:w="1811"/>
          </w:tcPr>
          <w:p>
            <w:pPr>
              <w:spacing w:before="0" w:after="0" w:line="276" w:lineRule="auto"/>
            </w:pPr>
            <w:r/>
            <w:r>
              <w:rPr>
                <w:rFonts w:ascii="Times New Roman" w:hAnsi="Times New Roman" w:eastAsia="宋体"/>
                <w:b w:val="0"/>
                <w:color w:val="1F1F1F"/>
                <w:sz w:val="18"/>
              </w:rPr>
              <w:t>全园楼宇完成分档；分期改造顺序有依据</w:t>
            </w:r>
          </w:p>
        </w:tc>
        <w:tc>
          <w:tcPr>
            <w:tcW w:type="dxa" w:w="1440"/>
          </w:tcPr>
          <w:p>
            <w:pPr>
              <w:spacing w:before="0" w:after="0" w:line="276" w:lineRule="auto"/>
            </w:pPr>
            <w:r/>
            <w:r>
              <w:rPr>
                <w:rFonts w:ascii="Times New Roman" w:hAnsi="Times New Roman" w:eastAsia="宋体"/>
                <w:b w:val="0"/>
                <w:color w:val="1F1F1F"/>
                <w:sz w:val="18"/>
              </w:rPr>
              <w:t>沉淀为楼宇分档方法，进入方法论</w:t>
            </w:r>
          </w:p>
        </w:tc>
      </w:tr>
    </w:tbl>
    <w:p>
      <w:pPr>
        <w:spacing w:after="80"/>
      </w:pPr>
    </w:p>
    <w:p>
      <w:pPr>
        <w:pStyle w:val="Heading2"/>
        <w:keepNext/>
        <w:spacing w:before="240" w:after="120" w:line="360" w:lineRule="auto"/>
      </w:pPr>
      <w:r>
        <w:rPr>
          <w:rFonts w:ascii="Times New Roman" w:hAnsi="Times New Roman" w:eastAsia="黑体"/>
          <w:b w:val="0"/>
          <w:color w:val="1F1F1F"/>
          <w:sz w:val="28"/>
        </w:rPr>
        <w:t>四、对标参照（待核）</w:t>
      </w:r>
    </w:p>
    <w:p>
      <w:pPr>
        <w:spacing w:before="0" w:after="80" w:line="360" w:lineRule="auto"/>
        <w:ind w:left="480" w:hanging="240"/>
      </w:pPr>
      <w:r>
        <w:rPr>
          <w:rFonts w:ascii="Times New Roman" w:hAnsi="Times New Roman" w:eastAsia="仿宋_GB2312"/>
          <w:b w:val="0"/>
          <w:color w:val="1F1F1F"/>
          <w:sz w:val="24"/>
        </w:rPr>
        <w:t>▪ 中国移动国际信息港：预约联动、智能空开插座、余热回收【公开报道，对标案例，待核】。</w:t>
      </w:r>
    </w:p>
    <w:p>
      <w:pPr>
        <w:spacing w:before="0" w:after="80" w:line="360" w:lineRule="auto"/>
        <w:ind w:left="480" w:hanging="240"/>
      </w:pPr>
      <w:r>
        <w:rPr>
          <w:rFonts w:ascii="Times New Roman" w:hAnsi="Times New Roman" w:eastAsia="仿宋_GB2312"/>
          <w:b w:val="0"/>
          <w:color w:val="1F1F1F"/>
          <w:sz w:val="24"/>
        </w:rPr>
        <w:t>▪ The Edge（阿姆斯特丹）、Siemens 楼宇控制案例：第四轮赛马所引传感密度与自控水位参照【对标案例，待核】，只作水位参照，不作实施对标。</w:t>
      </w:r>
    </w:p>
    <w:p>
      <w:pPr>
        <w:pStyle w:val="Heading2"/>
        <w:keepNext/>
        <w:spacing w:before="240" w:after="120" w:line="360" w:lineRule="auto"/>
      </w:pPr>
      <w:r>
        <w:rPr>
          <w:rFonts w:ascii="Times New Roman" w:hAnsi="Times New Roman" w:eastAsia="黑体"/>
          <w:b w:val="0"/>
          <w:color w:val="1F1F1F"/>
          <w:sz w:val="28"/>
        </w:rPr>
        <w:t>五、向核沉淀什么</w:t>
      </w:r>
    </w:p>
    <w:p>
      <w:pPr>
        <w:spacing w:before="0" w:after="120" w:line="360" w:lineRule="auto"/>
        <w:ind w:firstLine="480"/>
      </w:pPr>
      <w:r>
        <w:rPr>
          <w:rFonts w:ascii="Times New Roman" w:hAnsi="Times New Roman" w:eastAsia="仿宋_GB2312"/>
          <w:b w:val="0"/>
          <w:color w:val="1F1F1F"/>
          <w:sz w:val="24"/>
        </w:rPr>
        <w:t>冷站诊断分档流程、群控与蓄冷控制策略库、行为驱动末端节能 SOP、余热利用方案。本边是达标主力，也是“不换主机、不停机”方法论最主要的来源。</w:t>
      </w:r>
    </w:p>
    <w:p>
      <w:pPr>
        <w:pStyle w:val="Heading1"/>
        <w:keepNext/>
        <w:pageBreakBefore/>
        <w:spacing w:before="360" w:after="240" w:line="360" w:lineRule="auto"/>
        <w:jc w:val="center"/>
      </w:pPr>
      <w:r>
        <w:rPr>
          <w:rFonts w:ascii="Times New Roman" w:hAnsi="Times New Roman" w:eastAsia="黑体"/>
          <w:b w:val="0"/>
          <w:color w:val="1F1F1F"/>
          <w:sz w:val="32"/>
        </w:rPr>
        <w:t>第七章 智慧：数字底座</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智慧边管“数字底座”，不管“大屏”。按“一个平台、两类功能”一次规划，园内侧承接办公行为与设备联动，园外侧承接电网互动、碳核算与交易接口；数据主权自持、本地化部署是选型的前置条件。可参照中国移动国际信息港的预约联动与 M-PARK 平台做法，但每一条做法都要跟一句总部基地的落点与差异。</w:t>
      </w:r>
    </w:p>
    <w:p>
      <w:pPr>
        <w:pStyle w:val="Heading2"/>
        <w:keepNext/>
        <w:spacing w:before="240" w:after="120" w:line="360" w:lineRule="auto"/>
      </w:pPr>
      <w:r>
        <w:rPr>
          <w:rFonts w:ascii="Times New Roman" w:hAnsi="Times New Roman" w:eastAsia="黑体"/>
          <w:b w:val="0"/>
          <w:color w:val="1F1F1F"/>
          <w:sz w:val="28"/>
        </w:rPr>
        <w:t>一、是什么：园区验证什么</w:t>
      </w:r>
    </w:p>
    <w:p>
      <w:pPr>
        <w:spacing w:before="0" w:after="120" w:line="360" w:lineRule="auto"/>
        <w:ind w:firstLine="480"/>
      </w:pPr>
      <w:r>
        <w:rPr>
          <w:rFonts w:ascii="Times New Roman" w:hAnsi="Times New Roman" w:eastAsia="仿宋_GB2312"/>
          <w:b w:val="0"/>
          <w:color w:val="1F1F1F"/>
          <w:sz w:val="24"/>
        </w:rPr>
        <w:t>智慧边在基地验证三件事：一是一次规划的平台能否同时承接园内运营与园外互动，避免分头建设后的二次集成；二是四级用能监测与环境、设备数据能否汇成能碳数字底座，同时满足碳核算与电力交易结算两用；三是负荷预测与调优模型能否与实时电价、需求响应打通，形成中国移动等园区运营方没有做到的电网侧增量。</w:t>
      </w:r>
    </w:p>
    <w:p>
      <w:pPr>
        <w:pStyle w:val="Heading2"/>
        <w:keepNext/>
        <w:spacing w:before="240" w:after="120" w:line="360" w:lineRule="auto"/>
      </w:pPr>
      <w:r>
        <w:rPr>
          <w:rFonts w:ascii="Times New Roman" w:hAnsi="Times New Roman" w:eastAsia="黑体"/>
          <w:b w:val="0"/>
          <w:color w:val="1F1F1F"/>
          <w:sz w:val="28"/>
        </w:rPr>
        <w:t>二、为什么</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政策落点。</w:t>
      </w:r>
      <w:r>
        <w:rPr>
          <w:rFonts w:ascii="Times New Roman" w:hAnsi="Times New Roman" w:eastAsia="仿宋_GB2312"/>
          <w:b w:val="0"/>
          <w:color w:val="1F1F1F"/>
          <w:sz w:val="24"/>
        </w:rPr>
        <w:t xml:space="preserve"> “人工智能+”能源实施意见提出以人工智能支撑能源系统运行，并针对能源数据、算力、算法等瓶颈开展攻关【部门公开文件】；新型电力系统行动方案提出算力与电力协同【部门公开文件】。</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数据即资产。</w:t>
      </w:r>
      <w:r>
        <w:rPr>
          <w:rFonts w:ascii="Times New Roman" w:hAnsi="Times New Roman" w:eastAsia="仿宋_GB2312"/>
          <w:b w:val="0"/>
          <w:color w:val="1F1F1F"/>
          <w:sz w:val="24"/>
        </w:rPr>
        <w:t xml:space="preserve"> 核的四件资产中，数字底座与数据资产直接由本边沉淀；碳账（绿色）、调控模型（高效）、碳普惠记账（普惠）、环境监测（健康）都以本边的平台为承载。</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同构样本。</w:t>
      </w:r>
      <w:r>
        <w:rPr>
          <w:rFonts w:ascii="Times New Roman" w:hAnsi="Times New Roman" w:eastAsia="仿宋_GB2312"/>
          <w:b w:val="0"/>
          <w:color w:val="1F1F1F"/>
          <w:sz w:val="24"/>
        </w:rPr>
        <w:t xml:space="preserve"> 中国移动国际信息港是办公与数据中心复合园区中公开信息较完整的智慧化样本，日均入驻约 5200 人【公开报道，待核】，与本项目约 5000 人持续办公【交流纪要，待核】同量级。其做法可参照，但南网的增量在电网侧数据维度与交易接口，落在核上。</w:t>
      </w:r>
    </w:p>
    <w:p>
      <w:pPr>
        <w:pStyle w:val="Heading2"/>
        <w:keepNext/>
        <w:spacing w:before="240" w:after="120" w:line="360" w:lineRule="auto"/>
      </w:pPr>
      <w:r>
        <w:rPr>
          <w:rFonts w:ascii="Times New Roman" w:hAnsi="Times New Roman" w:eastAsia="黑体"/>
          <w:b w:val="0"/>
          <w:color w:val="1F1F1F"/>
          <w:sz w:val="28"/>
        </w:rPr>
        <w:t>三、怎么做：工作包</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53"/>
        <w:gridCol w:w="1307"/>
        <w:gridCol w:w="1107"/>
        <w:gridCol w:w="2217"/>
        <w:gridCol w:w="1756"/>
        <w:gridCol w:w="1404"/>
      </w:tblGrid>
      <w:tr>
        <w:trPr>
          <w:cantSplit/>
          <w:tblHeader/>
        </w:trPr>
        <w:tc>
          <w:tcPr>
            <w:tcW w:type="dxa" w:w="1053"/>
            <w:shd w:val="clear" w:color="auto" w:fill="E7EEF3"/>
          </w:tcPr>
          <w:p>
            <w:pPr>
              <w:keepNext/>
              <w:spacing w:before="0" w:after="0" w:line="276" w:lineRule="auto"/>
            </w:pPr>
            <w:r/>
            <w:r>
              <w:rPr>
                <w:rFonts w:ascii="Times New Roman" w:hAnsi="Times New Roman" w:eastAsia="宋体"/>
                <w:b/>
                <w:color w:val="1F1F1F"/>
                <w:sz w:val="18"/>
              </w:rPr>
              <w:t>编号</w:t>
            </w:r>
          </w:p>
        </w:tc>
        <w:tc>
          <w:tcPr>
            <w:tcW w:type="dxa" w:w="1307"/>
            <w:shd w:val="clear" w:color="auto" w:fill="E7EEF3"/>
          </w:tcPr>
          <w:p>
            <w:pPr>
              <w:keepNext/>
              <w:spacing w:before="0" w:after="0" w:line="276" w:lineRule="auto"/>
            </w:pPr>
            <w:r/>
            <w:r>
              <w:rPr>
                <w:rFonts w:ascii="Times New Roman" w:hAnsi="Times New Roman" w:eastAsia="宋体"/>
                <w:b/>
                <w:color w:val="1F1F1F"/>
                <w:sz w:val="18"/>
              </w:rPr>
              <w:t>工作包</w:t>
            </w:r>
          </w:p>
        </w:tc>
        <w:tc>
          <w:tcPr>
            <w:tcW w:type="dxa" w:w="1107"/>
            <w:shd w:val="clear" w:color="auto" w:fill="E7EEF3"/>
          </w:tcPr>
          <w:p>
            <w:pPr>
              <w:keepNext/>
              <w:spacing w:before="0" w:after="0" w:line="276" w:lineRule="auto"/>
            </w:pPr>
            <w:r/>
            <w:r>
              <w:rPr>
                <w:rFonts w:ascii="Times New Roman" w:hAnsi="Times New Roman" w:eastAsia="宋体"/>
                <w:b/>
                <w:color w:val="1F1F1F"/>
                <w:sz w:val="18"/>
              </w:rPr>
              <w:t>类型</w:t>
            </w:r>
          </w:p>
        </w:tc>
        <w:tc>
          <w:tcPr>
            <w:tcW w:type="dxa" w:w="2217"/>
            <w:shd w:val="clear" w:color="auto" w:fill="E7EEF3"/>
          </w:tcPr>
          <w:p>
            <w:pPr>
              <w:keepNext/>
              <w:spacing w:before="0" w:after="0" w:line="276" w:lineRule="auto"/>
            </w:pPr>
            <w:r/>
            <w:r>
              <w:rPr>
                <w:rFonts w:ascii="Times New Roman" w:hAnsi="Times New Roman" w:eastAsia="宋体"/>
                <w:b/>
                <w:color w:val="1F1F1F"/>
                <w:sz w:val="18"/>
              </w:rPr>
              <w:t>内容与落点</w:t>
            </w:r>
          </w:p>
        </w:tc>
        <w:tc>
          <w:tcPr>
            <w:tcW w:type="dxa" w:w="1756"/>
            <w:shd w:val="clear" w:color="auto" w:fill="E7EEF3"/>
          </w:tcPr>
          <w:p>
            <w:pPr>
              <w:keepNext/>
              <w:spacing w:before="0" w:after="0" w:line="276" w:lineRule="auto"/>
            </w:pPr>
            <w:r/>
            <w:r>
              <w:rPr>
                <w:rFonts w:ascii="Times New Roman" w:hAnsi="Times New Roman" w:eastAsia="宋体"/>
                <w:b/>
                <w:color w:val="1F1F1F"/>
                <w:sz w:val="18"/>
              </w:rPr>
              <w:t>可检查指标（方向）</w:t>
            </w:r>
          </w:p>
        </w:tc>
        <w:tc>
          <w:tcPr>
            <w:tcW w:type="dxa" w:w="1404"/>
            <w:shd w:val="clear" w:color="auto" w:fill="E7EEF3"/>
          </w:tcPr>
          <w:p>
            <w:pPr>
              <w:keepNext/>
              <w:spacing w:before="0" w:after="0" w:line="276" w:lineRule="auto"/>
            </w:pPr>
            <w:r/>
            <w:r>
              <w:rPr>
                <w:rFonts w:ascii="Times New Roman" w:hAnsi="Times New Roman" w:eastAsia="宋体"/>
                <w:b/>
                <w:color w:val="1F1F1F"/>
                <w:sz w:val="18"/>
              </w:rPr>
              <w:t>转化路径</w:t>
            </w:r>
          </w:p>
        </w:tc>
      </w:tr>
      <w:tr>
        <w:trPr>
          <w:cantSplit/>
        </w:trPr>
        <w:tc>
          <w:tcPr>
            <w:tcW w:type="dxa" w:w="1053"/>
          </w:tcPr>
          <w:p>
            <w:pPr>
              <w:spacing w:before="0" w:after="0" w:line="276" w:lineRule="auto"/>
            </w:pPr>
            <w:r/>
            <w:r>
              <w:rPr>
                <w:rFonts w:ascii="Times New Roman" w:hAnsi="Times New Roman" w:eastAsia="宋体"/>
                <w:b w:val="0"/>
                <w:color w:val="1F1F1F"/>
                <w:sz w:val="18"/>
              </w:rPr>
              <w:t>S1</w:t>
            </w:r>
          </w:p>
        </w:tc>
        <w:tc>
          <w:tcPr>
            <w:tcW w:type="dxa" w:w="1307"/>
          </w:tcPr>
          <w:p>
            <w:pPr>
              <w:spacing w:before="0" w:after="0" w:line="276" w:lineRule="auto"/>
            </w:pPr>
            <w:r/>
            <w:r>
              <w:rPr>
                <w:rFonts w:ascii="Times New Roman" w:hAnsi="Times New Roman" w:eastAsia="宋体"/>
                <w:b w:val="0"/>
                <w:color w:val="1F1F1F"/>
                <w:sz w:val="18"/>
              </w:rPr>
              <w:t>“一个平台、两类功能”总体设计</w:t>
            </w:r>
          </w:p>
        </w:tc>
        <w:tc>
          <w:tcPr>
            <w:tcW w:type="dxa" w:w="1107"/>
          </w:tcPr>
          <w:p>
            <w:pPr>
              <w:spacing w:before="0" w:after="0" w:line="276" w:lineRule="auto"/>
            </w:pPr>
            <w:r/>
            <w:r>
              <w:rPr>
                <w:rFonts w:ascii="Times New Roman" w:hAnsi="Times New Roman" w:eastAsia="宋体"/>
                <w:b w:val="0"/>
                <w:color w:val="1F1F1F"/>
                <w:sz w:val="18"/>
              </w:rPr>
              <w:t>SOP / 数据</w:t>
            </w:r>
          </w:p>
        </w:tc>
        <w:tc>
          <w:tcPr>
            <w:tcW w:type="dxa" w:w="2217"/>
          </w:tcPr>
          <w:p>
            <w:pPr>
              <w:spacing w:before="0" w:after="0" w:line="276" w:lineRule="auto"/>
            </w:pPr>
            <w:r/>
            <w:r>
              <w:rPr>
                <w:rFonts w:ascii="Times New Roman" w:hAnsi="Times New Roman" w:eastAsia="宋体"/>
                <w:b w:val="0"/>
                <w:color w:val="1F1F1F"/>
                <w:sz w:val="18"/>
              </w:rPr>
              <w:t>园内侧：办公行为与用能设备联动、设备与工单管理、资源预约、碳普惠记账；园外侧：电网互动、实时电价与交易接口、碳核算与绿电溯源。一次规划、分期建设；数据主权与本地化部署条款写入选型前置条件</w:t>
            </w:r>
          </w:p>
        </w:tc>
        <w:tc>
          <w:tcPr>
            <w:tcW w:type="dxa" w:w="1756"/>
          </w:tcPr>
          <w:p>
            <w:pPr>
              <w:spacing w:before="0" w:after="0" w:line="276" w:lineRule="auto"/>
            </w:pPr>
            <w:r/>
            <w:r>
              <w:rPr>
                <w:rFonts w:ascii="Times New Roman" w:hAnsi="Times New Roman" w:eastAsia="宋体"/>
                <w:b w:val="0"/>
                <w:color w:val="1F1F1F"/>
                <w:sz w:val="18"/>
              </w:rPr>
              <w:t>总体设计完成并含数据主权条款；接口清单覆盖园内、园外两侧</w:t>
            </w:r>
          </w:p>
        </w:tc>
        <w:tc>
          <w:tcPr>
            <w:tcW w:type="dxa" w:w="1404"/>
          </w:tcPr>
          <w:p>
            <w:pPr>
              <w:spacing w:before="0" w:after="0" w:line="276" w:lineRule="auto"/>
            </w:pPr>
            <w:r/>
            <w:r>
              <w:rPr>
                <w:rFonts w:ascii="Times New Roman" w:hAnsi="Times New Roman" w:eastAsia="宋体"/>
                <w:b w:val="0"/>
                <w:color w:val="1F1F1F"/>
                <w:sz w:val="18"/>
              </w:rPr>
              <w:t>沉淀为平台架构与数据主权条款模板</w:t>
            </w:r>
          </w:p>
        </w:tc>
      </w:tr>
      <w:tr>
        <w:trPr>
          <w:cantSplit/>
        </w:trPr>
        <w:tc>
          <w:tcPr>
            <w:tcW w:type="dxa" w:w="1053"/>
          </w:tcPr>
          <w:p>
            <w:pPr>
              <w:spacing w:before="0" w:after="0" w:line="276" w:lineRule="auto"/>
            </w:pPr>
            <w:r/>
            <w:r>
              <w:rPr>
                <w:rFonts w:ascii="Times New Roman" w:hAnsi="Times New Roman" w:eastAsia="宋体"/>
                <w:b w:val="0"/>
                <w:color w:val="1F1F1F"/>
                <w:sz w:val="18"/>
              </w:rPr>
              <w:t>S2</w:t>
            </w:r>
          </w:p>
        </w:tc>
        <w:tc>
          <w:tcPr>
            <w:tcW w:type="dxa" w:w="1307"/>
          </w:tcPr>
          <w:p>
            <w:pPr>
              <w:spacing w:before="0" w:after="0" w:line="276" w:lineRule="auto"/>
            </w:pPr>
            <w:r/>
            <w:r>
              <w:rPr>
                <w:rFonts w:ascii="Times New Roman" w:hAnsi="Times New Roman" w:eastAsia="宋体"/>
                <w:b w:val="0"/>
                <w:color w:val="1F1F1F"/>
                <w:sz w:val="18"/>
              </w:rPr>
              <w:t>四级用能监测与能碳数字底座</w:t>
            </w:r>
          </w:p>
        </w:tc>
        <w:tc>
          <w:tcPr>
            <w:tcW w:type="dxa" w:w="1107"/>
          </w:tcPr>
          <w:p>
            <w:pPr>
              <w:spacing w:before="0" w:after="0" w:line="276" w:lineRule="auto"/>
            </w:pPr>
            <w:r/>
            <w:r>
              <w:rPr>
                <w:rFonts w:ascii="Times New Roman" w:hAnsi="Times New Roman" w:eastAsia="宋体"/>
                <w:b w:val="0"/>
                <w:color w:val="1F1F1F"/>
                <w:sz w:val="18"/>
              </w:rPr>
              <w:t>物理改造 / 数据</w:t>
            </w:r>
          </w:p>
        </w:tc>
        <w:tc>
          <w:tcPr>
            <w:tcW w:type="dxa" w:w="2217"/>
          </w:tcPr>
          <w:p>
            <w:pPr>
              <w:spacing w:before="0" w:after="0" w:line="276" w:lineRule="auto"/>
            </w:pPr>
            <w:r/>
            <w:r>
              <w:rPr>
                <w:rFonts w:ascii="Times New Roman" w:hAnsi="Times New Roman" w:eastAsia="宋体"/>
                <w:b w:val="0"/>
                <w:color w:val="1F1F1F"/>
                <w:sz w:val="18"/>
              </w:rPr>
              <w:t>地块—楼宇—区域—楼层四级计量补齐【产品资料，待核】；计量口径同时满足碳核算与交易结算</w:t>
            </w:r>
          </w:p>
        </w:tc>
        <w:tc>
          <w:tcPr>
            <w:tcW w:type="dxa" w:w="1756"/>
          </w:tcPr>
          <w:p>
            <w:pPr>
              <w:spacing w:before="0" w:after="0" w:line="276" w:lineRule="auto"/>
            </w:pPr>
            <w:r/>
            <w:r>
              <w:rPr>
                <w:rFonts w:ascii="Times New Roman" w:hAnsi="Times New Roman" w:eastAsia="宋体"/>
                <w:b w:val="0"/>
                <w:color w:val="1F1F1F"/>
                <w:sz w:val="18"/>
              </w:rPr>
              <w:t>分项计量覆盖率；计量数据可用于碳账与结算两用的比例</w:t>
            </w:r>
          </w:p>
        </w:tc>
        <w:tc>
          <w:tcPr>
            <w:tcW w:type="dxa" w:w="1404"/>
          </w:tcPr>
          <w:p>
            <w:pPr>
              <w:spacing w:before="0" w:after="0" w:line="276" w:lineRule="auto"/>
            </w:pPr>
            <w:r/>
            <w:r>
              <w:rPr>
                <w:rFonts w:ascii="Times New Roman" w:hAnsi="Times New Roman" w:eastAsia="宋体"/>
                <w:b w:val="0"/>
                <w:color w:val="1F1F1F"/>
                <w:sz w:val="18"/>
              </w:rPr>
              <w:t>沉淀为数据资产与计量口径</w:t>
            </w:r>
          </w:p>
        </w:tc>
      </w:tr>
      <w:tr>
        <w:trPr>
          <w:cantSplit/>
        </w:trPr>
        <w:tc>
          <w:tcPr>
            <w:tcW w:type="dxa" w:w="1053"/>
          </w:tcPr>
          <w:p>
            <w:pPr>
              <w:spacing w:before="0" w:after="0" w:line="276" w:lineRule="auto"/>
            </w:pPr>
            <w:r/>
            <w:r>
              <w:rPr>
                <w:rFonts w:ascii="Times New Roman" w:hAnsi="Times New Roman" w:eastAsia="宋体"/>
                <w:b w:val="0"/>
                <w:color w:val="1F1F1F"/>
                <w:sz w:val="18"/>
              </w:rPr>
              <w:t>S3</w:t>
            </w:r>
          </w:p>
        </w:tc>
        <w:tc>
          <w:tcPr>
            <w:tcW w:type="dxa" w:w="1307"/>
          </w:tcPr>
          <w:p>
            <w:pPr>
              <w:spacing w:before="0" w:after="0" w:line="276" w:lineRule="auto"/>
            </w:pPr>
            <w:r/>
            <w:r>
              <w:rPr>
                <w:rFonts w:ascii="Times New Roman" w:hAnsi="Times New Roman" w:eastAsia="宋体"/>
                <w:b w:val="0"/>
                <w:color w:val="1F1F1F"/>
                <w:sz w:val="18"/>
              </w:rPr>
              <w:t>数字孪生与智能运营中心</w:t>
            </w:r>
          </w:p>
        </w:tc>
        <w:tc>
          <w:tcPr>
            <w:tcW w:type="dxa" w:w="1107"/>
          </w:tcPr>
          <w:p>
            <w:pPr>
              <w:spacing w:before="0" w:after="0" w:line="276" w:lineRule="auto"/>
            </w:pPr>
            <w:r/>
            <w:r>
              <w:rPr>
                <w:rFonts w:ascii="Times New Roman" w:hAnsi="Times New Roman" w:eastAsia="宋体"/>
                <w:b w:val="0"/>
                <w:color w:val="1F1F1F"/>
                <w:sz w:val="18"/>
              </w:rPr>
              <w:t>数据 / 物理改造</w:t>
            </w:r>
          </w:p>
        </w:tc>
        <w:tc>
          <w:tcPr>
            <w:tcW w:type="dxa" w:w="2217"/>
          </w:tcPr>
          <w:p>
            <w:pPr>
              <w:spacing w:before="0" w:after="0" w:line="276" w:lineRule="auto"/>
            </w:pPr>
            <w:r/>
            <w:r>
              <w:rPr>
                <w:rFonts w:ascii="Times New Roman" w:hAnsi="Times New Roman" w:eastAsia="宋体"/>
                <w:b w:val="0"/>
                <w:color w:val="1F1F1F"/>
                <w:sz w:val="18"/>
              </w:rPr>
              <w:t>园区模型实时联动入园人数、会议室使用率、设备状态、能耗与碳指标；异常识别与预警；叠加电网侧负荷、电价、绿电数据。参照信息港 M-PARK 与数字孪生运营做法【公开报道，待核】</w:t>
            </w:r>
          </w:p>
        </w:tc>
        <w:tc>
          <w:tcPr>
            <w:tcW w:type="dxa" w:w="1756"/>
          </w:tcPr>
          <w:p>
            <w:pPr>
              <w:spacing w:before="0" w:after="0" w:line="276" w:lineRule="auto"/>
            </w:pPr>
            <w:r/>
            <w:r>
              <w:rPr>
                <w:rFonts w:ascii="Times New Roman" w:hAnsi="Times New Roman" w:eastAsia="宋体"/>
                <w:b w:val="0"/>
                <w:color w:val="1F1F1F"/>
                <w:sz w:val="18"/>
              </w:rPr>
              <w:t>运营中心接入的数据域数量；异常预警闭环率；以真实运行数据为展项</w:t>
            </w:r>
          </w:p>
        </w:tc>
        <w:tc>
          <w:tcPr>
            <w:tcW w:type="dxa" w:w="1404"/>
          </w:tcPr>
          <w:p>
            <w:pPr>
              <w:spacing w:before="0" w:after="0" w:line="276" w:lineRule="auto"/>
            </w:pPr>
            <w:r/>
            <w:r>
              <w:rPr>
                <w:rFonts w:ascii="Times New Roman" w:hAnsi="Times New Roman" w:eastAsia="宋体"/>
                <w:b w:val="0"/>
                <w:color w:val="1F1F1F"/>
                <w:sz w:val="18"/>
              </w:rPr>
              <w:t>形成“运行数据可核验的指挥能力”，不做大屏秀</w:t>
            </w:r>
          </w:p>
        </w:tc>
      </w:tr>
      <w:tr>
        <w:trPr>
          <w:cantSplit/>
        </w:trPr>
        <w:tc>
          <w:tcPr>
            <w:tcW w:type="dxa" w:w="1053"/>
          </w:tcPr>
          <w:p>
            <w:pPr>
              <w:spacing w:before="0" w:after="0" w:line="276" w:lineRule="auto"/>
            </w:pPr>
            <w:r/>
            <w:r>
              <w:rPr>
                <w:rFonts w:ascii="Times New Roman" w:hAnsi="Times New Roman" w:eastAsia="宋体"/>
                <w:b w:val="0"/>
                <w:color w:val="1F1F1F"/>
                <w:sz w:val="18"/>
              </w:rPr>
              <w:t>S4</w:t>
            </w:r>
          </w:p>
        </w:tc>
        <w:tc>
          <w:tcPr>
            <w:tcW w:type="dxa" w:w="1307"/>
          </w:tcPr>
          <w:p>
            <w:pPr>
              <w:spacing w:before="0" w:after="0" w:line="276" w:lineRule="auto"/>
            </w:pPr>
            <w:r/>
            <w:r>
              <w:rPr>
                <w:rFonts w:ascii="Times New Roman" w:hAnsi="Times New Roman" w:eastAsia="宋体"/>
                <w:b w:val="0"/>
                <w:color w:val="1F1F1F"/>
                <w:sz w:val="18"/>
              </w:rPr>
              <w:t>负荷预测与调优模型接实时电价</w:t>
            </w:r>
          </w:p>
        </w:tc>
        <w:tc>
          <w:tcPr>
            <w:tcW w:type="dxa" w:w="1107"/>
          </w:tcPr>
          <w:p>
            <w:pPr>
              <w:spacing w:before="0" w:after="0" w:line="276" w:lineRule="auto"/>
            </w:pPr>
            <w:r/>
            <w:r>
              <w:rPr>
                <w:rFonts w:ascii="Times New Roman" w:hAnsi="Times New Roman" w:eastAsia="宋体"/>
                <w:b w:val="0"/>
                <w:color w:val="1F1F1F"/>
                <w:sz w:val="18"/>
              </w:rPr>
              <w:t>数据</w:t>
            </w:r>
          </w:p>
        </w:tc>
        <w:tc>
          <w:tcPr>
            <w:tcW w:type="dxa" w:w="2217"/>
          </w:tcPr>
          <w:p>
            <w:pPr>
              <w:spacing w:before="0" w:after="0" w:line="276" w:lineRule="auto"/>
            </w:pPr>
            <w:r/>
            <w:r>
              <w:rPr>
                <w:rFonts w:ascii="Times New Roman" w:hAnsi="Times New Roman" w:eastAsia="宋体"/>
                <w:b w:val="0"/>
                <w:color w:val="1F1F1F"/>
                <w:sz w:val="18"/>
              </w:rPr>
              <w:t>空调末端与冷站负荷预测；预测模型与实时电价、需求响应打通；与 E2、E3 联动</w:t>
            </w:r>
          </w:p>
        </w:tc>
        <w:tc>
          <w:tcPr>
            <w:tcW w:type="dxa" w:w="1756"/>
          </w:tcPr>
          <w:p>
            <w:pPr>
              <w:spacing w:before="0" w:after="0" w:line="276" w:lineRule="auto"/>
            </w:pPr>
            <w:r/>
            <w:r>
              <w:rPr>
                <w:rFonts w:ascii="Times New Roman" w:hAnsi="Times New Roman" w:eastAsia="宋体"/>
                <w:b w:val="0"/>
                <w:color w:val="1F1F1F"/>
                <w:sz w:val="18"/>
              </w:rPr>
              <w:t>预测精度（值待实测）；参与需求响应的资源类别与响应次数</w:t>
            </w:r>
          </w:p>
        </w:tc>
        <w:tc>
          <w:tcPr>
            <w:tcW w:type="dxa" w:w="1404"/>
          </w:tcPr>
          <w:p>
            <w:pPr>
              <w:spacing w:before="0" w:after="0" w:line="276" w:lineRule="auto"/>
            </w:pPr>
            <w:r/>
            <w:r>
              <w:rPr>
                <w:rFonts w:ascii="Times New Roman" w:hAnsi="Times New Roman" w:eastAsia="宋体"/>
                <w:b w:val="0"/>
                <w:color w:val="1F1F1F"/>
                <w:sz w:val="18"/>
              </w:rPr>
              <w:t>沉淀为训练完成的模型，是南网独有增量</w:t>
            </w:r>
          </w:p>
        </w:tc>
      </w:tr>
      <w:tr>
        <w:trPr>
          <w:cantSplit/>
        </w:trPr>
        <w:tc>
          <w:tcPr>
            <w:tcW w:type="dxa" w:w="1053"/>
          </w:tcPr>
          <w:p>
            <w:pPr>
              <w:spacing w:before="0" w:after="0" w:line="276" w:lineRule="auto"/>
            </w:pPr>
            <w:r/>
            <w:r>
              <w:rPr>
                <w:rFonts w:ascii="Times New Roman" w:hAnsi="Times New Roman" w:eastAsia="宋体"/>
                <w:b w:val="0"/>
                <w:color w:val="1F1F1F"/>
                <w:sz w:val="18"/>
              </w:rPr>
              <w:t>S5</w:t>
            </w:r>
          </w:p>
        </w:tc>
        <w:tc>
          <w:tcPr>
            <w:tcW w:type="dxa" w:w="1307"/>
          </w:tcPr>
          <w:p>
            <w:pPr>
              <w:spacing w:before="0" w:after="0" w:line="276" w:lineRule="auto"/>
            </w:pPr>
            <w:r/>
            <w:r>
              <w:rPr>
                <w:rFonts w:ascii="Times New Roman" w:hAnsi="Times New Roman" w:eastAsia="宋体"/>
                <w:b w:val="0"/>
                <w:color w:val="1F1F1F"/>
                <w:sz w:val="18"/>
              </w:rPr>
              <w:t>本地化部署与数据主权</w:t>
            </w:r>
          </w:p>
        </w:tc>
        <w:tc>
          <w:tcPr>
            <w:tcW w:type="dxa" w:w="1107"/>
          </w:tcPr>
          <w:p>
            <w:pPr>
              <w:spacing w:before="0" w:after="0" w:line="276" w:lineRule="auto"/>
            </w:pPr>
            <w:r/>
            <w:r>
              <w:rPr>
                <w:rFonts w:ascii="Times New Roman" w:hAnsi="Times New Roman" w:eastAsia="宋体"/>
                <w:b w:val="0"/>
                <w:color w:val="1F1F1F"/>
                <w:sz w:val="18"/>
              </w:rPr>
              <w:t>SOP</w:t>
            </w:r>
          </w:p>
        </w:tc>
        <w:tc>
          <w:tcPr>
            <w:tcW w:type="dxa" w:w="2217"/>
          </w:tcPr>
          <w:p>
            <w:pPr>
              <w:spacing w:before="0" w:after="0" w:line="276" w:lineRule="auto"/>
            </w:pPr>
            <w:r/>
            <w:r>
              <w:rPr>
                <w:rFonts w:ascii="Times New Roman" w:hAnsi="Times New Roman" w:eastAsia="宋体"/>
                <w:b w:val="0"/>
                <w:color w:val="1F1F1F"/>
                <w:sz w:val="18"/>
              </w:rPr>
              <w:t>平台与模型本地化部署；外部模型按本项目设备重训与适配【交流纪要，待核】；数据归属、合规与重训责任划分写入合同</w:t>
            </w:r>
          </w:p>
        </w:tc>
        <w:tc>
          <w:tcPr>
            <w:tcW w:type="dxa" w:w="1756"/>
          </w:tcPr>
          <w:p>
            <w:pPr>
              <w:spacing w:before="0" w:after="0" w:line="276" w:lineRule="auto"/>
            </w:pPr>
            <w:r/>
            <w:r>
              <w:rPr>
                <w:rFonts w:ascii="Times New Roman" w:hAnsi="Times New Roman" w:eastAsia="宋体"/>
                <w:b w:val="0"/>
                <w:color w:val="1F1F1F"/>
                <w:sz w:val="18"/>
              </w:rPr>
              <w:t>数据主权条款落地；数据出境与外部访问受控</w:t>
            </w:r>
          </w:p>
        </w:tc>
        <w:tc>
          <w:tcPr>
            <w:tcW w:type="dxa" w:w="1404"/>
          </w:tcPr>
          <w:p>
            <w:pPr>
              <w:spacing w:before="0" w:after="0" w:line="276" w:lineRule="auto"/>
            </w:pPr>
            <w:r/>
            <w:r>
              <w:rPr>
                <w:rFonts w:ascii="Times New Roman" w:hAnsi="Times New Roman" w:eastAsia="宋体"/>
                <w:b w:val="0"/>
                <w:color w:val="1F1F1F"/>
                <w:sz w:val="18"/>
              </w:rPr>
              <w:t>沉淀为选型与合同范式</w:t>
            </w:r>
          </w:p>
        </w:tc>
      </w:tr>
    </w:tbl>
    <w:p>
      <w:pPr>
        <w:spacing w:after="80"/>
      </w:pPr>
    </w:p>
    <w:p>
      <w:pPr>
        <w:pStyle w:val="Heading2"/>
        <w:keepNext/>
        <w:spacing w:before="240" w:after="120" w:line="360" w:lineRule="auto"/>
      </w:pPr>
      <w:r>
        <w:rPr>
          <w:rFonts w:ascii="Times New Roman" w:hAnsi="Times New Roman" w:eastAsia="黑体"/>
          <w:b w:val="0"/>
          <w:color w:val="1F1F1F"/>
          <w:sz w:val="28"/>
        </w:rPr>
        <w:t>四、对标参照（待核）</w:t>
      </w:r>
    </w:p>
    <w:p>
      <w:pPr>
        <w:spacing w:before="0" w:after="80" w:line="360" w:lineRule="auto"/>
        <w:ind w:left="480" w:hanging="240"/>
      </w:pPr>
      <w:r>
        <w:rPr>
          <w:rFonts w:ascii="Times New Roman" w:hAnsi="Times New Roman" w:eastAsia="仿宋_GB2312"/>
          <w:b w:val="0"/>
          <w:color w:val="1F1F1F"/>
          <w:sz w:val="24"/>
        </w:rPr>
        <w:t>▪ 中国移动国际信息港：会议预约联动照明与空调、M-PARK 六大功能模块、数字孪生运营、四级用能监测【公开报道、产品资料，对标案例，待核】。落点差异：南网叠加电网侧数据维度与交易接口；数据主权自持。</w:t>
      </w:r>
    </w:p>
    <w:p>
      <w:pPr>
        <w:spacing w:before="0" w:after="80" w:line="360" w:lineRule="auto"/>
        <w:ind w:left="480" w:hanging="240"/>
      </w:pPr>
      <w:r>
        <w:rPr>
          <w:rFonts w:ascii="Times New Roman" w:hAnsi="Times New Roman" w:eastAsia="仿宋_GB2312"/>
          <w:b w:val="0"/>
          <w:color w:val="1F1F1F"/>
          <w:sz w:val="24"/>
        </w:rPr>
        <w:t>▪ 华为智慧园区“1+3+N”架构：平台架构方法论互证【厂商公开资料，对标案例，待核】。</w:t>
      </w:r>
    </w:p>
    <w:p>
      <w:pPr>
        <w:spacing w:before="0" w:after="80" w:line="360" w:lineRule="auto"/>
        <w:ind w:left="480" w:hanging="240"/>
      </w:pPr>
      <w:r>
        <w:rPr>
          <w:rFonts w:ascii="Times New Roman" w:hAnsi="Times New Roman" w:eastAsia="仿宋_GB2312"/>
          <w:b w:val="0"/>
          <w:color w:val="1F1F1F"/>
          <w:sz w:val="24"/>
        </w:rPr>
        <w:t>▪ The Edge：传感密度与员工个性化调节的国际水位参照【对标案例，待核】。</w:t>
      </w:r>
    </w:p>
    <w:p>
      <w:pPr>
        <w:pStyle w:val="Heading2"/>
        <w:keepNext/>
        <w:spacing w:before="240" w:after="120" w:line="360" w:lineRule="auto"/>
      </w:pPr>
      <w:r>
        <w:rPr>
          <w:rFonts w:ascii="Times New Roman" w:hAnsi="Times New Roman" w:eastAsia="黑体"/>
          <w:b w:val="0"/>
          <w:color w:val="1F1F1F"/>
          <w:sz w:val="28"/>
        </w:rPr>
        <w:t>五、向核沉淀什么</w:t>
      </w:r>
    </w:p>
    <w:p>
      <w:pPr>
        <w:spacing w:before="0" w:after="120" w:line="360" w:lineRule="auto"/>
        <w:ind w:firstLine="480"/>
      </w:pPr>
      <w:r>
        <w:rPr>
          <w:rFonts w:ascii="Times New Roman" w:hAnsi="Times New Roman" w:eastAsia="仿宋_GB2312"/>
          <w:b w:val="0"/>
          <w:color w:val="1F1F1F"/>
          <w:sz w:val="24"/>
        </w:rPr>
        <w:t>平台架构、数据资产、预测与调优模型、数据主权条款模板。本边是核的数字底座，其他五边的数据均经本边沉淀为资产。</w:t>
      </w:r>
    </w:p>
    <w:p>
      <w:pPr>
        <w:pStyle w:val="Heading1"/>
        <w:keepNext/>
        <w:pageBreakBefore/>
        <w:spacing w:before="360" w:after="240" w:line="360" w:lineRule="auto"/>
        <w:jc w:val="center"/>
      </w:pPr>
      <w:r>
        <w:rPr>
          <w:rFonts w:ascii="Times New Roman" w:hAnsi="Times New Roman" w:eastAsia="黑体"/>
          <w:b w:val="0"/>
          <w:color w:val="1F1F1F"/>
          <w:sz w:val="32"/>
        </w:rPr>
        <w:t>第八章 普惠：人人参与、人人受益</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普惠边锁定为“人人参与、人人受益”三件事：碳普惠、算力普惠、园区资源普惠。普惠不是投资收益，不是分档报价、按节能量付费或可卖服务包，那些属于核的复制叙事，一律不进本边。无障碍与适老化是标配，是普惠的地板，不是普惠的全部。</w:t>
      </w:r>
    </w:p>
    <w:p>
      <w:pPr>
        <w:pStyle w:val="Heading2"/>
        <w:keepNext/>
        <w:spacing w:before="240" w:after="120" w:line="360" w:lineRule="auto"/>
      </w:pPr>
      <w:r>
        <w:rPr>
          <w:rFonts w:ascii="Times New Roman" w:hAnsi="Times New Roman" w:eastAsia="黑体"/>
          <w:b w:val="0"/>
          <w:color w:val="1F1F1F"/>
          <w:sz w:val="28"/>
        </w:rPr>
        <w:t>一、是什么：园区验证什么</w:t>
      </w:r>
    </w:p>
    <w:p>
      <w:pPr>
        <w:spacing w:before="0" w:after="120" w:line="360" w:lineRule="auto"/>
        <w:ind w:firstLine="480"/>
      </w:pPr>
      <w:r>
        <w:rPr>
          <w:rFonts w:ascii="Times New Roman" w:hAnsi="Times New Roman" w:eastAsia="仿宋_GB2312"/>
          <w:b w:val="0"/>
          <w:color w:val="1F1F1F"/>
          <w:sz w:val="24"/>
        </w:rPr>
        <w:t>普惠边在基地验证两件事：一是全员参与机制能否真正形成——员工、外包与访客的日常行为能否进入碳账并被看见，园区资源与算力能否对全员公平可及；二是这套机制能否沉淀为规则与产品包，复制到南网内其他园区。</w:t>
      </w:r>
    </w:p>
    <w:p>
      <w:pPr>
        <w:pStyle w:val="Heading2"/>
        <w:keepNext/>
        <w:spacing w:before="240" w:after="120" w:line="360" w:lineRule="auto"/>
      </w:pPr>
      <w:r>
        <w:rPr>
          <w:rFonts w:ascii="Times New Roman" w:hAnsi="Times New Roman" w:eastAsia="黑体"/>
          <w:b w:val="0"/>
          <w:color w:val="1F1F1F"/>
          <w:sz w:val="28"/>
        </w:rPr>
        <w:t>二、为什么</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政策与机制落点。</w:t>
      </w:r>
      <w:r>
        <w:rPr>
          <w:rFonts w:ascii="Times New Roman" w:hAnsi="Times New Roman" w:eastAsia="仿宋_GB2312"/>
          <w:b w:val="0"/>
          <w:color w:val="1F1F1F"/>
          <w:sz w:val="24"/>
        </w:rPr>
        <w:t xml:space="preserve"> 广东是碳普惠机制的先行地区，已有成熟方法学与运行经验【公开资料，待核】；电网企业做碳普惠与自身业务天然对味。8 月 27 日工作安排已明确“碳普惠、全员减碳、园区总账一并谋划”，员工获得感不停留在证书层面。</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参与反哺资产。</w:t>
      </w:r>
      <w:r>
        <w:rPr>
          <w:rFonts w:ascii="Times New Roman" w:hAnsi="Times New Roman" w:eastAsia="仿宋_GB2312"/>
          <w:b w:val="0"/>
          <w:color w:val="1F1F1F"/>
          <w:sz w:val="24"/>
        </w:rPr>
        <w:t xml:space="preserve"> 个人与团队的减碳行为聚合后进入园区碳账本，是核的碳账资产的组成部分；算力普惠使全员成为算电协同验证的使用者，而不只是旁观者。</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边界纪律。</w:t>
      </w:r>
      <w:r>
        <w:rPr>
          <w:rFonts w:ascii="Times New Roman" w:hAnsi="Times New Roman" w:eastAsia="仿宋_GB2312"/>
          <w:b w:val="0"/>
          <w:color w:val="1F1F1F"/>
          <w:sz w:val="24"/>
        </w:rPr>
        <w:t xml:space="preserve"> 投资收益、服务化与商业模式设计出现在复制段，归核管理。若把这些写进普惠边，普惠就失去了“人”的主位。</w:t>
      </w:r>
    </w:p>
    <w:p>
      <w:pPr>
        <w:pStyle w:val="Heading2"/>
        <w:keepNext/>
        <w:spacing w:before="240" w:after="120" w:line="360" w:lineRule="auto"/>
      </w:pPr>
      <w:r>
        <w:rPr>
          <w:rFonts w:ascii="Times New Roman" w:hAnsi="Times New Roman" w:eastAsia="黑体"/>
          <w:b w:val="0"/>
          <w:color w:val="1F1F1F"/>
          <w:sz w:val="28"/>
        </w:rPr>
        <w:t>三、怎么做：工作包</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50"/>
        <w:gridCol w:w="1194"/>
        <w:gridCol w:w="1136"/>
        <w:gridCol w:w="2196"/>
        <w:gridCol w:w="1695"/>
        <w:gridCol w:w="1573"/>
      </w:tblGrid>
      <w:tr>
        <w:trPr>
          <w:cantSplit/>
          <w:tblHeader/>
        </w:trPr>
        <w:tc>
          <w:tcPr>
            <w:tcW w:type="dxa" w:w="1050"/>
            <w:shd w:val="clear" w:color="auto" w:fill="E7EEF3"/>
          </w:tcPr>
          <w:p>
            <w:pPr>
              <w:keepNext/>
              <w:spacing w:before="0" w:after="0" w:line="276" w:lineRule="auto"/>
            </w:pPr>
            <w:r/>
            <w:r>
              <w:rPr>
                <w:rFonts w:ascii="Times New Roman" w:hAnsi="Times New Roman" w:eastAsia="宋体"/>
                <w:b/>
                <w:color w:val="1F1F1F"/>
                <w:sz w:val="18"/>
              </w:rPr>
              <w:t>编号</w:t>
            </w:r>
          </w:p>
        </w:tc>
        <w:tc>
          <w:tcPr>
            <w:tcW w:type="dxa" w:w="1194"/>
            <w:shd w:val="clear" w:color="auto" w:fill="E7EEF3"/>
          </w:tcPr>
          <w:p>
            <w:pPr>
              <w:keepNext/>
              <w:spacing w:before="0" w:after="0" w:line="276" w:lineRule="auto"/>
            </w:pPr>
            <w:r/>
            <w:r>
              <w:rPr>
                <w:rFonts w:ascii="Times New Roman" w:hAnsi="Times New Roman" w:eastAsia="宋体"/>
                <w:b/>
                <w:color w:val="1F1F1F"/>
                <w:sz w:val="18"/>
              </w:rPr>
              <w:t>工作包</w:t>
            </w:r>
          </w:p>
        </w:tc>
        <w:tc>
          <w:tcPr>
            <w:tcW w:type="dxa" w:w="1136"/>
            <w:shd w:val="clear" w:color="auto" w:fill="E7EEF3"/>
          </w:tcPr>
          <w:p>
            <w:pPr>
              <w:keepNext/>
              <w:spacing w:before="0" w:after="0" w:line="276" w:lineRule="auto"/>
            </w:pPr>
            <w:r/>
            <w:r>
              <w:rPr>
                <w:rFonts w:ascii="Times New Roman" w:hAnsi="Times New Roman" w:eastAsia="宋体"/>
                <w:b/>
                <w:color w:val="1F1F1F"/>
                <w:sz w:val="18"/>
              </w:rPr>
              <w:t>类型</w:t>
            </w:r>
          </w:p>
        </w:tc>
        <w:tc>
          <w:tcPr>
            <w:tcW w:type="dxa" w:w="2196"/>
            <w:shd w:val="clear" w:color="auto" w:fill="E7EEF3"/>
          </w:tcPr>
          <w:p>
            <w:pPr>
              <w:keepNext/>
              <w:spacing w:before="0" w:after="0" w:line="276" w:lineRule="auto"/>
            </w:pPr>
            <w:r/>
            <w:r>
              <w:rPr>
                <w:rFonts w:ascii="Times New Roman" w:hAnsi="Times New Roman" w:eastAsia="宋体"/>
                <w:b/>
                <w:color w:val="1F1F1F"/>
                <w:sz w:val="18"/>
              </w:rPr>
              <w:t>内容与落点</w:t>
            </w:r>
          </w:p>
        </w:tc>
        <w:tc>
          <w:tcPr>
            <w:tcW w:type="dxa" w:w="1695"/>
            <w:shd w:val="clear" w:color="auto" w:fill="E7EEF3"/>
          </w:tcPr>
          <w:p>
            <w:pPr>
              <w:keepNext/>
              <w:spacing w:before="0" w:after="0" w:line="276" w:lineRule="auto"/>
            </w:pPr>
            <w:r/>
            <w:r>
              <w:rPr>
                <w:rFonts w:ascii="Times New Roman" w:hAnsi="Times New Roman" w:eastAsia="宋体"/>
                <w:b/>
                <w:color w:val="1F1F1F"/>
                <w:sz w:val="18"/>
              </w:rPr>
              <w:t>可检查指标（方向）</w:t>
            </w:r>
          </w:p>
        </w:tc>
        <w:tc>
          <w:tcPr>
            <w:tcW w:type="dxa" w:w="1573"/>
            <w:shd w:val="clear" w:color="auto" w:fill="E7EEF3"/>
          </w:tcPr>
          <w:p>
            <w:pPr>
              <w:keepNext/>
              <w:spacing w:before="0" w:after="0" w:line="276" w:lineRule="auto"/>
            </w:pPr>
            <w:r/>
            <w:r>
              <w:rPr>
                <w:rFonts w:ascii="Times New Roman" w:hAnsi="Times New Roman" w:eastAsia="宋体"/>
                <w:b/>
                <w:color w:val="1F1F1F"/>
                <w:sz w:val="18"/>
              </w:rPr>
              <w:t>转化路径</w:t>
            </w:r>
          </w:p>
        </w:tc>
      </w:tr>
      <w:tr>
        <w:trPr>
          <w:cantSplit/>
        </w:trPr>
        <w:tc>
          <w:tcPr>
            <w:tcW w:type="dxa" w:w="1050"/>
          </w:tcPr>
          <w:p>
            <w:pPr>
              <w:spacing w:before="0" w:after="0" w:line="276" w:lineRule="auto"/>
            </w:pPr>
            <w:r/>
            <w:r>
              <w:rPr>
                <w:rFonts w:ascii="Times New Roman" w:hAnsi="Times New Roman" w:eastAsia="宋体"/>
                <w:b w:val="0"/>
                <w:color w:val="1F1F1F"/>
                <w:sz w:val="18"/>
              </w:rPr>
              <w:t>P1</w:t>
            </w:r>
          </w:p>
        </w:tc>
        <w:tc>
          <w:tcPr>
            <w:tcW w:type="dxa" w:w="1194"/>
          </w:tcPr>
          <w:p>
            <w:pPr>
              <w:spacing w:before="0" w:after="0" w:line="276" w:lineRule="auto"/>
            </w:pPr>
            <w:r/>
            <w:r>
              <w:rPr>
                <w:rFonts w:ascii="Times New Roman" w:hAnsi="Times New Roman" w:eastAsia="宋体"/>
                <w:b w:val="0"/>
                <w:color w:val="1F1F1F"/>
                <w:sz w:val="18"/>
              </w:rPr>
              <w:t>碳普惠与个人—团队—园区三级碳账</w:t>
            </w:r>
          </w:p>
        </w:tc>
        <w:tc>
          <w:tcPr>
            <w:tcW w:type="dxa" w:w="1136"/>
          </w:tcPr>
          <w:p>
            <w:pPr>
              <w:spacing w:before="0" w:after="0" w:line="276" w:lineRule="auto"/>
            </w:pPr>
            <w:r/>
            <w:r>
              <w:rPr>
                <w:rFonts w:ascii="Times New Roman" w:hAnsi="Times New Roman" w:eastAsia="宋体"/>
                <w:b w:val="0"/>
                <w:color w:val="1F1F1F"/>
                <w:sz w:val="18"/>
              </w:rPr>
              <w:t>数据 / SOP</w:t>
            </w:r>
          </w:p>
        </w:tc>
        <w:tc>
          <w:tcPr>
            <w:tcW w:type="dxa" w:w="2196"/>
          </w:tcPr>
          <w:p>
            <w:pPr>
              <w:spacing w:before="0" w:after="0" w:line="276" w:lineRule="auto"/>
            </w:pPr>
            <w:r/>
            <w:r>
              <w:rPr>
                <w:rFonts w:ascii="Times New Roman" w:hAnsi="Times New Roman" w:eastAsia="宋体"/>
                <w:b w:val="0"/>
                <w:color w:val="1F1F1F"/>
                <w:sz w:val="18"/>
              </w:rPr>
              <w:t>通勤、用能、会议、无纸化等低碳行为自动记账，聚合为团队与园区总账，总账人人可见；对接广东、广州碳普惠机制方法学【公开资料，待核】；轻交互小程序，不做大屏</w:t>
            </w:r>
          </w:p>
        </w:tc>
        <w:tc>
          <w:tcPr>
            <w:tcW w:type="dxa" w:w="1695"/>
          </w:tcPr>
          <w:p>
            <w:pPr>
              <w:spacing w:before="0" w:after="0" w:line="276" w:lineRule="auto"/>
            </w:pPr>
            <w:r/>
            <w:r>
              <w:rPr>
                <w:rFonts w:ascii="Times New Roman" w:hAnsi="Times New Roman" w:eastAsia="宋体"/>
                <w:b w:val="0"/>
                <w:color w:val="1F1F1F"/>
                <w:sz w:val="18"/>
              </w:rPr>
              <w:t>参与率（注册并产生记账的员工占比）；记账行为类别数；园区总账公示频次</w:t>
            </w:r>
          </w:p>
        </w:tc>
        <w:tc>
          <w:tcPr>
            <w:tcW w:type="dxa" w:w="1573"/>
          </w:tcPr>
          <w:p>
            <w:pPr>
              <w:spacing w:before="0" w:after="0" w:line="276" w:lineRule="auto"/>
            </w:pPr>
            <w:r/>
            <w:r>
              <w:rPr>
                <w:rFonts w:ascii="Times New Roman" w:hAnsi="Times New Roman" w:eastAsia="宋体"/>
                <w:b w:val="0"/>
                <w:color w:val="1F1F1F"/>
                <w:sz w:val="18"/>
              </w:rPr>
              <w:t>沉淀为三级碳账规则与方法学映射，复制到南网内园区</w:t>
            </w:r>
          </w:p>
        </w:tc>
      </w:tr>
      <w:tr>
        <w:trPr>
          <w:cantSplit/>
        </w:trPr>
        <w:tc>
          <w:tcPr>
            <w:tcW w:type="dxa" w:w="1050"/>
          </w:tcPr>
          <w:p>
            <w:pPr>
              <w:spacing w:before="0" w:after="0" w:line="276" w:lineRule="auto"/>
            </w:pPr>
            <w:r/>
            <w:r>
              <w:rPr>
                <w:rFonts w:ascii="Times New Roman" w:hAnsi="Times New Roman" w:eastAsia="宋体"/>
                <w:b w:val="0"/>
                <w:color w:val="1F1F1F"/>
                <w:sz w:val="18"/>
              </w:rPr>
              <w:t>P2</w:t>
            </w:r>
          </w:p>
        </w:tc>
        <w:tc>
          <w:tcPr>
            <w:tcW w:type="dxa" w:w="1194"/>
          </w:tcPr>
          <w:p>
            <w:pPr>
              <w:spacing w:before="0" w:after="0" w:line="276" w:lineRule="auto"/>
            </w:pPr>
            <w:r/>
            <w:r>
              <w:rPr>
                <w:rFonts w:ascii="Times New Roman" w:hAnsi="Times New Roman" w:eastAsia="宋体"/>
                <w:b w:val="0"/>
                <w:color w:val="1F1F1F"/>
                <w:sz w:val="18"/>
              </w:rPr>
              <w:t>算力普惠</w:t>
            </w:r>
          </w:p>
        </w:tc>
        <w:tc>
          <w:tcPr>
            <w:tcW w:type="dxa" w:w="1136"/>
          </w:tcPr>
          <w:p>
            <w:pPr>
              <w:spacing w:before="0" w:after="0" w:line="276" w:lineRule="auto"/>
            </w:pPr>
            <w:r/>
            <w:r>
              <w:rPr>
                <w:rFonts w:ascii="Times New Roman" w:hAnsi="Times New Roman" w:eastAsia="宋体"/>
                <w:b w:val="0"/>
                <w:color w:val="1F1F1F"/>
                <w:sz w:val="18"/>
              </w:rPr>
              <w:t>数据 / SOP</w:t>
            </w:r>
          </w:p>
        </w:tc>
        <w:tc>
          <w:tcPr>
            <w:tcW w:type="dxa" w:w="2196"/>
          </w:tcPr>
          <w:p>
            <w:pPr>
              <w:spacing w:before="0" w:after="0" w:line="276" w:lineRule="auto"/>
            </w:pPr>
            <w:r/>
            <w:r>
              <w:rPr>
                <w:rFonts w:ascii="Times New Roman" w:hAnsi="Times New Roman" w:eastAsia="宋体"/>
                <w:b w:val="0"/>
                <w:color w:val="1F1F1F"/>
                <w:sz w:val="18"/>
              </w:rPr>
              <w:t>园区绿色算力与 AI 工具（办公助手、知识库、会议纪要等）向全员与业务部门开放，用量透明、申请门槛低；与算电协同验证共用算力底座</w:t>
            </w:r>
          </w:p>
        </w:tc>
        <w:tc>
          <w:tcPr>
            <w:tcW w:type="dxa" w:w="1695"/>
          </w:tcPr>
          <w:p>
            <w:pPr>
              <w:spacing w:before="0" w:after="0" w:line="276" w:lineRule="auto"/>
            </w:pPr>
            <w:r/>
            <w:r>
              <w:rPr>
                <w:rFonts w:ascii="Times New Roman" w:hAnsi="Times New Roman" w:eastAsia="宋体"/>
                <w:b w:val="0"/>
                <w:color w:val="1F1F1F"/>
                <w:sz w:val="18"/>
              </w:rPr>
              <w:t>开放工具的可用员工比例；部门级配额透明度；场景孵化数量</w:t>
            </w:r>
          </w:p>
        </w:tc>
        <w:tc>
          <w:tcPr>
            <w:tcW w:type="dxa" w:w="1573"/>
          </w:tcPr>
          <w:p>
            <w:pPr>
              <w:spacing w:before="0" w:after="0" w:line="276" w:lineRule="auto"/>
            </w:pPr>
            <w:r/>
            <w:r>
              <w:rPr>
                <w:rFonts w:ascii="Times New Roman" w:hAnsi="Times New Roman" w:eastAsia="宋体"/>
                <w:b w:val="0"/>
                <w:color w:val="1F1F1F"/>
                <w:sz w:val="18"/>
              </w:rPr>
              <w:t>形成全员算力开放机制，作为算电协同的“人人参与”侧</w:t>
            </w:r>
          </w:p>
        </w:tc>
      </w:tr>
      <w:tr>
        <w:trPr>
          <w:cantSplit/>
        </w:trPr>
        <w:tc>
          <w:tcPr>
            <w:tcW w:type="dxa" w:w="1050"/>
          </w:tcPr>
          <w:p>
            <w:pPr>
              <w:spacing w:before="0" w:after="0" w:line="276" w:lineRule="auto"/>
            </w:pPr>
            <w:r/>
            <w:r>
              <w:rPr>
                <w:rFonts w:ascii="Times New Roman" w:hAnsi="Times New Roman" w:eastAsia="宋体"/>
                <w:b w:val="0"/>
                <w:color w:val="1F1F1F"/>
                <w:sz w:val="18"/>
              </w:rPr>
              <w:t>P3</w:t>
            </w:r>
          </w:p>
        </w:tc>
        <w:tc>
          <w:tcPr>
            <w:tcW w:type="dxa" w:w="1194"/>
          </w:tcPr>
          <w:p>
            <w:pPr>
              <w:spacing w:before="0" w:after="0" w:line="276" w:lineRule="auto"/>
            </w:pPr>
            <w:r/>
            <w:r>
              <w:rPr>
                <w:rFonts w:ascii="Times New Roman" w:hAnsi="Times New Roman" w:eastAsia="宋体"/>
                <w:b w:val="0"/>
                <w:color w:val="1F1F1F"/>
                <w:sz w:val="18"/>
              </w:rPr>
              <w:t>园区资源普惠</w:t>
            </w:r>
          </w:p>
        </w:tc>
        <w:tc>
          <w:tcPr>
            <w:tcW w:type="dxa" w:w="1136"/>
          </w:tcPr>
          <w:p>
            <w:pPr>
              <w:spacing w:before="0" w:after="0" w:line="276" w:lineRule="auto"/>
            </w:pPr>
            <w:r/>
            <w:r>
              <w:rPr>
                <w:rFonts w:ascii="Times New Roman" w:hAnsi="Times New Roman" w:eastAsia="宋体"/>
                <w:b w:val="0"/>
                <w:color w:val="1F1F1F"/>
                <w:sz w:val="18"/>
              </w:rPr>
              <w:t>SOP / 物理改造</w:t>
            </w:r>
          </w:p>
        </w:tc>
        <w:tc>
          <w:tcPr>
            <w:tcW w:type="dxa" w:w="2196"/>
          </w:tcPr>
          <w:p>
            <w:pPr>
              <w:spacing w:before="0" w:after="0" w:line="276" w:lineRule="auto"/>
            </w:pPr>
            <w:r/>
            <w:r>
              <w:rPr>
                <w:rFonts w:ascii="Times New Roman" w:hAnsi="Times New Roman" w:eastAsia="宋体"/>
                <w:b w:val="0"/>
                <w:color w:val="1F1F1F"/>
                <w:sz w:val="18"/>
              </w:rPr>
              <w:t>充电、会议、文体、餐饮、共享空间对员工、外包、访客公平可及，预约与分配规则透明；部分空间向公众开放做双碳科普，开放范围经安保与保密评估【待核】</w:t>
            </w:r>
          </w:p>
        </w:tc>
        <w:tc>
          <w:tcPr>
            <w:tcW w:type="dxa" w:w="1695"/>
          </w:tcPr>
          <w:p>
            <w:pPr>
              <w:spacing w:before="0" w:after="0" w:line="276" w:lineRule="auto"/>
            </w:pPr>
            <w:r/>
            <w:r>
              <w:rPr>
                <w:rFonts w:ascii="Times New Roman" w:hAnsi="Times New Roman" w:eastAsia="宋体"/>
                <w:b w:val="0"/>
                <w:color w:val="1F1F1F"/>
                <w:sz w:val="18"/>
              </w:rPr>
              <w:t>统一预约平台覆盖的资源类别；分配规则公示；公众开放日次数</w:t>
            </w:r>
          </w:p>
        </w:tc>
        <w:tc>
          <w:tcPr>
            <w:tcW w:type="dxa" w:w="1573"/>
          </w:tcPr>
          <w:p>
            <w:pPr>
              <w:spacing w:before="0" w:after="0" w:line="276" w:lineRule="auto"/>
            </w:pPr>
            <w:r/>
            <w:r>
              <w:rPr>
                <w:rFonts w:ascii="Times New Roman" w:hAnsi="Times New Roman" w:eastAsia="宋体"/>
                <w:b w:val="0"/>
                <w:color w:val="1F1F1F"/>
                <w:sz w:val="18"/>
              </w:rPr>
              <w:t>沉淀为资源预约与分配规则，与智慧边 S1 共用平台</w:t>
            </w:r>
          </w:p>
        </w:tc>
      </w:tr>
      <w:tr>
        <w:trPr>
          <w:cantSplit/>
        </w:trPr>
        <w:tc>
          <w:tcPr>
            <w:tcW w:type="dxa" w:w="1050"/>
          </w:tcPr>
          <w:p>
            <w:pPr>
              <w:spacing w:before="0" w:after="0" w:line="276" w:lineRule="auto"/>
            </w:pPr>
            <w:r/>
            <w:r>
              <w:rPr>
                <w:rFonts w:ascii="Times New Roman" w:hAnsi="Times New Roman" w:eastAsia="宋体"/>
                <w:b w:val="0"/>
                <w:color w:val="1F1F1F"/>
                <w:sz w:val="18"/>
              </w:rPr>
              <w:t>P4</w:t>
            </w:r>
          </w:p>
        </w:tc>
        <w:tc>
          <w:tcPr>
            <w:tcW w:type="dxa" w:w="1194"/>
          </w:tcPr>
          <w:p>
            <w:pPr>
              <w:spacing w:before="0" w:after="0" w:line="276" w:lineRule="auto"/>
            </w:pPr>
            <w:r/>
            <w:r>
              <w:rPr>
                <w:rFonts w:ascii="Times New Roman" w:hAnsi="Times New Roman" w:eastAsia="宋体"/>
                <w:b w:val="0"/>
                <w:color w:val="1F1F1F"/>
                <w:sz w:val="18"/>
              </w:rPr>
              <w:t>无障碍与适老化（标配）</w:t>
            </w:r>
          </w:p>
        </w:tc>
        <w:tc>
          <w:tcPr>
            <w:tcW w:type="dxa" w:w="1136"/>
          </w:tcPr>
          <w:p>
            <w:pPr>
              <w:spacing w:before="0" w:after="0" w:line="276" w:lineRule="auto"/>
            </w:pPr>
            <w:r/>
            <w:r>
              <w:rPr>
                <w:rFonts w:ascii="Times New Roman" w:hAnsi="Times New Roman" w:eastAsia="宋体"/>
                <w:b w:val="0"/>
                <w:color w:val="1F1F1F"/>
                <w:sz w:val="18"/>
              </w:rPr>
              <w:t>物理改造</w:t>
            </w:r>
          </w:p>
        </w:tc>
        <w:tc>
          <w:tcPr>
            <w:tcW w:type="dxa" w:w="2196"/>
          </w:tcPr>
          <w:p>
            <w:pPr>
              <w:spacing w:before="0" w:after="0" w:line="276" w:lineRule="auto"/>
            </w:pPr>
            <w:r/>
            <w:r>
              <w:rPr>
                <w:rFonts w:ascii="Times New Roman" w:hAnsi="Times New Roman" w:eastAsia="宋体"/>
                <w:b w:val="0"/>
                <w:color w:val="1F1F1F"/>
                <w:sz w:val="18"/>
              </w:rPr>
              <w:t>全域无障碍动线、信息无障碍、适老化设施，按国家标准做到位</w:t>
            </w:r>
          </w:p>
        </w:tc>
        <w:tc>
          <w:tcPr>
            <w:tcW w:type="dxa" w:w="1695"/>
          </w:tcPr>
          <w:p>
            <w:pPr>
              <w:spacing w:before="0" w:after="0" w:line="276" w:lineRule="auto"/>
            </w:pPr>
            <w:r/>
            <w:r>
              <w:rPr>
                <w:rFonts w:ascii="Times New Roman" w:hAnsi="Times New Roman" w:eastAsia="宋体"/>
                <w:b w:val="0"/>
                <w:color w:val="1F1F1F"/>
                <w:sz w:val="18"/>
              </w:rPr>
              <w:t>无障碍专项排查完成并整改</w:t>
            </w:r>
          </w:p>
        </w:tc>
        <w:tc>
          <w:tcPr>
            <w:tcW w:type="dxa" w:w="1573"/>
          </w:tcPr>
          <w:p>
            <w:pPr>
              <w:spacing w:before="0" w:after="0" w:line="276" w:lineRule="auto"/>
            </w:pPr>
            <w:r/>
            <w:r>
              <w:rPr>
                <w:rFonts w:ascii="Times New Roman" w:hAnsi="Times New Roman" w:eastAsia="宋体"/>
                <w:b w:val="0"/>
                <w:color w:val="1F1F1F"/>
                <w:sz w:val="18"/>
              </w:rPr>
              <w:t>作为地板纳入方法论，不单独立功</w:t>
            </w:r>
          </w:p>
        </w:tc>
      </w:tr>
    </w:tbl>
    <w:p>
      <w:pPr>
        <w:spacing w:after="80"/>
      </w:pPr>
    </w:p>
    <w:p>
      <w:pPr>
        <w:pStyle w:val="Heading2"/>
        <w:keepNext/>
        <w:spacing w:before="240" w:after="120" w:line="360" w:lineRule="auto"/>
      </w:pPr>
      <w:r>
        <w:rPr>
          <w:rFonts w:ascii="Times New Roman" w:hAnsi="Times New Roman" w:eastAsia="黑体"/>
          <w:b w:val="0"/>
          <w:color w:val="1F1F1F"/>
          <w:sz w:val="28"/>
        </w:rPr>
        <w:t>四、对标参照（待核）</w:t>
      </w:r>
    </w:p>
    <w:p>
      <w:pPr>
        <w:spacing w:before="0" w:after="80" w:line="360" w:lineRule="auto"/>
        <w:ind w:left="480" w:hanging="240"/>
      </w:pPr>
      <w:r>
        <w:rPr>
          <w:rFonts w:ascii="Times New Roman" w:hAnsi="Times New Roman" w:eastAsia="仿宋_GB2312"/>
          <w:b w:val="0"/>
          <w:color w:val="1F1F1F"/>
          <w:sz w:val="24"/>
        </w:rPr>
        <w:t>▪ 广东、广州碳普惠机制：方法学与运行经验【公开资料，对标案例，待核】。</w:t>
      </w:r>
    </w:p>
    <w:p>
      <w:pPr>
        <w:spacing w:before="0" w:after="80" w:line="360" w:lineRule="auto"/>
        <w:ind w:left="480" w:hanging="240"/>
      </w:pPr>
      <w:r>
        <w:rPr>
          <w:rFonts w:ascii="Times New Roman" w:hAnsi="Times New Roman" w:eastAsia="仿宋_GB2312"/>
          <w:b w:val="0"/>
          <w:color w:val="1F1F1F"/>
          <w:sz w:val="24"/>
        </w:rPr>
        <w:t>▪ 腾讯企鹅岛全域无障碍：无障碍标配水位参照【对标案例，待核】。</w:t>
      </w:r>
    </w:p>
    <w:p>
      <w:pPr>
        <w:spacing w:before="0" w:after="80" w:line="360" w:lineRule="auto"/>
        <w:ind w:left="480" w:hanging="240"/>
      </w:pPr>
      <w:r>
        <w:rPr>
          <w:rFonts w:ascii="Times New Roman" w:hAnsi="Times New Roman" w:eastAsia="仿宋_GB2312"/>
          <w:b w:val="0"/>
          <w:color w:val="1F1F1F"/>
          <w:sz w:val="24"/>
        </w:rPr>
        <w:t>▪ 第四轮赛马六路对普惠的重跑口径（园城共生、能力平权、基础能力可及、机制普惠、外溢、绿色能力普惠）作为讨论存档，本稿统一以“人人参与、人人受益”为口径。</w:t>
      </w:r>
    </w:p>
    <w:p>
      <w:pPr>
        <w:pStyle w:val="Heading2"/>
        <w:keepNext/>
        <w:spacing w:before="240" w:after="120" w:line="360" w:lineRule="auto"/>
      </w:pPr>
      <w:r>
        <w:rPr>
          <w:rFonts w:ascii="Times New Roman" w:hAnsi="Times New Roman" w:eastAsia="黑体"/>
          <w:b w:val="0"/>
          <w:color w:val="1F1F1F"/>
          <w:sz w:val="28"/>
        </w:rPr>
        <w:t>五、向核沉淀什么</w:t>
      </w:r>
    </w:p>
    <w:p>
      <w:pPr>
        <w:spacing w:before="0" w:after="120" w:line="360" w:lineRule="auto"/>
        <w:ind w:firstLine="480"/>
      </w:pPr>
      <w:r>
        <w:rPr>
          <w:rFonts w:ascii="Times New Roman" w:hAnsi="Times New Roman" w:eastAsia="仿宋_GB2312"/>
          <w:b w:val="0"/>
          <w:color w:val="1F1F1F"/>
          <w:sz w:val="24"/>
        </w:rPr>
        <w:t>三级碳账规则、算力开放机制、资源预约与分配规则。这些是全员参与机制，进入核的改造与运营方法论；服务化与商业模式不在此沉淀。</w:t>
      </w:r>
    </w:p>
    <w:p>
      <w:pPr>
        <w:pStyle w:val="Heading1"/>
        <w:keepNext/>
        <w:pageBreakBefore/>
        <w:spacing w:before="360" w:after="240" w:line="360" w:lineRule="auto"/>
        <w:jc w:val="center"/>
      </w:pPr>
      <w:r>
        <w:rPr>
          <w:rFonts w:ascii="Times New Roman" w:hAnsi="Times New Roman" w:eastAsia="黑体"/>
          <w:b w:val="0"/>
          <w:color w:val="1F1F1F"/>
          <w:sz w:val="32"/>
        </w:rPr>
        <w:t>第九章 健康：可检测、可验收的员工健康环境</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健康边独立于人文，管“身体能测出来的环境”：空气、水、光、声、热五类室内环境参数按可检指标运行监测，节能改造与健康环境互锁，健身与心理服务作为配套。健康数据只用于环境改善与验收，不用于个人考核。</w:t>
      </w:r>
    </w:p>
    <w:p>
      <w:pPr>
        <w:pStyle w:val="Heading2"/>
        <w:keepNext/>
        <w:spacing w:before="240" w:after="120" w:line="360" w:lineRule="auto"/>
      </w:pPr>
      <w:r>
        <w:rPr>
          <w:rFonts w:ascii="Times New Roman" w:hAnsi="Times New Roman" w:eastAsia="黑体"/>
          <w:b w:val="0"/>
          <w:color w:val="1F1F1F"/>
          <w:sz w:val="28"/>
        </w:rPr>
        <w:t>一、是什么：园区验证什么</w:t>
      </w:r>
    </w:p>
    <w:p>
      <w:pPr>
        <w:spacing w:before="0" w:after="120" w:line="360" w:lineRule="auto"/>
        <w:ind w:firstLine="480"/>
      </w:pPr>
      <w:r>
        <w:rPr>
          <w:rFonts w:ascii="Times New Roman" w:hAnsi="Times New Roman" w:eastAsia="仿宋_GB2312"/>
          <w:b w:val="0"/>
          <w:color w:val="1F1F1F"/>
          <w:sz w:val="24"/>
        </w:rPr>
        <w:t>健康边在基地验证两件事：一是约 5000 人长期办公的既有园区【交流纪要，待核】，能否以运行监测数据（而不是设计文档）证明室内环境达标；二是高效边的节能改造是否会以空气品质为代价——节能与健康必须同时达标，任何一方不达标即不通过验收。</w:t>
      </w:r>
    </w:p>
    <w:p>
      <w:pPr>
        <w:pStyle w:val="Heading2"/>
        <w:keepNext/>
        <w:spacing w:before="240" w:after="120" w:line="360" w:lineRule="auto"/>
      </w:pPr>
      <w:r>
        <w:rPr>
          <w:rFonts w:ascii="Times New Roman" w:hAnsi="Times New Roman" w:eastAsia="黑体"/>
          <w:b w:val="0"/>
          <w:color w:val="1F1F1F"/>
          <w:sz w:val="28"/>
        </w:rPr>
        <w:t>二、为什么</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政策与标准落点。</w:t>
      </w:r>
      <w:r>
        <w:rPr>
          <w:rFonts w:ascii="Times New Roman" w:hAnsi="Times New Roman" w:eastAsia="仿宋_GB2312"/>
          <w:b w:val="0"/>
          <w:color w:val="1F1F1F"/>
          <w:sz w:val="24"/>
        </w:rPr>
        <w:t xml:space="preserve"> 既有建筑绿色改造与“好房子”方向对室内环境品质提出要求【部门公开文件，具体适用条款待核】；健康建筑相关标准与 WELL 类既有建筑路径提供可检指标框架【公开标准资料，待核】。</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约束与机遇。</w:t>
      </w:r>
      <w:r>
        <w:rPr>
          <w:rFonts w:ascii="Times New Roman" w:hAnsi="Times New Roman" w:eastAsia="仿宋_GB2312"/>
          <w:b w:val="0"/>
          <w:color w:val="1F1F1F"/>
          <w:sz w:val="24"/>
        </w:rPr>
        <w:t xml:space="preserve"> 既有楼照明、新风多为一次建成，改造轻、可逆、员工可感强；风系统诊断可与冷站诊断同步进行，成本增量小。</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与人文分列。</w:t>
      </w:r>
      <w:r>
        <w:rPr>
          <w:rFonts w:ascii="Times New Roman" w:hAnsi="Times New Roman" w:eastAsia="仿宋_GB2312"/>
          <w:b w:val="0"/>
          <w:color w:val="1F1F1F"/>
          <w:sz w:val="24"/>
        </w:rPr>
        <w:t xml:space="preserve"> 健康管参数达标，人文管场所与文化体验；两者共用部分空间界面，但验收口径不同，分开成边。</w:t>
      </w:r>
    </w:p>
    <w:p>
      <w:pPr>
        <w:pStyle w:val="Heading2"/>
        <w:keepNext/>
        <w:spacing w:before="240" w:after="120" w:line="360" w:lineRule="auto"/>
      </w:pPr>
      <w:r>
        <w:rPr>
          <w:rFonts w:ascii="Times New Roman" w:hAnsi="Times New Roman" w:eastAsia="黑体"/>
          <w:b w:val="0"/>
          <w:color w:val="1F1F1F"/>
          <w:sz w:val="28"/>
        </w:rPr>
        <w:t>三、怎么做：工作包</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80"/>
        <w:gridCol w:w="1260"/>
        <w:gridCol w:w="1138"/>
        <w:gridCol w:w="2240"/>
        <w:gridCol w:w="1671"/>
        <w:gridCol w:w="1455"/>
      </w:tblGrid>
      <w:tr>
        <w:trPr>
          <w:cantSplit/>
          <w:tblHeader/>
        </w:trPr>
        <w:tc>
          <w:tcPr>
            <w:tcW w:type="dxa" w:w="1080"/>
            <w:shd w:val="clear" w:color="auto" w:fill="E7EEF3"/>
          </w:tcPr>
          <w:p>
            <w:pPr>
              <w:keepNext/>
              <w:spacing w:before="0" w:after="0" w:line="276" w:lineRule="auto"/>
            </w:pPr>
            <w:r/>
            <w:r>
              <w:rPr>
                <w:rFonts w:ascii="Times New Roman" w:hAnsi="Times New Roman" w:eastAsia="宋体"/>
                <w:b/>
                <w:color w:val="1F1F1F"/>
                <w:sz w:val="18"/>
              </w:rPr>
              <w:t>编号</w:t>
            </w:r>
          </w:p>
        </w:tc>
        <w:tc>
          <w:tcPr>
            <w:tcW w:type="dxa" w:w="1260"/>
            <w:shd w:val="clear" w:color="auto" w:fill="E7EEF3"/>
          </w:tcPr>
          <w:p>
            <w:pPr>
              <w:keepNext/>
              <w:spacing w:before="0" w:after="0" w:line="276" w:lineRule="auto"/>
            </w:pPr>
            <w:r/>
            <w:r>
              <w:rPr>
                <w:rFonts w:ascii="Times New Roman" w:hAnsi="Times New Roman" w:eastAsia="宋体"/>
                <w:b/>
                <w:color w:val="1F1F1F"/>
                <w:sz w:val="18"/>
              </w:rPr>
              <w:t>工作包</w:t>
            </w:r>
          </w:p>
        </w:tc>
        <w:tc>
          <w:tcPr>
            <w:tcW w:type="dxa" w:w="1138"/>
            <w:shd w:val="clear" w:color="auto" w:fill="E7EEF3"/>
          </w:tcPr>
          <w:p>
            <w:pPr>
              <w:keepNext/>
              <w:spacing w:before="0" w:after="0" w:line="276" w:lineRule="auto"/>
            </w:pPr>
            <w:r/>
            <w:r>
              <w:rPr>
                <w:rFonts w:ascii="Times New Roman" w:hAnsi="Times New Roman" w:eastAsia="宋体"/>
                <w:b/>
                <w:color w:val="1F1F1F"/>
                <w:sz w:val="18"/>
              </w:rPr>
              <w:t>类型</w:t>
            </w:r>
          </w:p>
        </w:tc>
        <w:tc>
          <w:tcPr>
            <w:tcW w:type="dxa" w:w="2240"/>
            <w:shd w:val="clear" w:color="auto" w:fill="E7EEF3"/>
          </w:tcPr>
          <w:p>
            <w:pPr>
              <w:keepNext/>
              <w:spacing w:before="0" w:after="0" w:line="276" w:lineRule="auto"/>
            </w:pPr>
            <w:r/>
            <w:r>
              <w:rPr>
                <w:rFonts w:ascii="Times New Roman" w:hAnsi="Times New Roman" w:eastAsia="宋体"/>
                <w:b/>
                <w:color w:val="1F1F1F"/>
                <w:sz w:val="18"/>
              </w:rPr>
              <w:t>内容与落点</w:t>
            </w:r>
          </w:p>
        </w:tc>
        <w:tc>
          <w:tcPr>
            <w:tcW w:type="dxa" w:w="1671"/>
            <w:shd w:val="clear" w:color="auto" w:fill="E7EEF3"/>
          </w:tcPr>
          <w:p>
            <w:pPr>
              <w:keepNext/>
              <w:spacing w:before="0" w:after="0" w:line="276" w:lineRule="auto"/>
            </w:pPr>
            <w:r/>
            <w:r>
              <w:rPr>
                <w:rFonts w:ascii="Times New Roman" w:hAnsi="Times New Roman" w:eastAsia="宋体"/>
                <w:b/>
                <w:color w:val="1F1F1F"/>
                <w:sz w:val="18"/>
              </w:rPr>
              <w:t>可检查指标（方向）</w:t>
            </w:r>
          </w:p>
        </w:tc>
        <w:tc>
          <w:tcPr>
            <w:tcW w:type="dxa" w:w="1455"/>
            <w:shd w:val="clear" w:color="auto" w:fill="E7EEF3"/>
          </w:tcPr>
          <w:p>
            <w:pPr>
              <w:keepNext/>
              <w:spacing w:before="0" w:after="0" w:line="276" w:lineRule="auto"/>
            </w:pPr>
            <w:r/>
            <w:r>
              <w:rPr>
                <w:rFonts w:ascii="Times New Roman" w:hAnsi="Times New Roman" w:eastAsia="宋体"/>
                <w:b/>
                <w:color w:val="1F1F1F"/>
                <w:sz w:val="18"/>
              </w:rPr>
              <w:t>转化路径</w:t>
            </w:r>
          </w:p>
        </w:tc>
      </w:tr>
      <w:tr>
        <w:trPr>
          <w:cantSplit/>
        </w:trPr>
        <w:tc>
          <w:tcPr>
            <w:tcW w:type="dxa" w:w="1080"/>
          </w:tcPr>
          <w:p>
            <w:pPr>
              <w:spacing w:before="0" w:after="0" w:line="276" w:lineRule="auto"/>
            </w:pPr>
            <w:r/>
            <w:r>
              <w:rPr>
                <w:rFonts w:ascii="Times New Roman" w:hAnsi="Times New Roman" w:eastAsia="宋体"/>
                <w:b w:val="0"/>
                <w:color w:val="1F1F1F"/>
                <w:sz w:val="18"/>
              </w:rPr>
              <w:t>H1</w:t>
            </w:r>
          </w:p>
        </w:tc>
        <w:tc>
          <w:tcPr>
            <w:tcW w:type="dxa" w:w="1260"/>
          </w:tcPr>
          <w:p>
            <w:pPr>
              <w:spacing w:before="0" w:after="0" w:line="276" w:lineRule="auto"/>
            </w:pPr>
            <w:r/>
            <w:r>
              <w:rPr>
                <w:rFonts w:ascii="Times New Roman" w:hAnsi="Times New Roman" w:eastAsia="宋体"/>
                <w:b w:val="0"/>
                <w:color w:val="1F1F1F"/>
                <w:sz w:val="18"/>
              </w:rPr>
              <w:t>室内环境连续监测与公示</w:t>
            </w:r>
          </w:p>
        </w:tc>
        <w:tc>
          <w:tcPr>
            <w:tcW w:type="dxa" w:w="1138"/>
          </w:tcPr>
          <w:p>
            <w:pPr>
              <w:spacing w:before="0" w:after="0" w:line="276" w:lineRule="auto"/>
            </w:pPr>
            <w:r/>
            <w:r>
              <w:rPr>
                <w:rFonts w:ascii="Times New Roman" w:hAnsi="Times New Roman" w:eastAsia="宋体"/>
                <w:b w:val="0"/>
                <w:color w:val="1F1F1F"/>
                <w:sz w:val="18"/>
              </w:rPr>
              <w:t>数据 / 物理改造</w:t>
            </w:r>
          </w:p>
        </w:tc>
        <w:tc>
          <w:tcPr>
            <w:tcW w:type="dxa" w:w="2240"/>
          </w:tcPr>
          <w:p>
            <w:pPr>
              <w:spacing w:before="0" w:after="0" w:line="276" w:lineRule="auto"/>
            </w:pPr>
            <w:r/>
            <w:r>
              <w:rPr>
                <w:rFonts w:ascii="Times New Roman" w:hAnsi="Times New Roman" w:eastAsia="宋体"/>
                <w:b w:val="0"/>
                <w:color w:val="1F1F1F"/>
                <w:sz w:val="18"/>
              </w:rPr>
              <w:t>PM2.5、CO₂、TVOC、温湿度、噪声、照度多参数楼层级连续监测并公示；数据接入智慧边平台</w:t>
            </w:r>
          </w:p>
        </w:tc>
        <w:tc>
          <w:tcPr>
            <w:tcW w:type="dxa" w:w="1671"/>
          </w:tcPr>
          <w:p>
            <w:pPr>
              <w:spacing w:before="0" w:after="0" w:line="276" w:lineRule="auto"/>
            </w:pPr>
            <w:r/>
            <w:r>
              <w:rPr>
                <w:rFonts w:ascii="Times New Roman" w:hAnsi="Times New Roman" w:eastAsia="宋体"/>
                <w:b w:val="0"/>
                <w:color w:val="1F1F1F"/>
                <w:sz w:val="18"/>
              </w:rPr>
              <w:t>监测点位覆盖率；各参数达标时长占比（阈值按国家标准，待核）</w:t>
            </w:r>
          </w:p>
        </w:tc>
        <w:tc>
          <w:tcPr>
            <w:tcW w:type="dxa" w:w="1455"/>
          </w:tcPr>
          <w:p>
            <w:pPr>
              <w:spacing w:before="0" w:after="0" w:line="276" w:lineRule="auto"/>
            </w:pPr>
            <w:r/>
            <w:r>
              <w:rPr>
                <w:rFonts w:ascii="Times New Roman" w:hAnsi="Times New Roman" w:eastAsia="宋体"/>
                <w:b w:val="0"/>
                <w:color w:val="1F1F1F"/>
                <w:sz w:val="18"/>
              </w:rPr>
              <w:t>沉淀为环境监测指标集与公示规则</w:t>
            </w:r>
          </w:p>
        </w:tc>
      </w:tr>
      <w:tr>
        <w:trPr>
          <w:cantSplit/>
        </w:trPr>
        <w:tc>
          <w:tcPr>
            <w:tcW w:type="dxa" w:w="1080"/>
          </w:tcPr>
          <w:p>
            <w:pPr>
              <w:spacing w:before="0" w:after="0" w:line="276" w:lineRule="auto"/>
            </w:pPr>
            <w:r/>
            <w:r>
              <w:rPr>
                <w:rFonts w:ascii="Times New Roman" w:hAnsi="Times New Roman" w:eastAsia="宋体"/>
                <w:b w:val="0"/>
                <w:color w:val="1F1F1F"/>
                <w:sz w:val="18"/>
              </w:rPr>
              <w:t>H2</w:t>
            </w:r>
          </w:p>
        </w:tc>
        <w:tc>
          <w:tcPr>
            <w:tcW w:type="dxa" w:w="1260"/>
          </w:tcPr>
          <w:p>
            <w:pPr>
              <w:spacing w:before="0" w:after="0" w:line="276" w:lineRule="auto"/>
            </w:pPr>
            <w:r/>
            <w:r>
              <w:rPr>
                <w:rFonts w:ascii="Times New Roman" w:hAnsi="Times New Roman" w:eastAsia="宋体"/>
                <w:b w:val="0"/>
                <w:color w:val="1F1F1F"/>
                <w:sz w:val="18"/>
              </w:rPr>
              <w:t>新风与空气净化改造</w:t>
            </w:r>
          </w:p>
        </w:tc>
        <w:tc>
          <w:tcPr>
            <w:tcW w:type="dxa" w:w="1138"/>
          </w:tcPr>
          <w:p>
            <w:pPr>
              <w:spacing w:before="0" w:after="0" w:line="276" w:lineRule="auto"/>
            </w:pPr>
            <w:r/>
            <w:r>
              <w:rPr>
                <w:rFonts w:ascii="Times New Roman" w:hAnsi="Times New Roman" w:eastAsia="宋体"/>
                <w:b w:val="0"/>
                <w:color w:val="1F1F1F"/>
                <w:sz w:val="18"/>
              </w:rPr>
              <w:t>物理改造</w:t>
            </w:r>
          </w:p>
        </w:tc>
        <w:tc>
          <w:tcPr>
            <w:tcW w:type="dxa" w:w="2240"/>
          </w:tcPr>
          <w:p>
            <w:pPr>
              <w:spacing w:before="0" w:after="0" w:line="276" w:lineRule="auto"/>
            </w:pPr>
            <w:r/>
            <w:r>
              <w:rPr>
                <w:rFonts w:ascii="Times New Roman" w:hAnsi="Times New Roman" w:eastAsia="宋体"/>
                <w:b w:val="0"/>
                <w:color w:val="1F1F1F"/>
                <w:sz w:val="18"/>
              </w:rPr>
              <w:t>风系统诊断与冷站诊断同步；新风量校核、过滤净化升级；与 E1、E2 互锁</w:t>
            </w:r>
          </w:p>
        </w:tc>
        <w:tc>
          <w:tcPr>
            <w:tcW w:type="dxa" w:w="1671"/>
          </w:tcPr>
          <w:p>
            <w:pPr>
              <w:spacing w:before="0" w:after="0" w:line="276" w:lineRule="auto"/>
            </w:pPr>
            <w:r/>
            <w:r>
              <w:rPr>
                <w:rFonts w:ascii="Times New Roman" w:hAnsi="Times New Roman" w:eastAsia="宋体"/>
                <w:b w:val="0"/>
                <w:color w:val="1F1F1F"/>
                <w:sz w:val="18"/>
              </w:rPr>
              <w:t>CO₂ 达标时长占比不因节能改造下降</w:t>
            </w:r>
          </w:p>
        </w:tc>
        <w:tc>
          <w:tcPr>
            <w:tcW w:type="dxa" w:w="1455"/>
          </w:tcPr>
          <w:p>
            <w:pPr>
              <w:spacing w:before="0" w:after="0" w:line="276" w:lineRule="auto"/>
            </w:pPr>
            <w:r/>
            <w:r>
              <w:rPr>
                <w:rFonts w:ascii="Times New Roman" w:hAnsi="Times New Roman" w:eastAsia="宋体"/>
                <w:b w:val="0"/>
                <w:color w:val="1F1F1F"/>
                <w:sz w:val="18"/>
              </w:rPr>
              <w:t>沉淀为节能与健康互锁 SOP</w:t>
            </w:r>
          </w:p>
        </w:tc>
      </w:tr>
      <w:tr>
        <w:trPr>
          <w:cantSplit/>
        </w:trPr>
        <w:tc>
          <w:tcPr>
            <w:tcW w:type="dxa" w:w="1080"/>
          </w:tcPr>
          <w:p>
            <w:pPr>
              <w:spacing w:before="0" w:after="0" w:line="276" w:lineRule="auto"/>
            </w:pPr>
            <w:r/>
            <w:r>
              <w:rPr>
                <w:rFonts w:ascii="Times New Roman" w:hAnsi="Times New Roman" w:eastAsia="宋体"/>
                <w:b w:val="0"/>
                <w:color w:val="1F1F1F"/>
                <w:sz w:val="18"/>
              </w:rPr>
              <w:t>H3</w:t>
            </w:r>
          </w:p>
        </w:tc>
        <w:tc>
          <w:tcPr>
            <w:tcW w:type="dxa" w:w="1260"/>
          </w:tcPr>
          <w:p>
            <w:pPr>
              <w:spacing w:before="0" w:after="0" w:line="276" w:lineRule="auto"/>
            </w:pPr>
            <w:r/>
            <w:r>
              <w:rPr>
                <w:rFonts w:ascii="Times New Roman" w:hAnsi="Times New Roman" w:eastAsia="宋体"/>
                <w:b w:val="0"/>
                <w:color w:val="1F1F1F"/>
                <w:sz w:val="18"/>
              </w:rPr>
              <w:t>健康照明与工位微环境</w:t>
            </w:r>
          </w:p>
        </w:tc>
        <w:tc>
          <w:tcPr>
            <w:tcW w:type="dxa" w:w="1138"/>
          </w:tcPr>
          <w:p>
            <w:pPr>
              <w:spacing w:before="0" w:after="0" w:line="276" w:lineRule="auto"/>
            </w:pPr>
            <w:r/>
            <w:r>
              <w:rPr>
                <w:rFonts w:ascii="Times New Roman" w:hAnsi="Times New Roman" w:eastAsia="宋体"/>
                <w:b w:val="0"/>
                <w:color w:val="1F1F1F"/>
                <w:sz w:val="18"/>
              </w:rPr>
              <w:t>物理改造</w:t>
            </w:r>
          </w:p>
        </w:tc>
        <w:tc>
          <w:tcPr>
            <w:tcW w:type="dxa" w:w="2240"/>
          </w:tcPr>
          <w:p>
            <w:pPr>
              <w:spacing w:before="0" w:after="0" w:line="276" w:lineRule="auto"/>
            </w:pPr>
            <w:r/>
            <w:r>
              <w:rPr>
                <w:rFonts w:ascii="Times New Roman" w:hAnsi="Times New Roman" w:eastAsia="宋体"/>
                <w:b w:val="0"/>
                <w:color w:val="1F1F1F"/>
                <w:sz w:val="18"/>
              </w:rPr>
              <w:t>办公区色温可调节律照明、眩光治理、工位个性化调节；与 E4 联动实施</w:t>
            </w:r>
          </w:p>
        </w:tc>
        <w:tc>
          <w:tcPr>
            <w:tcW w:type="dxa" w:w="1671"/>
          </w:tcPr>
          <w:p>
            <w:pPr>
              <w:spacing w:before="0" w:after="0" w:line="276" w:lineRule="auto"/>
            </w:pPr>
            <w:r/>
            <w:r>
              <w:rPr>
                <w:rFonts w:ascii="Times New Roman" w:hAnsi="Times New Roman" w:eastAsia="宋体"/>
                <w:b w:val="0"/>
                <w:color w:val="1F1F1F"/>
                <w:sz w:val="18"/>
              </w:rPr>
              <w:t>照度与眩光达标率；可个性化调节工位比例</w:t>
            </w:r>
          </w:p>
        </w:tc>
        <w:tc>
          <w:tcPr>
            <w:tcW w:type="dxa" w:w="1455"/>
          </w:tcPr>
          <w:p>
            <w:pPr>
              <w:spacing w:before="0" w:after="0" w:line="276" w:lineRule="auto"/>
            </w:pPr>
            <w:r/>
            <w:r>
              <w:rPr>
                <w:rFonts w:ascii="Times New Roman" w:hAnsi="Times New Roman" w:eastAsia="宋体"/>
                <w:b w:val="0"/>
                <w:color w:val="1F1F1F"/>
                <w:sz w:val="18"/>
              </w:rPr>
              <w:t>形成既有办公楼照明更新导则</w:t>
            </w:r>
          </w:p>
        </w:tc>
      </w:tr>
      <w:tr>
        <w:trPr>
          <w:cantSplit/>
        </w:trPr>
        <w:tc>
          <w:tcPr>
            <w:tcW w:type="dxa" w:w="1080"/>
          </w:tcPr>
          <w:p>
            <w:pPr>
              <w:spacing w:before="0" w:after="0" w:line="276" w:lineRule="auto"/>
            </w:pPr>
            <w:r/>
            <w:r>
              <w:rPr>
                <w:rFonts w:ascii="Times New Roman" w:hAnsi="Times New Roman" w:eastAsia="宋体"/>
                <w:b w:val="0"/>
                <w:color w:val="1F1F1F"/>
                <w:sz w:val="18"/>
              </w:rPr>
              <w:t>H4</w:t>
            </w:r>
          </w:p>
        </w:tc>
        <w:tc>
          <w:tcPr>
            <w:tcW w:type="dxa" w:w="1260"/>
          </w:tcPr>
          <w:p>
            <w:pPr>
              <w:spacing w:before="0" w:after="0" w:line="276" w:lineRule="auto"/>
            </w:pPr>
            <w:r/>
            <w:r>
              <w:rPr>
                <w:rFonts w:ascii="Times New Roman" w:hAnsi="Times New Roman" w:eastAsia="宋体"/>
                <w:b w:val="0"/>
                <w:color w:val="1F1F1F"/>
                <w:sz w:val="18"/>
              </w:rPr>
              <w:t>健身、休憩与心理健康</w:t>
            </w:r>
          </w:p>
        </w:tc>
        <w:tc>
          <w:tcPr>
            <w:tcW w:type="dxa" w:w="1138"/>
          </w:tcPr>
          <w:p>
            <w:pPr>
              <w:spacing w:before="0" w:after="0" w:line="276" w:lineRule="auto"/>
            </w:pPr>
            <w:r/>
            <w:r>
              <w:rPr>
                <w:rFonts w:ascii="Times New Roman" w:hAnsi="Times New Roman" w:eastAsia="宋体"/>
                <w:b w:val="0"/>
                <w:color w:val="1F1F1F"/>
                <w:sz w:val="18"/>
              </w:rPr>
              <w:t>物理改造 / SOP</w:t>
            </w:r>
          </w:p>
        </w:tc>
        <w:tc>
          <w:tcPr>
            <w:tcW w:type="dxa" w:w="2240"/>
          </w:tcPr>
          <w:p>
            <w:pPr>
              <w:spacing w:before="0" w:after="0" w:line="276" w:lineRule="auto"/>
            </w:pPr>
            <w:r/>
            <w:r>
              <w:rPr>
                <w:rFonts w:ascii="Times New Roman" w:hAnsi="Times New Roman" w:eastAsia="宋体"/>
                <w:b w:val="0"/>
                <w:color w:val="1F1F1F"/>
                <w:sz w:val="18"/>
              </w:rPr>
              <w:t>利用边角空间改造健身空间与步道、休憩节点；EAP 心理健康服务</w:t>
            </w:r>
          </w:p>
        </w:tc>
        <w:tc>
          <w:tcPr>
            <w:tcW w:type="dxa" w:w="1671"/>
          </w:tcPr>
          <w:p>
            <w:pPr>
              <w:spacing w:before="0" w:after="0" w:line="276" w:lineRule="auto"/>
            </w:pPr>
            <w:r/>
            <w:r>
              <w:rPr>
                <w:rFonts w:ascii="Times New Roman" w:hAnsi="Times New Roman" w:eastAsia="宋体"/>
                <w:b w:val="0"/>
                <w:color w:val="1F1F1F"/>
                <w:sz w:val="18"/>
              </w:rPr>
              <w:t>健身与休憩空间可达性；EAP 覆盖率</w:t>
            </w:r>
          </w:p>
        </w:tc>
        <w:tc>
          <w:tcPr>
            <w:tcW w:type="dxa" w:w="1455"/>
          </w:tcPr>
          <w:p>
            <w:pPr>
              <w:spacing w:before="0" w:after="0" w:line="276" w:lineRule="auto"/>
            </w:pPr>
            <w:r/>
            <w:r>
              <w:rPr>
                <w:rFonts w:ascii="Times New Roman" w:hAnsi="Times New Roman" w:eastAsia="宋体"/>
                <w:b w:val="0"/>
                <w:color w:val="1F1F1F"/>
                <w:sz w:val="18"/>
              </w:rPr>
              <w:t>进入获得感场景（与人文边 C4 衔接）</w:t>
            </w:r>
          </w:p>
        </w:tc>
      </w:tr>
      <w:tr>
        <w:trPr>
          <w:cantSplit/>
        </w:trPr>
        <w:tc>
          <w:tcPr>
            <w:tcW w:type="dxa" w:w="1080"/>
          </w:tcPr>
          <w:p>
            <w:pPr>
              <w:spacing w:before="0" w:after="0" w:line="276" w:lineRule="auto"/>
            </w:pPr>
            <w:r/>
            <w:r>
              <w:rPr>
                <w:rFonts w:ascii="Times New Roman" w:hAnsi="Times New Roman" w:eastAsia="宋体"/>
                <w:b w:val="0"/>
                <w:color w:val="1F1F1F"/>
                <w:sz w:val="18"/>
              </w:rPr>
              <w:t>H5</w:t>
            </w:r>
          </w:p>
        </w:tc>
        <w:tc>
          <w:tcPr>
            <w:tcW w:type="dxa" w:w="1260"/>
          </w:tcPr>
          <w:p>
            <w:pPr>
              <w:spacing w:before="0" w:after="0" w:line="276" w:lineRule="auto"/>
            </w:pPr>
            <w:r/>
            <w:r>
              <w:rPr>
                <w:rFonts w:ascii="Times New Roman" w:hAnsi="Times New Roman" w:eastAsia="宋体"/>
                <w:b w:val="0"/>
                <w:color w:val="1F1F1F"/>
                <w:sz w:val="18"/>
              </w:rPr>
              <w:t>健康数据治理</w:t>
            </w:r>
          </w:p>
        </w:tc>
        <w:tc>
          <w:tcPr>
            <w:tcW w:type="dxa" w:w="1138"/>
          </w:tcPr>
          <w:p>
            <w:pPr>
              <w:spacing w:before="0" w:after="0" w:line="276" w:lineRule="auto"/>
            </w:pPr>
            <w:r/>
            <w:r>
              <w:rPr>
                <w:rFonts w:ascii="Times New Roman" w:hAnsi="Times New Roman" w:eastAsia="宋体"/>
                <w:b w:val="0"/>
                <w:color w:val="1F1F1F"/>
                <w:sz w:val="18"/>
              </w:rPr>
              <w:t>SOP</w:t>
            </w:r>
          </w:p>
        </w:tc>
        <w:tc>
          <w:tcPr>
            <w:tcW w:type="dxa" w:w="2240"/>
          </w:tcPr>
          <w:p>
            <w:pPr>
              <w:spacing w:before="0" w:after="0" w:line="276" w:lineRule="auto"/>
            </w:pPr>
            <w:r/>
            <w:r>
              <w:rPr>
                <w:rFonts w:ascii="Times New Roman" w:hAnsi="Times New Roman" w:eastAsia="宋体"/>
                <w:b w:val="0"/>
                <w:color w:val="1F1F1F"/>
                <w:sz w:val="18"/>
              </w:rPr>
              <w:t>健康与环境数据仅用于环境改善与验收；个人隐私边界与访问权限书面化</w:t>
            </w:r>
          </w:p>
        </w:tc>
        <w:tc>
          <w:tcPr>
            <w:tcW w:type="dxa" w:w="1671"/>
          </w:tcPr>
          <w:p>
            <w:pPr>
              <w:spacing w:before="0" w:after="0" w:line="276" w:lineRule="auto"/>
            </w:pPr>
            <w:r/>
            <w:r>
              <w:rPr>
                <w:rFonts w:ascii="Times New Roman" w:hAnsi="Times New Roman" w:eastAsia="宋体"/>
                <w:b w:val="0"/>
                <w:color w:val="1F1F1F"/>
                <w:sz w:val="18"/>
              </w:rPr>
              <w:t>数据用途清单与权限规则发布</w:t>
            </w:r>
          </w:p>
        </w:tc>
        <w:tc>
          <w:tcPr>
            <w:tcW w:type="dxa" w:w="1455"/>
          </w:tcPr>
          <w:p>
            <w:pPr>
              <w:spacing w:before="0" w:after="0" w:line="276" w:lineRule="auto"/>
            </w:pPr>
            <w:r/>
            <w:r>
              <w:rPr>
                <w:rFonts w:ascii="Times New Roman" w:hAnsi="Times New Roman" w:eastAsia="宋体"/>
                <w:b w:val="0"/>
                <w:color w:val="1F1F1F"/>
                <w:sz w:val="18"/>
              </w:rPr>
              <w:t>沉淀为健康数据治理规则</w:t>
            </w:r>
          </w:p>
        </w:tc>
      </w:tr>
    </w:tbl>
    <w:p>
      <w:pPr>
        <w:spacing w:after="80"/>
      </w:pPr>
    </w:p>
    <w:p>
      <w:pPr>
        <w:pStyle w:val="Heading2"/>
        <w:keepNext/>
        <w:spacing w:before="240" w:after="120" w:line="360" w:lineRule="auto"/>
      </w:pPr>
      <w:r>
        <w:rPr>
          <w:rFonts w:ascii="Times New Roman" w:hAnsi="Times New Roman" w:eastAsia="黑体"/>
          <w:b w:val="0"/>
          <w:color w:val="1F1F1F"/>
          <w:sz w:val="28"/>
        </w:rPr>
        <w:t>四、对标参照（待核）</w:t>
      </w:r>
    </w:p>
    <w:p>
      <w:pPr>
        <w:spacing w:before="0" w:after="80" w:line="360" w:lineRule="auto"/>
        <w:ind w:left="480" w:hanging="240"/>
      </w:pPr>
      <w:r>
        <w:rPr>
          <w:rFonts w:ascii="Times New Roman" w:hAnsi="Times New Roman" w:eastAsia="仿宋_GB2312"/>
          <w:b w:val="0"/>
          <w:color w:val="1F1F1F"/>
          <w:sz w:val="24"/>
        </w:rPr>
        <w:t>▪ WELL 既有建筑路径与健康建筑相关标准：以运行监测替代设计文档举证的指标框架【公开标准资料，对标案例，待核】。</w:t>
      </w:r>
    </w:p>
    <w:p>
      <w:pPr>
        <w:spacing w:before="0" w:after="80" w:line="360" w:lineRule="auto"/>
        <w:ind w:left="480" w:hanging="240"/>
      </w:pPr>
      <w:r>
        <w:rPr>
          <w:rFonts w:ascii="Times New Roman" w:hAnsi="Times New Roman" w:eastAsia="仿宋_GB2312"/>
          <w:b w:val="0"/>
          <w:color w:val="1F1F1F"/>
          <w:sz w:val="24"/>
        </w:rPr>
        <w:t>▪ The Edge 员工 App 调光调温、Apple Park 自然通风：第四轮赛马所引水位参照【对标案例，待核】，不作实施对标。</w:t>
      </w:r>
    </w:p>
    <w:p>
      <w:pPr>
        <w:pStyle w:val="Heading2"/>
        <w:keepNext/>
        <w:spacing w:before="240" w:after="120" w:line="360" w:lineRule="auto"/>
      </w:pPr>
      <w:r>
        <w:rPr>
          <w:rFonts w:ascii="Times New Roman" w:hAnsi="Times New Roman" w:eastAsia="黑体"/>
          <w:b w:val="0"/>
          <w:color w:val="1F1F1F"/>
          <w:sz w:val="28"/>
        </w:rPr>
        <w:t>五、向核沉淀什么</w:t>
      </w:r>
    </w:p>
    <w:p>
      <w:pPr>
        <w:spacing w:before="0" w:after="120" w:line="360" w:lineRule="auto"/>
        <w:ind w:firstLine="480"/>
      </w:pPr>
      <w:r>
        <w:rPr>
          <w:rFonts w:ascii="Times New Roman" w:hAnsi="Times New Roman" w:eastAsia="仿宋_GB2312"/>
          <w:b w:val="0"/>
          <w:color w:val="1F1F1F"/>
          <w:sz w:val="24"/>
        </w:rPr>
        <w:t>环境监测指标集、节能与健康互锁 SOP、健康数据治理规则。本边保证“少用电”不以“坏空气”为代价，是方法论中“以人为本改造”的硬约束部分。</w:t>
      </w:r>
    </w:p>
    <w:p>
      <w:pPr>
        <w:pStyle w:val="Heading1"/>
        <w:keepNext/>
        <w:pageBreakBefore/>
        <w:spacing w:before="360" w:after="240" w:line="360" w:lineRule="auto"/>
        <w:jc w:val="center"/>
      </w:pPr>
      <w:r>
        <w:rPr>
          <w:rFonts w:ascii="Times New Roman" w:hAnsi="Times New Roman" w:eastAsia="黑体"/>
          <w:b w:val="0"/>
          <w:color w:val="1F1F1F"/>
          <w:sz w:val="32"/>
        </w:rPr>
        <w:t>第十章 人文：场所品质与文化</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人文边独立于健康，管“能感受到的场所与文化”：在风貌与外立面不可大改的约束下做针灸式更新，以半开放空间与岭南微气候营造场所，以真实运行系统为展项承载电网文化与双碳科普，把六边成果转成员工可感的日常体验。不建独立展馆，不做展台。</w:t>
      </w:r>
    </w:p>
    <w:p>
      <w:pPr>
        <w:pStyle w:val="Heading2"/>
        <w:keepNext/>
        <w:spacing w:before="240" w:after="120" w:line="360" w:lineRule="auto"/>
      </w:pPr>
      <w:r>
        <w:rPr>
          <w:rFonts w:ascii="Times New Roman" w:hAnsi="Times New Roman" w:eastAsia="黑体"/>
          <w:b w:val="0"/>
          <w:color w:val="1F1F1F"/>
          <w:sz w:val="28"/>
        </w:rPr>
        <w:t>一、是什么：园区验证什么</w:t>
      </w:r>
    </w:p>
    <w:p>
      <w:pPr>
        <w:spacing w:before="0" w:after="120" w:line="360" w:lineRule="auto"/>
        <w:ind w:firstLine="480"/>
      </w:pPr>
      <w:r>
        <w:rPr>
          <w:rFonts w:ascii="Times New Roman" w:hAnsi="Times New Roman" w:eastAsia="仿宋_GB2312"/>
          <w:b w:val="0"/>
          <w:color w:val="1F1F1F"/>
          <w:sz w:val="24"/>
        </w:rPr>
        <w:t>人文边在基地验证两件事：一是不动立面、不停机的既有园区能否通过小尺度更新提升场所品质并形成辨识度；二是六边的成果（碳账、调控、平台、普惠、健康）能否被员工在日常中感受到，并成为来访者理解南网战略资产的现场证言。</w:t>
      </w:r>
    </w:p>
    <w:p>
      <w:pPr>
        <w:pStyle w:val="Heading2"/>
        <w:keepNext/>
        <w:spacing w:before="240" w:after="120" w:line="360" w:lineRule="auto"/>
      </w:pPr>
      <w:r>
        <w:rPr>
          <w:rFonts w:ascii="Times New Roman" w:hAnsi="Times New Roman" w:eastAsia="黑体"/>
          <w:b w:val="0"/>
          <w:color w:val="1F1F1F"/>
          <w:sz w:val="28"/>
        </w:rPr>
        <w:t>二、为什么</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约束转特色。</w:t>
      </w:r>
      <w:r>
        <w:rPr>
          <w:rFonts w:ascii="Times New Roman" w:hAnsi="Times New Roman" w:eastAsia="仿宋_GB2312"/>
          <w:b w:val="0"/>
          <w:color w:val="1F1F1F"/>
          <w:sz w:val="24"/>
        </w:rPr>
        <w:t xml:space="preserve"> 既有建筑历史风貌与外立面不可大改【交流纪要，待核】，总部基地的辨识度恰在风貌延续；大拆大改叙事是 V3 的教训，不再重复。</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名片靠证据。</w:t>
      </w:r>
      <w:r>
        <w:rPr>
          <w:rFonts w:ascii="Times New Roman" w:hAnsi="Times New Roman" w:eastAsia="仿宋_GB2312"/>
          <w:b w:val="0"/>
          <w:color w:val="1F1F1F"/>
          <w:sz w:val="24"/>
        </w:rPr>
        <w:t xml:space="preserve"> 基地是南网整体的名片，名片的内容是真在跑的系统与账本，不是模型与大屏。来访接待动线即复制叙事的第一触点。</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获得感是六边的用户界面。</w:t>
      </w:r>
      <w:r>
        <w:rPr>
          <w:rFonts w:ascii="Times New Roman" w:hAnsi="Times New Roman" w:eastAsia="仿宋_GB2312"/>
          <w:b w:val="0"/>
          <w:color w:val="1F1F1F"/>
          <w:sz w:val="24"/>
        </w:rPr>
        <w:t xml:space="preserve"> 8 月 27 日工作安排明确员工获得感不停留在证书层面；人文边负责把其他五边的成果转成空间、活动与参与感。</w:t>
      </w:r>
    </w:p>
    <w:p>
      <w:pPr>
        <w:pStyle w:val="Heading2"/>
        <w:keepNext/>
        <w:spacing w:before="240" w:after="120" w:line="360" w:lineRule="auto"/>
      </w:pPr>
      <w:r>
        <w:rPr>
          <w:rFonts w:ascii="Times New Roman" w:hAnsi="Times New Roman" w:eastAsia="黑体"/>
          <w:b w:val="0"/>
          <w:color w:val="1F1F1F"/>
          <w:sz w:val="28"/>
        </w:rPr>
        <w:t>三、怎么做：工作包</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61"/>
        <w:gridCol w:w="1253"/>
        <w:gridCol w:w="1130"/>
        <w:gridCol w:w="2292"/>
        <w:gridCol w:w="1738"/>
        <w:gridCol w:w="1369"/>
      </w:tblGrid>
      <w:tr>
        <w:trPr>
          <w:cantSplit/>
          <w:tblHeader/>
        </w:trPr>
        <w:tc>
          <w:tcPr>
            <w:tcW w:type="dxa" w:w="1061"/>
            <w:shd w:val="clear" w:color="auto" w:fill="E7EEF3"/>
          </w:tcPr>
          <w:p>
            <w:pPr>
              <w:keepNext/>
              <w:spacing w:before="0" w:after="0" w:line="276" w:lineRule="auto"/>
            </w:pPr>
            <w:r/>
            <w:r>
              <w:rPr>
                <w:rFonts w:ascii="Times New Roman" w:hAnsi="Times New Roman" w:eastAsia="宋体"/>
                <w:b/>
                <w:color w:val="1F1F1F"/>
                <w:sz w:val="18"/>
              </w:rPr>
              <w:t>编号</w:t>
            </w:r>
          </w:p>
        </w:tc>
        <w:tc>
          <w:tcPr>
            <w:tcW w:type="dxa" w:w="1253"/>
            <w:shd w:val="clear" w:color="auto" w:fill="E7EEF3"/>
          </w:tcPr>
          <w:p>
            <w:pPr>
              <w:keepNext/>
              <w:spacing w:before="0" w:after="0" w:line="276" w:lineRule="auto"/>
            </w:pPr>
            <w:r/>
            <w:r>
              <w:rPr>
                <w:rFonts w:ascii="Times New Roman" w:hAnsi="Times New Roman" w:eastAsia="宋体"/>
                <w:b/>
                <w:color w:val="1F1F1F"/>
                <w:sz w:val="18"/>
              </w:rPr>
              <w:t>工作包</w:t>
            </w:r>
          </w:p>
        </w:tc>
        <w:tc>
          <w:tcPr>
            <w:tcW w:type="dxa" w:w="1130"/>
            <w:shd w:val="clear" w:color="auto" w:fill="E7EEF3"/>
          </w:tcPr>
          <w:p>
            <w:pPr>
              <w:keepNext/>
              <w:spacing w:before="0" w:after="0" w:line="276" w:lineRule="auto"/>
            </w:pPr>
            <w:r/>
            <w:r>
              <w:rPr>
                <w:rFonts w:ascii="Times New Roman" w:hAnsi="Times New Roman" w:eastAsia="宋体"/>
                <w:b/>
                <w:color w:val="1F1F1F"/>
                <w:sz w:val="18"/>
              </w:rPr>
              <w:t>类型</w:t>
            </w:r>
          </w:p>
        </w:tc>
        <w:tc>
          <w:tcPr>
            <w:tcW w:type="dxa" w:w="2292"/>
            <w:shd w:val="clear" w:color="auto" w:fill="E7EEF3"/>
          </w:tcPr>
          <w:p>
            <w:pPr>
              <w:keepNext/>
              <w:spacing w:before="0" w:after="0" w:line="276" w:lineRule="auto"/>
            </w:pPr>
            <w:r/>
            <w:r>
              <w:rPr>
                <w:rFonts w:ascii="Times New Roman" w:hAnsi="Times New Roman" w:eastAsia="宋体"/>
                <w:b/>
                <w:color w:val="1F1F1F"/>
                <w:sz w:val="18"/>
              </w:rPr>
              <w:t>内容与落点</w:t>
            </w:r>
          </w:p>
        </w:tc>
        <w:tc>
          <w:tcPr>
            <w:tcW w:type="dxa" w:w="1738"/>
            <w:shd w:val="clear" w:color="auto" w:fill="E7EEF3"/>
          </w:tcPr>
          <w:p>
            <w:pPr>
              <w:keepNext/>
              <w:spacing w:before="0" w:after="0" w:line="276" w:lineRule="auto"/>
            </w:pPr>
            <w:r/>
            <w:r>
              <w:rPr>
                <w:rFonts w:ascii="Times New Roman" w:hAnsi="Times New Roman" w:eastAsia="宋体"/>
                <w:b/>
                <w:color w:val="1F1F1F"/>
                <w:sz w:val="18"/>
              </w:rPr>
              <w:t>可检查指标（方向）</w:t>
            </w:r>
          </w:p>
        </w:tc>
        <w:tc>
          <w:tcPr>
            <w:tcW w:type="dxa" w:w="1369"/>
            <w:shd w:val="clear" w:color="auto" w:fill="E7EEF3"/>
          </w:tcPr>
          <w:p>
            <w:pPr>
              <w:keepNext/>
              <w:spacing w:before="0" w:after="0" w:line="276" w:lineRule="auto"/>
            </w:pPr>
            <w:r/>
            <w:r>
              <w:rPr>
                <w:rFonts w:ascii="Times New Roman" w:hAnsi="Times New Roman" w:eastAsia="宋体"/>
                <w:b/>
                <w:color w:val="1F1F1F"/>
                <w:sz w:val="18"/>
              </w:rPr>
              <w:t>转化路径</w:t>
            </w:r>
          </w:p>
        </w:tc>
      </w:tr>
      <w:tr>
        <w:trPr>
          <w:cantSplit/>
        </w:trPr>
        <w:tc>
          <w:tcPr>
            <w:tcW w:type="dxa" w:w="1061"/>
          </w:tcPr>
          <w:p>
            <w:pPr>
              <w:spacing w:before="0" w:after="0" w:line="276" w:lineRule="auto"/>
            </w:pPr>
            <w:r/>
            <w:r>
              <w:rPr>
                <w:rFonts w:ascii="Times New Roman" w:hAnsi="Times New Roman" w:eastAsia="宋体"/>
                <w:b w:val="0"/>
                <w:color w:val="1F1F1F"/>
                <w:sz w:val="18"/>
              </w:rPr>
              <w:t>C1</w:t>
            </w:r>
          </w:p>
        </w:tc>
        <w:tc>
          <w:tcPr>
            <w:tcW w:type="dxa" w:w="1253"/>
          </w:tcPr>
          <w:p>
            <w:pPr>
              <w:spacing w:before="0" w:after="0" w:line="276" w:lineRule="auto"/>
            </w:pPr>
            <w:r/>
            <w:r>
              <w:rPr>
                <w:rFonts w:ascii="Times New Roman" w:hAnsi="Times New Roman" w:eastAsia="宋体"/>
                <w:b w:val="0"/>
                <w:color w:val="1F1F1F"/>
                <w:sz w:val="18"/>
              </w:rPr>
              <w:t>风貌保护下的针灸式更新</w:t>
            </w:r>
          </w:p>
        </w:tc>
        <w:tc>
          <w:tcPr>
            <w:tcW w:type="dxa" w:w="1130"/>
          </w:tcPr>
          <w:p>
            <w:pPr>
              <w:spacing w:before="0" w:after="0" w:line="276" w:lineRule="auto"/>
            </w:pPr>
            <w:r/>
            <w:r>
              <w:rPr>
                <w:rFonts w:ascii="Times New Roman" w:hAnsi="Times New Roman" w:eastAsia="宋体"/>
                <w:b w:val="0"/>
                <w:color w:val="1F1F1F"/>
                <w:sz w:val="18"/>
              </w:rPr>
              <w:t>物理改造 / SOP</w:t>
            </w:r>
          </w:p>
        </w:tc>
        <w:tc>
          <w:tcPr>
            <w:tcW w:type="dxa" w:w="2292"/>
          </w:tcPr>
          <w:p>
            <w:pPr>
              <w:spacing w:before="0" w:after="0" w:line="276" w:lineRule="auto"/>
            </w:pPr>
            <w:r/>
            <w:r>
              <w:rPr>
                <w:rFonts w:ascii="Times New Roman" w:hAnsi="Times New Roman" w:eastAsia="宋体"/>
                <w:b w:val="0"/>
                <w:color w:val="1F1F1F"/>
                <w:sz w:val="18"/>
              </w:rPr>
              <w:t>入口、连廊、庭院、灰空间等小尺度节点提升，替代立面改造；形成风貌约束下的更新导则</w:t>
            </w:r>
          </w:p>
        </w:tc>
        <w:tc>
          <w:tcPr>
            <w:tcW w:type="dxa" w:w="1738"/>
          </w:tcPr>
          <w:p>
            <w:pPr>
              <w:spacing w:before="0" w:after="0" w:line="276" w:lineRule="auto"/>
            </w:pPr>
            <w:r/>
            <w:r>
              <w:rPr>
                <w:rFonts w:ascii="Times New Roman" w:hAnsi="Times New Roman" w:eastAsia="宋体"/>
                <w:b w:val="0"/>
                <w:color w:val="1F1F1F"/>
                <w:sz w:val="18"/>
              </w:rPr>
              <w:t>更新节点清单与完成率；无立面大改</w:t>
            </w:r>
          </w:p>
        </w:tc>
        <w:tc>
          <w:tcPr>
            <w:tcW w:type="dxa" w:w="1369"/>
          </w:tcPr>
          <w:p>
            <w:pPr>
              <w:spacing w:before="0" w:after="0" w:line="276" w:lineRule="auto"/>
            </w:pPr>
            <w:r/>
            <w:r>
              <w:rPr>
                <w:rFonts w:ascii="Times New Roman" w:hAnsi="Times New Roman" w:eastAsia="宋体"/>
                <w:b w:val="0"/>
                <w:color w:val="1F1F1F"/>
                <w:sz w:val="18"/>
              </w:rPr>
              <w:t>沉淀为既有园区更新导则</w:t>
            </w:r>
          </w:p>
        </w:tc>
      </w:tr>
      <w:tr>
        <w:trPr>
          <w:cantSplit/>
        </w:trPr>
        <w:tc>
          <w:tcPr>
            <w:tcW w:type="dxa" w:w="1061"/>
          </w:tcPr>
          <w:p>
            <w:pPr>
              <w:spacing w:before="0" w:after="0" w:line="276" w:lineRule="auto"/>
            </w:pPr>
            <w:r/>
            <w:r>
              <w:rPr>
                <w:rFonts w:ascii="Times New Roman" w:hAnsi="Times New Roman" w:eastAsia="宋体"/>
                <w:b w:val="0"/>
                <w:color w:val="1F1F1F"/>
                <w:sz w:val="18"/>
              </w:rPr>
              <w:t>C2</w:t>
            </w:r>
          </w:p>
        </w:tc>
        <w:tc>
          <w:tcPr>
            <w:tcW w:type="dxa" w:w="1253"/>
          </w:tcPr>
          <w:p>
            <w:pPr>
              <w:spacing w:before="0" w:after="0" w:line="276" w:lineRule="auto"/>
            </w:pPr>
            <w:r/>
            <w:r>
              <w:rPr>
                <w:rFonts w:ascii="Times New Roman" w:hAnsi="Times New Roman" w:eastAsia="宋体"/>
                <w:b w:val="0"/>
                <w:color w:val="1F1F1F"/>
                <w:sz w:val="18"/>
              </w:rPr>
              <w:t>半开放空间与岭南微气候</w:t>
            </w:r>
          </w:p>
        </w:tc>
        <w:tc>
          <w:tcPr>
            <w:tcW w:type="dxa" w:w="1130"/>
          </w:tcPr>
          <w:p>
            <w:pPr>
              <w:spacing w:before="0" w:after="0" w:line="276" w:lineRule="auto"/>
            </w:pPr>
            <w:r/>
            <w:r>
              <w:rPr>
                <w:rFonts w:ascii="Times New Roman" w:hAnsi="Times New Roman" w:eastAsia="宋体"/>
                <w:b w:val="0"/>
                <w:color w:val="1F1F1F"/>
                <w:sz w:val="18"/>
              </w:rPr>
              <w:t>物理改造</w:t>
            </w:r>
          </w:p>
        </w:tc>
        <w:tc>
          <w:tcPr>
            <w:tcW w:type="dxa" w:w="2292"/>
          </w:tcPr>
          <w:p>
            <w:pPr>
              <w:spacing w:before="0" w:after="0" w:line="276" w:lineRule="auto"/>
            </w:pPr>
            <w:r/>
            <w:r>
              <w:rPr>
                <w:rFonts w:ascii="Times New Roman" w:hAnsi="Times New Roman" w:eastAsia="宋体"/>
                <w:b w:val="0"/>
                <w:color w:val="1F1F1F"/>
                <w:sz w:val="18"/>
              </w:rPr>
              <w:t>遮阳、通风廊道、乔木与庭院组织，适应湿热气候；1 号楼后空地等场地纳入试点比选【交流纪要，待核】；与绿色边 G6 共用界面</w:t>
            </w:r>
          </w:p>
        </w:tc>
        <w:tc>
          <w:tcPr>
            <w:tcW w:type="dxa" w:w="1738"/>
          </w:tcPr>
          <w:p>
            <w:pPr>
              <w:spacing w:before="0" w:after="0" w:line="276" w:lineRule="auto"/>
            </w:pPr>
            <w:r/>
            <w:r>
              <w:rPr>
                <w:rFonts w:ascii="Times New Roman" w:hAnsi="Times New Roman" w:eastAsia="宋体"/>
                <w:b w:val="0"/>
                <w:color w:val="1F1F1F"/>
                <w:sz w:val="18"/>
              </w:rPr>
              <w:t>半开放空间面积与使用率；微气候实测改善（值待实测）</w:t>
            </w:r>
          </w:p>
        </w:tc>
        <w:tc>
          <w:tcPr>
            <w:tcW w:type="dxa" w:w="1369"/>
          </w:tcPr>
          <w:p>
            <w:pPr>
              <w:spacing w:before="0" w:after="0" w:line="276" w:lineRule="auto"/>
            </w:pPr>
            <w:r/>
            <w:r>
              <w:rPr>
                <w:rFonts w:ascii="Times New Roman" w:hAnsi="Times New Roman" w:eastAsia="宋体"/>
                <w:b w:val="0"/>
                <w:color w:val="1F1F1F"/>
                <w:sz w:val="18"/>
              </w:rPr>
              <w:t>形成岭南既有园区微气候改造做法</w:t>
            </w:r>
          </w:p>
        </w:tc>
      </w:tr>
      <w:tr>
        <w:trPr>
          <w:cantSplit/>
        </w:trPr>
        <w:tc>
          <w:tcPr>
            <w:tcW w:type="dxa" w:w="1061"/>
          </w:tcPr>
          <w:p>
            <w:pPr>
              <w:spacing w:before="0" w:after="0" w:line="276" w:lineRule="auto"/>
            </w:pPr>
            <w:r/>
            <w:r>
              <w:rPr>
                <w:rFonts w:ascii="Times New Roman" w:hAnsi="Times New Roman" w:eastAsia="宋体"/>
                <w:b w:val="0"/>
                <w:color w:val="1F1F1F"/>
                <w:sz w:val="18"/>
              </w:rPr>
              <w:t>C3</w:t>
            </w:r>
          </w:p>
        </w:tc>
        <w:tc>
          <w:tcPr>
            <w:tcW w:type="dxa" w:w="1253"/>
          </w:tcPr>
          <w:p>
            <w:pPr>
              <w:spacing w:before="0" w:after="0" w:line="276" w:lineRule="auto"/>
            </w:pPr>
            <w:r/>
            <w:r>
              <w:rPr>
                <w:rFonts w:ascii="Times New Roman" w:hAnsi="Times New Roman" w:eastAsia="宋体"/>
                <w:b w:val="0"/>
                <w:color w:val="1F1F1F"/>
                <w:sz w:val="18"/>
              </w:rPr>
              <w:t>电网文化与双碳科普展示</w:t>
            </w:r>
          </w:p>
        </w:tc>
        <w:tc>
          <w:tcPr>
            <w:tcW w:type="dxa" w:w="1130"/>
          </w:tcPr>
          <w:p>
            <w:pPr>
              <w:spacing w:before="0" w:after="0" w:line="276" w:lineRule="auto"/>
            </w:pPr>
            <w:r/>
            <w:r>
              <w:rPr>
                <w:rFonts w:ascii="Times New Roman" w:hAnsi="Times New Roman" w:eastAsia="宋体"/>
                <w:b w:val="0"/>
                <w:color w:val="1F1F1F"/>
                <w:sz w:val="18"/>
              </w:rPr>
              <w:t>SOP / 物理改造</w:t>
            </w:r>
          </w:p>
        </w:tc>
        <w:tc>
          <w:tcPr>
            <w:tcW w:type="dxa" w:w="2292"/>
          </w:tcPr>
          <w:p>
            <w:pPr>
              <w:spacing w:before="0" w:after="0" w:line="276" w:lineRule="auto"/>
            </w:pPr>
            <w:r/>
            <w:r>
              <w:rPr>
                <w:rFonts w:ascii="Times New Roman" w:hAnsi="Times New Roman" w:eastAsia="宋体"/>
                <w:b w:val="0"/>
                <w:color w:val="1F1F1F"/>
                <w:sz w:val="18"/>
              </w:rPr>
              <w:t>以冷站运行数据、碳账本、柔性调控实况等真实系统为展项，组织参观动线；辅以电网历史与双碳叙事；不建独立展馆</w:t>
            </w:r>
          </w:p>
        </w:tc>
        <w:tc>
          <w:tcPr>
            <w:tcW w:type="dxa" w:w="1738"/>
          </w:tcPr>
          <w:p>
            <w:pPr>
              <w:spacing w:before="0" w:after="0" w:line="276" w:lineRule="auto"/>
            </w:pPr>
            <w:r/>
            <w:r>
              <w:rPr>
                <w:rFonts w:ascii="Times New Roman" w:hAnsi="Times New Roman" w:eastAsia="宋体"/>
                <w:b w:val="0"/>
                <w:color w:val="1F1F1F"/>
                <w:sz w:val="18"/>
              </w:rPr>
              <w:t>参观动线以真实运行系统为主体；来访接待与公众开放日次数</w:t>
            </w:r>
          </w:p>
        </w:tc>
        <w:tc>
          <w:tcPr>
            <w:tcW w:type="dxa" w:w="1369"/>
          </w:tcPr>
          <w:p>
            <w:pPr>
              <w:spacing w:before="0" w:after="0" w:line="276" w:lineRule="auto"/>
            </w:pPr>
            <w:r/>
            <w:r>
              <w:rPr>
                <w:rFonts w:ascii="Times New Roman" w:hAnsi="Times New Roman" w:eastAsia="宋体"/>
                <w:b w:val="0"/>
                <w:color w:val="1F1F1F"/>
                <w:sz w:val="18"/>
              </w:rPr>
              <w:t>沉淀为“真实系统展项”动线与讲解手册</w:t>
            </w:r>
          </w:p>
        </w:tc>
      </w:tr>
      <w:tr>
        <w:trPr>
          <w:cantSplit/>
        </w:trPr>
        <w:tc>
          <w:tcPr>
            <w:tcW w:type="dxa" w:w="1061"/>
          </w:tcPr>
          <w:p>
            <w:pPr>
              <w:spacing w:before="0" w:after="0" w:line="276" w:lineRule="auto"/>
            </w:pPr>
            <w:r/>
            <w:r>
              <w:rPr>
                <w:rFonts w:ascii="Times New Roman" w:hAnsi="Times New Roman" w:eastAsia="宋体"/>
                <w:b w:val="0"/>
                <w:color w:val="1F1F1F"/>
                <w:sz w:val="18"/>
              </w:rPr>
              <w:t>C4</w:t>
            </w:r>
          </w:p>
        </w:tc>
        <w:tc>
          <w:tcPr>
            <w:tcW w:type="dxa" w:w="1253"/>
          </w:tcPr>
          <w:p>
            <w:pPr>
              <w:spacing w:before="0" w:after="0" w:line="276" w:lineRule="auto"/>
            </w:pPr>
            <w:r/>
            <w:r>
              <w:rPr>
                <w:rFonts w:ascii="Times New Roman" w:hAnsi="Times New Roman" w:eastAsia="宋体"/>
                <w:b w:val="0"/>
                <w:color w:val="1F1F1F"/>
                <w:sz w:val="18"/>
              </w:rPr>
              <w:t>员工获得感场景运营</w:t>
            </w:r>
          </w:p>
        </w:tc>
        <w:tc>
          <w:tcPr>
            <w:tcW w:type="dxa" w:w="1130"/>
          </w:tcPr>
          <w:p>
            <w:pPr>
              <w:spacing w:before="0" w:after="0" w:line="276" w:lineRule="auto"/>
            </w:pPr>
            <w:r/>
            <w:r>
              <w:rPr>
                <w:rFonts w:ascii="Times New Roman" w:hAnsi="Times New Roman" w:eastAsia="宋体"/>
                <w:b w:val="0"/>
                <w:color w:val="1F1F1F"/>
                <w:sz w:val="18"/>
              </w:rPr>
              <w:t>SOP</w:t>
            </w:r>
          </w:p>
        </w:tc>
        <w:tc>
          <w:tcPr>
            <w:tcW w:type="dxa" w:w="2292"/>
          </w:tcPr>
          <w:p>
            <w:pPr>
              <w:spacing w:before="0" w:after="0" w:line="276" w:lineRule="auto"/>
            </w:pPr>
            <w:r/>
            <w:r>
              <w:rPr>
                <w:rFonts w:ascii="Times New Roman" w:hAnsi="Times New Roman" w:eastAsia="宋体"/>
                <w:b w:val="0"/>
                <w:color w:val="1F1F1F"/>
                <w:sz w:val="18"/>
              </w:rPr>
              <w:t>文化活动、社群空间、园区节事；碳普惠积分与文体资源预约打通；六边成果的员工可感转化</w:t>
            </w:r>
          </w:p>
        </w:tc>
        <w:tc>
          <w:tcPr>
            <w:tcW w:type="dxa" w:w="1738"/>
          </w:tcPr>
          <w:p>
            <w:pPr>
              <w:spacing w:before="0" w:after="0" w:line="276" w:lineRule="auto"/>
            </w:pPr>
            <w:r/>
            <w:r>
              <w:rPr>
                <w:rFonts w:ascii="Times New Roman" w:hAnsi="Times New Roman" w:eastAsia="宋体"/>
                <w:b w:val="0"/>
                <w:color w:val="1F1F1F"/>
                <w:sz w:val="18"/>
              </w:rPr>
              <w:t>活动参与人次；积分兑换与预约打通率；员工满意度调查（口径待定）</w:t>
            </w:r>
          </w:p>
        </w:tc>
        <w:tc>
          <w:tcPr>
            <w:tcW w:type="dxa" w:w="1369"/>
          </w:tcPr>
          <w:p>
            <w:pPr>
              <w:spacing w:before="0" w:after="0" w:line="276" w:lineRule="auto"/>
            </w:pPr>
            <w:r/>
            <w:r>
              <w:rPr>
                <w:rFonts w:ascii="Times New Roman" w:hAnsi="Times New Roman" w:eastAsia="宋体"/>
                <w:b w:val="0"/>
                <w:color w:val="1F1F1F"/>
                <w:sz w:val="18"/>
              </w:rPr>
              <w:t>沉淀为获得感场景运营手册</w:t>
            </w:r>
          </w:p>
        </w:tc>
      </w:tr>
    </w:tbl>
    <w:p>
      <w:pPr>
        <w:spacing w:after="80"/>
      </w:pPr>
    </w:p>
    <w:p>
      <w:pPr>
        <w:pStyle w:val="Heading2"/>
        <w:keepNext/>
        <w:spacing w:before="240" w:after="120" w:line="360" w:lineRule="auto"/>
      </w:pPr>
      <w:r>
        <w:rPr>
          <w:rFonts w:ascii="Times New Roman" w:hAnsi="Times New Roman" w:eastAsia="黑体"/>
          <w:b w:val="0"/>
          <w:color w:val="1F1F1F"/>
          <w:sz w:val="28"/>
        </w:rPr>
        <w:t>四、对标参照（待核）</w:t>
      </w:r>
    </w:p>
    <w:p>
      <w:pPr>
        <w:spacing w:before="0" w:after="80" w:line="360" w:lineRule="auto"/>
        <w:ind w:left="480" w:hanging="240"/>
      </w:pPr>
      <w:r>
        <w:rPr>
          <w:rFonts w:ascii="Times New Roman" w:hAnsi="Times New Roman" w:eastAsia="仿宋_GB2312"/>
          <w:b w:val="0"/>
          <w:color w:val="1F1F1F"/>
          <w:sz w:val="24"/>
        </w:rPr>
        <w:t>▪ 清华会中提出的公共空间、半开放空间与植被通风组织方向【交流纪要，待核】。</w:t>
      </w:r>
    </w:p>
    <w:p>
      <w:pPr>
        <w:spacing w:before="0" w:after="80" w:line="360" w:lineRule="auto"/>
        <w:ind w:left="480" w:hanging="240"/>
      </w:pPr>
      <w:r>
        <w:rPr>
          <w:rFonts w:ascii="Times New Roman" w:hAnsi="Times New Roman" w:eastAsia="仿宋_GB2312"/>
          <w:b w:val="0"/>
          <w:color w:val="1F1F1F"/>
          <w:sz w:val="24"/>
        </w:rPr>
        <w:t>▪ 腾讯滨海大厦连接层、松山湖园区场所做法：第四轮赛马所引场所品质案例【对标案例，待核】。</w:t>
      </w:r>
    </w:p>
    <w:p>
      <w:pPr>
        <w:pStyle w:val="Heading2"/>
        <w:keepNext/>
        <w:spacing w:before="240" w:after="120" w:line="360" w:lineRule="auto"/>
      </w:pPr>
      <w:r>
        <w:rPr>
          <w:rFonts w:ascii="Times New Roman" w:hAnsi="Times New Roman" w:eastAsia="黑体"/>
          <w:b w:val="0"/>
          <w:color w:val="1F1F1F"/>
          <w:sz w:val="28"/>
        </w:rPr>
        <w:t>五、向核沉淀什么</w:t>
      </w:r>
    </w:p>
    <w:p>
      <w:pPr>
        <w:spacing w:before="0" w:after="120" w:line="360" w:lineRule="auto"/>
        <w:ind w:firstLine="480"/>
      </w:pPr>
      <w:r>
        <w:rPr>
          <w:rFonts w:ascii="Times New Roman" w:hAnsi="Times New Roman" w:eastAsia="仿宋_GB2312"/>
          <w:b w:val="0"/>
          <w:color w:val="1F1F1F"/>
          <w:sz w:val="24"/>
        </w:rPr>
        <w:t>风貌约束下的更新导则、真实系统展项动线与讲解手册、获得感场景运营手册。本边把六边成果转成人可感受的形式，是名片与验证场在现场的呈现方式。</w:t>
      </w:r>
    </w:p>
    <w:p>
      <w:pPr>
        <w:pStyle w:val="Heading1"/>
        <w:keepNext/>
        <w:pageBreakBefore/>
        <w:spacing w:before="360" w:after="240" w:line="360" w:lineRule="auto"/>
        <w:jc w:val="center"/>
      </w:pPr>
      <w:r>
        <w:rPr>
          <w:rFonts w:ascii="Times New Roman" w:hAnsi="Times New Roman" w:eastAsia="黑体"/>
          <w:b w:val="0"/>
          <w:color w:val="1F1F1F"/>
          <w:sz w:val="32"/>
        </w:rPr>
        <w:t>第十一章 落地路径与分期</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三件先行、园中园试点、四个阶段。先行事项的排序理由是“替换口述大数、支撑目标比较、防止二次集成”；试点的目的首先是取得本项目自己的实测数据；分期以里程碑与验收口径界定，不以投资额界定。</w:t>
      </w:r>
    </w:p>
    <w:p>
      <w:pPr>
        <w:pStyle w:val="Heading2"/>
        <w:keepNext/>
        <w:spacing w:before="240" w:after="120" w:line="360" w:lineRule="auto"/>
      </w:pPr>
      <w:r>
        <w:rPr>
          <w:rFonts w:ascii="Times New Roman" w:hAnsi="Times New Roman" w:eastAsia="黑体"/>
          <w:b w:val="0"/>
          <w:color w:val="1F1F1F"/>
          <w:sz w:val="28"/>
        </w:rPr>
        <w:t>一、三件先行</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22"/>
        <w:gridCol w:w="1674"/>
        <w:gridCol w:w="1379"/>
        <w:gridCol w:w="2717"/>
        <w:gridCol w:w="1851"/>
      </w:tblGrid>
      <w:tr>
        <w:trPr>
          <w:cantSplit/>
          <w:tblHeader/>
        </w:trPr>
        <w:tc>
          <w:tcPr>
            <w:tcW w:type="dxa" w:w="1222"/>
            <w:shd w:val="clear" w:color="auto" w:fill="E7EEF3"/>
          </w:tcPr>
          <w:p>
            <w:pPr>
              <w:keepNext/>
              <w:spacing w:before="0" w:after="0" w:line="276" w:lineRule="auto"/>
            </w:pPr>
            <w:r/>
            <w:r>
              <w:rPr>
                <w:rFonts w:ascii="Times New Roman" w:hAnsi="Times New Roman" w:eastAsia="宋体"/>
                <w:b/>
                <w:color w:val="1F1F1F"/>
                <w:sz w:val="18"/>
              </w:rPr>
              <w:t>序号</w:t>
            </w:r>
          </w:p>
        </w:tc>
        <w:tc>
          <w:tcPr>
            <w:tcW w:type="dxa" w:w="1674"/>
            <w:shd w:val="clear" w:color="auto" w:fill="E7EEF3"/>
          </w:tcPr>
          <w:p>
            <w:pPr>
              <w:keepNext/>
              <w:spacing w:before="0" w:after="0" w:line="276" w:lineRule="auto"/>
            </w:pPr>
            <w:r/>
            <w:r>
              <w:rPr>
                <w:rFonts w:ascii="Times New Roman" w:hAnsi="Times New Roman" w:eastAsia="宋体"/>
                <w:b/>
                <w:color w:val="1F1F1F"/>
                <w:sz w:val="18"/>
              </w:rPr>
              <w:t>先行事项</w:t>
            </w:r>
          </w:p>
        </w:tc>
        <w:tc>
          <w:tcPr>
            <w:tcW w:type="dxa" w:w="1379"/>
            <w:shd w:val="clear" w:color="auto" w:fill="E7EEF3"/>
          </w:tcPr>
          <w:p>
            <w:pPr>
              <w:keepNext/>
              <w:spacing w:before="0" w:after="0" w:line="276" w:lineRule="auto"/>
            </w:pPr>
            <w:r/>
            <w:r>
              <w:rPr>
                <w:rFonts w:ascii="Times New Roman" w:hAnsi="Times New Roman" w:eastAsia="宋体"/>
                <w:b/>
                <w:color w:val="1F1F1F"/>
                <w:sz w:val="18"/>
              </w:rPr>
              <w:t>对应工作包</w:t>
            </w:r>
          </w:p>
        </w:tc>
        <w:tc>
          <w:tcPr>
            <w:tcW w:type="dxa" w:w="2717"/>
            <w:shd w:val="clear" w:color="auto" w:fill="E7EEF3"/>
          </w:tcPr>
          <w:p>
            <w:pPr>
              <w:keepNext/>
              <w:spacing w:before="0" w:after="0" w:line="276" w:lineRule="auto"/>
            </w:pPr>
            <w:r/>
            <w:r>
              <w:rPr>
                <w:rFonts w:ascii="Times New Roman" w:hAnsi="Times New Roman" w:eastAsia="宋体"/>
                <w:b/>
                <w:color w:val="1F1F1F"/>
                <w:sz w:val="18"/>
              </w:rPr>
              <w:t>排序理由</w:t>
            </w:r>
          </w:p>
        </w:tc>
        <w:tc>
          <w:tcPr>
            <w:tcW w:type="dxa" w:w="1851"/>
            <w:shd w:val="clear" w:color="auto" w:fill="E7EEF3"/>
          </w:tcPr>
          <w:p>
            <w:pPr>
              <w:keepNext/>
              <w:spacing w:before="0" w:after="0" w:line="276" w:lineRule="auto"/>
            </w:pPr>
            <w:r/>
            <w:r>
              <w:rPr>
                <w:rFonts w:ascii="Times New Roman" w:hAnsi="Times New Roman" w:eastAsia="宋体"/>
                <w:b/>
                <w:color w:val="1F1F1F"/>
                <w:sz w:val="18"/>
              </w:rPr>
              <w:t>完成口径</w:t>
            </w:r>
          </w:p>
        </w:tc>
      </w:tr>
      <w:tr>
        <w:trPr>
          <w:cantSplit/>
        </w:trPr>
        <w:tc>
          <w:tcPr>
            <w:tcW w:type="dxa" w:w="1222"/>
          </w:tcPr>
          <w:p>
            <w:pPr>
              <w:spacing w:before="0" w:after="0" w:line="276" w:lineRule="auto"/>
            </w:pPr>
            <w:r/>
            <w:r>
              <w:rPr>
                <w:rFonts w:ascii="Times New Roman" w:hAnsi="Times New Roman" w:eastAsia="宋体"/>
                <w:b w:val="0"/>
                <w:color w:val="1F1F1F"/>
                <w:sz w:val="18"/>
              </w:rPr>
              <w:t>1</w:t>
            </w:r>
          </w:p>
        </w:tc>
        <w:tc>
          <w:tcPr>
            <w:tcW w:type="dxa" w:w="1674"/>
          </w:tcPr>
          <w:p>
            <w:pPr>
              <w:spacing w:before="0" w:after="0" w:line="276" w:lineRule="auto"/>
            </w:pPr>
            <w:r/>
            <w:r>
              <w:rPr>
                <w:rFonts w:ascii="Times New Roman" w:hAnsi="Times New Roman" w:eastAsia="宋体"/>
                <w:b w:val="0"/>
                <w:color w:val="1F1F1F"/>
                <w:sz w:val="18"/>
              </w:rPr>
              <w:t>冷站与水系统深度诊断</w:t>
            </w:r>
          </w:p>
        </w:tc>
        <w:tc>
          <w:tcPr>
            <w:tcW w:type="dxa" w:w="1379"/>
          </w:tcPr>
          <w:p>
            <w:pPr>
              <w:spacing w:before="0" w:after="0" w:line="276" w:lineRule="auto"/>
            </w:pPr>
            <w:r/>
            <w:r>
              <w:rPr>
                <w:rFonts w:ascii="Times New Roman" w:hAnsi="Times New Roman" w:eastAsia="宋体"/>
                <w:b w:val="0"/>
                <w:color w:val="1F1F1F"/>
                <w:sz w:val="18"/>
              </w:rPr>
              <w:t>E1（联动 H2）</w:t>
            </w:r>
          </w:p>
        </w:tc>
        <w:tc>
          <w:tcPr>
            <w:tcW w:type="dxa" w:w="2717"/>
          </w:tcPr>
          <w:p>
            <w:pPr>
              <w:spacing w:before="0" w:after="0" w:line="276" w:lineRule="auto"/>
            </w:pPr>
            <w:r/>
            <w:r>
              <w:rPr>
                <w:rFonts w:ascii="Times New Roman" w:hAnsi="Times New Roman" w:eastAsia="宋体"/>
                <w:b w:val="0"/>
                <w:color w:val="1F1F1F"/>
                <w:sz w:val="18"/>
              </w:rPr>
              <w:t>取得实测基线，替换会中口述与资料宣称的大数；是目前有量级支撑的入手点</w:t>
            </w:r>
          </w:p>
        </w:tc>
        <w:tc>
          <w:tcPr>
            <w:tcW w:type="dxa" w:w="1851"/>
          </w:tcPr>
          <w:p>
            <w:pPr>
              <w:spacing w:before="0" w:after="0" w:line="276" w:lineRule="auto"/>
            </w:pPr>
            <w:r/>
            <w:r>
              <w:rPr>
                <w:rFonts w:ascii="Times New Roman" w:hAnsi="Times New Roman" w:eastAsia="宋体"/>
                <w:b w:val="0"/>
                <w:color w:val="1F1F1F"/>
                <w:sz w:val="18"/>
              </w:rPr>
              <w:t>实测基线报告与分项能耗结构完成</w:t>
            </w:r>
          </w:p>
        </w:tc>
      </w:tr>
      <w:tr>
        <w:trPr>
          <w:cantSplit/>
        </w:trPr>
        <w:tc>
          <w:tcPr>
            <w:tcW w:type="dxa" w:w="1222"/>
          </w:tcPr>
          <w:p>
            <w:pPr>
              <w:spacing w:before="0" w:after="0" w:line="276" w:lineRule="auto"/>
            </w:pPr>
            <w:r/>
            <w:r>
              <w:rPr>
                <w:rFonts w:ascii="Times New Roman" w:hAnsi="Times New Roman" w:eastAsia="宋体"/>
                <w:b w:val="0"/>
                <w:color w:val="1F1F1F"/>
                <w:sz w:val="18"/>
              </w:rPr>
              <w:t>2</w:t>
            </w:r>
          </w:p>
        </w:tc>
        <w:tc>
          <w:tcPr>
            <w:tcW w:type="dxa" w:w="1674"/>
          </w:tcPr>
          <w:p>
            <w:pPr>
              <w:spacing w:before="0" w:after="0" w:line="276" w:lineRule="auto"/>
            </w:pPr>
            <w:r/>
            <w:r>
              <w:rPr>
                <w:rFonts w:ascii="Times New Roman" w:hAnsi="Times New Roman" w:eastAsia="宋体"/>
                <w:b w:val="0"/>
                <w:color w:val="1F1F1F"/>
                <w:sz w:val="18"/>
              </w:rPr>
              <w:t>园区碳账本与核算边界</w:t>
            </w:r>
          </w:p>
        </w:tc>
        <w:tc>
          <w:tcPr>
            <w:tcW w:type="dxa" w:w="1379"/>
          </w:tcPr>
          <w:p>
            <w:pPr>
              <w:spacing w:before="0" w:after="0" w:line="276" w:lineRule="auto"/>
            </w:pPr>
            <w:r/>
            <w:r>
              <w:rPr>
                <w:rFonts w:ascii="Times New Roman" w:hAnsi="Times New Roman" w:eastAsia="宋体"/>
                <w:b w:val="0"/>
                <w:color w:val="1F1F1F"/>
                <w:sz w:val="18"/>
              </w:rPr>
              <w:t>G1、G2</w:t>
            </w:r>
          </w:p>
        </w:tc>
        <w:tc>
          <w:tcPr>
            <w:tcW w:type="dxa" w:w="2717"/>
          </w:tcPr>
          <w:p>
            <w:pPr>
              <w:spacing w:before="0" w:after="0" w:line="276" w:lineRule="auto"/>
            </w:pPr>
            <w:r/>
            <w:r>
              <w:rPr>
                <w:rFonts w:ascii="Times New Roman" w:hAnsi="Times New Roman" w:eastAsia="宋体"/>
                <w:b w:val="0"/>
                <w:color w:val="1F1F1F"/>
                <w:sz w:val="18"/>
              </w:rPr>
              <w:t>先核边界、再比目标、后设指标；边界连锁影响余热利用与算力普惠</w:t>
            </w:r>
          </w:p>
        </w:tc>
        <w:tc>
          <w:tcPr>
            <w:tcW w:type="dxa" w:w="1851"/>
          </w:tcPr>
          <w:p>
            <w:pPr>
              <w:spacing w:before="0" w:after="0" w:line="276" w:lineRule="auto"/>
            </w:pPr>
            <w:r/>
            <w:r>
              <w:rPr>
                <w:rFonts w:ascii="Times New Roman" w:hAnsi="Times New Roman" w:eastAsia="宋体"/>
                <w:b w:val="0"/>
                <w:color w:val="1F1F1F"/>
                <w:sz w:val="18"/>
              </w:rPr>
              <w:t>两套可比碳账与三档比较表完成</w:t>
            </w:r>
          </w:p>
        </w:tc>
      </w:tr>
      <w:tr>
        <w:trPr>
          <w:cantSplit/>
        </w:trPr>
        <w:tc>
          <w:tcPr>
            <w:tcW w:type="dxa" w:w="1222"/>
          </w:tcPr>
          <w:p>
            <w:pPr>
              <w:spacing w:before="0" w:after="0" w:line="276" w:lineRule="auto"/>
            </w:pPr>
            <w:r/>
            <w:r>
              <w:rPr>
                <w:rFonts w:ascii="Times New Roman" w:hAnsi="Times New Roman" w:eastAsia="宋体"/>
                <w:b w:val="0"/>
                <w:color w:val="1F1F1F"/>
                <w:sz w:val="18"/>
              </w:rPr>
              <w:t>3</w:t>
            </w:r>
          </w:p>
        </w:tc>
        <w:tc>
          <w:tcPr>
            <w:tcW w:type="dxa" w:w="1674"/>
          </w:tcPr>
          <w:p>
            <w:pPr>
              <w:spacing w:before="0" w:after="0" w:line="276" w:lineRule="auto"/>
            </w:pPr>
            <w:r/>
            <w:r>
              <w:rPr>
                <w:rFonts w:ascii="Times New Roman" w:hAnsi="Times New Roman" w:eastAsia="宋体"/>
                <w:b w:val="0"/>
                <w:color w:val="1F1F1F"/>
                <w:sz w:val="18"/>
              </w:rPr>
              <w:t>“一个平台、两类功能”总体设计</w:t>
            </w:r>
          </w:p>
        </w:tc>
        <w:tc>
          <w:tcPr>
            <w:tcW w:type="dxa" w:w="1379"/>
          </w:tcPr>
          <w:p>
            <w:pPr>
              <w:spacing w:before="0" w:after="0" w:line="276" w:lineRule="auto"/>
            </w:pPr>
            <w:r/>
            <w:r>
              <w:rPr>
                <w:rFonts w:ascii="Times New Roman" w:hAnsi="Times New Roman" w:eastAsia="宋体"/>
                <w:b w:val="0"/>
                <w:color w:val="1F1F1F"/>
                <w:sz w:val="18"/>
              </w:rPr>
              <w:t>S1、S5</w:t>
            </w:r>
          </w:p>
        </w:tc>
        <w:tc>
          <w:tcPr>
            <w:tcW w:type="dxa" w:w="2717"/>
          </w:tcPr>
          <w:p>
            <w:pPr>
              <w:spacing w:before="0" w:after="0" w:line="276" w:lineRule="auto"/>
            </w:pPr>
            <w:r/>
            <w:r>
              <w:rPr>
                <w:rFonts w:ascii="Times New Roman" w:hAnsi="Times New Roman" w:eastAsia="宋体"/>
                <w:b w:val="0"/>
                <w:color w:val="1F1F1F"/>
                <w:sz w:val="18"/>
              </w:rPr>
              <w:t>防止园内、园外分头建设后的二次集成；数据主权先定</w:t>
            </w:r>
          </w:p>
        </w:tc>
        <w:tc>
          <w:tcPr>
            <w:tcW w:type="dxa" w:w="1851"/>
          </w:tcPr>
          <w:p>
            <w:pPr>
              <w:spacing w:before="0" w:after="0" w:line="276" w:lineRule="auto"/>
            </w:pPr>
            <w:r/>
            <w:r>
              <w:rPr>
                <w:rFonts w:ascii="Times New Roman" w:hAnsi="Times New Roman" w:eastAsia="宋体"/>
                <w:b w:val="0"/>
                <w:color w:val="1F1F1F"/>
                <w:sz w:val="18"/>
              </w:rPr>
              <w:t>总体设计文件与数据主权条款完成</w:t>
            </w:r>
          </w:p>
        </w:tc>
      </w:tr>
    </w:tbl>
    <w:p>
      <w:pPr>
        <w:spacing w:after="80"/>
      </w:pPr>
    </w:p>
    <w:p>
      <w:pPr>
        <w:pStyle w:val="Heading2"/>
        <w:keepNext/>
        <w:spacing w:before="240" w:after="120" w:line="360" w:lineRule="auto"/>
      </w:pPr>
      <w:r>
        <w:rPr>
          <w:rFonts w:ascii="Times New Roman" w:hAnsi="Times New Roman" w:eastAsia="黑体"/>
          <w:b w:val="0"/>
          <w:color w:val="1F1F1F"/>
          <w:sz w:val="28"/>
        </w:rPr>
        <w:t>二、园中园分区试点</w:t>
      </w:r>
    </w:p>
    <w:p>
      <w:pPr>
        <w:spacing w:before="0" w:after="120" w:line="360" w:lineRule="auto"/>
        <w:ind w:firstLine="480"/>
      </w:pPr>
      <w:r>
        <w:rPr>
          <w:rFonts w:ascii="Times New Roman" w:hAnsi="Times New Roman" w:eastAsia="仿宋_GB2312"/>
          <w:b w:val="0"/>
          <w:color w:val="1F1F1F"/>
          <w:sz w:val="24"/>
        </w:rPr>
        <w:t>试点分区按四条标准比选：可停机窗口、用能可计量、措施可复制、成效可验证。候选场地含 1 号楼后空地【交流纪要，待核】与数据机房专题；数据机房专题与核算边界工作绑定。试点验收以取得一个完整供冷季的实测数据为口径，覆盖高效边 E2、E4 与健康边 H1、H2 的互锁验证。</w:t>
      </w:r>
    </w:p>
    <w:p>
      <w:pPr>
        <w:pStyle w:val="Heading2"/>
        <w:keepNext/>
        <w:spacing w:before="240" w:after="120" w:line="360" w:lineRule="auto"/>
      </w:pPr>
      <w:r>
        <w:rPr>
          <w:rFonts w:ascii="Times New Roman" w:hAnsi="Times New Roman" w:eastAsia="黑体"/>
          <w:b w:val="0"/>
          <w:color w:val="1F1F1F"/>
          <w:sz w:val="28"/>
        </w:rPr>
        <w:t>三、四个阶段</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1"/>
        <w:gridCol w:w="1806"/>
        <w:gridCol w:w="3277"/>
        <w:gridCol w:w="2201"/>
      </w:tblGrid>
      <w:tr>
        <w:trPr>
          <w:cantSplit/>
          <w:tblHeader/>
        </w:trPr>
        <w:tc>
          <w:tcPr>
            <w:tcW w:type="dxa" w:w="1561"/>
            <w:shd w:val="clear" w:color="auto" w:fill="E7EEF3"/>
          </w:tcPr>
          <w:p>
            <w:pPr>
              <w:keepNext/>
              <w:spacing w:before="0" w:after="0" w:line="276" w:lineRule="auto"/>
            </w:pPr>
            <w:r/>
            <w:r>
              <w:rPr>
                <w:rFonts w:ascii="Times New Roman" w:hAnsi="Times New Roman" w:eastAsia="宋体"/>
                <w:b/>
                <w:color w:val="1F1F1F"/>
                <w:sz w:val="18"/>
              </w:rPr>
              <w:t>阶段</w:t>
            </w:r>
          </w:p>
        </w:tc>
        <w:tc>
          <w:tcPr>
            <w:tcW w:type="dxa" w:w="1806"/>
            <w:shd w:val="clear" w:color="auto" w:fill="E7EEF3"/>
          </w:tcPr>
          <w:p>
            <w:pPr>
              <w:keepNext/>
              <w:spacing w:before="0" w:after="0" w:line="276" w:lineRule="auto"/>
            </w:pPr>
            <w:r/>
            <w:r>
              <w:rPr>
                <w:rFonts w:ascii="Times New Roman" w:hAnsi="Times New Roman" w:eastAsia="宋体"/>
                <w:b/>
                <w:color w:val="1F1F1F"/>
                <w:sz w:val="18"/>
              </w:rPr>
              <w:t>里程碑</w:t>
            </w:r>
          </w:p>
        </w:tc>
        <w:tc>
          <w:tcPr>
            <w:tcW w:type="dxa" w:w="3277"/>
            <w:shd w:val="clear" w:color="auto" w:fill="E7EEF3"/>
          </w:tcPr>
          <w:p>
            <w:pPr>
              <w:keepNext/>
              <w:spacing w:before="0" w:after="0" w:line="276" w:lineRule="auto"/>
            </w:pPr>
            <w:r/>
            <w:r>
              <w:rPr>
                <w:rFonts w:ascii="Times New Roman" w:hAnsi="Times New Roman" w:eastAsia="宋体"/>
                <w:b/>
                <w:color w:val="1F1F1F"/>
                <w:sz w:val="18"/>
              </w:rPr>
              <w:t>主要内容</w:t>
            </w:r>
          </w:p>
        </w:tc>
        <w:tc>
          <w:tcPr>
            <w:tcW w:type="dxa" w:w="2201"/>
            <w:shd w:val="clear" w:color="auto" w:fill="E7EEF3"/>
          </w:tcPr>
          <w:p>
            <w:pPr>
              <w:keepNext/>
              <w:spacing w:before="0" w:after="0" w:line="276" w:lineRule="auto"/>
            </w:pPr>
            <w:r/>
            <w:r>
              <w:rPr>
                <w:rFonts w:ascii="Times New Roman" w:hAnsi="Times New Roman" w:eastAsia="宋体"/>
                <w:b/>
                <w:color w:val="1F1F1F"/>
                <w:sz w:val="18"/>
              </w:rPr>
              <w:t>验收口径</w:t>
            </w:r>
          </w:p>
        </w:tc>
      </w:tr>
      <w:tr>
        <w:trPr>
          <w:cantSplit/>
        </w:trPr>
        <w:tc>
          <w:tcPr>
            <w:tcW w:type="dxa" w:w="1561"/>
          </w:tcPr>
          <w:p>
            <w:pPr>
              <w:spacing w:before="0" w:after="0" w:line="276" w:lineRule="auto"/>
            </w:pPr>
            <w:r/>
            <w:r>
              <w:rPr>
                <w:rFonts w:ascii="Times New Roman" w:hAnsi="Times New Roman" w:eastAsia="宋体"/>
                <w:b w:val="0"/>
                <w:color w:val="1F1F1F"/>
                <w:sz w:val="18"/>
              </w:rPr>
              <w:t>阶段一：方向与预可研</w:t>
            </w:r>
          </w:p>
        </w:tc>
        <w:tc>
          <w:tcPr>
            <w:tcW w:type="dxa" w:w="1806"/>
          </w:tcPr>
          <w:p>
            <w:pPr>
              <w:spacing w:before="0" w:after="0" w:line="276" w:lineRule="auto"/>
            </w:pPr>
            <w:r/>
            <w:r>
              <w:rPr>
                <w:rFonts w:ascii="Times New Roman" w:hAnsi="Times New Roman" w:eastAsia="宋体"/>
                <w:b w:val="0"/>
                <w:color w:val="1F1F1F"/>
                <w:sz w:val="18"/>
              </w:rPr>
              <w:t>9 月中旬方向性汇报；10 月前预可行性方案争取立项</w:t>
            </w:r>
          </w:p>
        </w:tc>
        <w:tc>
          <w:tcPr>
            <w:tcW w:type="dxa" w:w="3277"/>
          </w:tcPr>
          <w:p>
            <w:pPr>
              <w:spacing w:before="0" w:after="0" w:line="276" w:lineRule="auto"/>
            </w:pPr>
            <w:r/>
            <w:r>
              <w:rPr>
                <w:rFonts w:ascii="Times New Roman" w:hAnsi="Times New Roman" w:eastAsia="宋体"/>
                <w:b w:val="0"/>
                <w:color w:val="1F1F1F"/>
                <w:sz w:val="18"/>
              </w:rPr>
              <w:t>本稿形成共识；完成待核清单中的数据核验；三件先行与试点建议随预可研提出</w:t>
            </w:r>
          </w:p>
        </w:tc>
        <w:tc>
          <w:tcPr>
            <w:tcW w:type="dxa" w:w="2201"/>
          </w:tcPr>
          <w:p>
            <w:pPr>
              <w:spacing w:before="0" w:after="0" w:line="276" w:lineRule="auto"/>
            </w:pPr>
            <w:r/>
            <w:r>
              <w:rPr>
                <w:rFonts w:ascii="Times New Roman" w:hAnsi="Times New Roman" w:eastAsia="宋体"/>
                <w:b w:val="0"/>
                <w:color w:val="1F1F1F"/>
                <w:sz w:val="18"/>
              </w:rPr>
              <w:t>预可研提交；三档比较与边界方案纳入预可研</w:t>
            </w:r>
          </w:p>
        </w:tc>
      </w:tr>
      <w:tr>
        <w:trPr>
          <w:cantSplit/>
        </w:trPr>
        <w:tc>
          <w:tcPr>
            <w:tcW w:type="dxa" w:w="1561"/>
          </w:tcPr>
          <w:p>
            <w:pPr>
              <w:spacing w:before="0" w:after="0" w:line="276" w:lineRule="auto"/>
            </w:pPr>
            <w:r/>
            <w:r>
              <w:rPr>
                <w:rFonts w:ascii="Times New Roman" w:hAnsi="Times New Roman" w:eastAsia="宋体"/>
                <w:b w:val="0"/>
                <w:color w:val="1F1F1F"/>
                <w:sz w:val="18"/>
              </w:rPr>
              <w:t>阶段二：三件先行与园中园试点</w:t>
            </w:r>
          </w:p>
        </w:tc>
        <w:tc>
          <w:tcPr>
            <w:tcW w:type="dxa" w:w="1806"/>
          </w:tcPr>
          <w:p>
            <w:pPr>
              <w:spacing w:before="0" w:after="0" w:line="276" w:lineRule="auto"/>
            </w:pPr>
            <w:r/>
            <w:r>
              <w:rPr>
                <w:rFonts w:ascii="Times New Roman" w:hAnsi="Times New Roman" w:eastAsia="宋体"/>
                <w:b w:val="0"/>
                <w:color w:val="1F1F1F"/>
                <w:sz w:val="18"/>
              </w:rPr>
              <w:t>框架审议通过、网公司分阶段安排预算后启动</w:t>
            </w:r>
          </w:p>
        </w:tc>
        <w:tc>
          <w:tcPr>
            <w:tcW w:type="dxa" w:w="3277"/>
          </w:tcPr>
          <w:p>
            <w:pPr>
              <w:spacing w:before="0" w:after="0" w:line="276" w:lineRule="auto"/>
            </w:pPr>
            <w:r/>
            <w:r>
              <w:rPr>
                <w:rFonts w:ascii="Times New Roman" w:hAnsi="Times New Roman" w:eastAsia="宋体"/>
                <w:b w:val="0"/>
                <w:color w:val="1F1F1F"/>
                <w:sz w:val="18"/>
              </w:rPr>
              <w:t>冷站诊断进场、碳账立账、平台总体设计；首批试点实施（E2、E4、H1、H2、P1、C2 等轻改造）</w:t>
            </w:r>
          </w:p>
        </w:tc>
        <w:tc>
          <w:tcPr>
            <w:tcW w:type="dxa" w:w="2201"/>
          </w:tcPr>
          <w:p>
            <w:pPr>
              <w:spacing w:before="0" w:after="0" w:line="276" w:lineRule="auto"/>
            </w:pPr>
            <w:r/>
            <w:r>
              <w:rPr>
                <w:rFonts w:ascii="Times New Roman" w:hAnsi="Times New Roman" w:eastAsia="宋体"/>
                <w:b w:val="0"/>
                <w:color w:val="1F1F1F"/>
                <w:sz w:val="18"/>
              </w:rPr>
              <w:t>一个完整供冷季实测数据；节能与健康同时达标</w:t>
            </w:r>
          </w:p>
        </w:tc>
      </w:tr>
      <w:tr>
        <w:trPr>
          <w:cantSplit/>
        </w:trPr>
        <w:tc>
          <w:tcPr>
            <w:tcW w:type="dxa" w:w="1561"/>
          </w:tcPr>
          <w:p>
            <w:pPr>
              <w:spacing w:before="0" w:after="0" w:line="276" w:lineRule="auto"/>
            </w:pPr>
            <w:r/>
            <w:r>
              <w:rPr>
                <w:rFonts w:ascii="Times New Roman" w:hAnsi="Times New Roman" w:eastAsia="宋体"/>
                <w:b w:val="0"/>
                <w:color w:val="1F1F1F"/>
                <w:sz w:val="18"/>
              </w:rPr>
              <w:t>阶段三：全园推广与南网内复制</w:t>
            </w:r>
          </w:p>
        </w:tc>
        <w:tc>
          <w:tcPr>
            <w:tcW w:type="dxa" w:w="1806"/>
          </w:tcPr>
          <w:p>
            <w:pPr>
              <w:spacing w:before="0" w:after="0" w:line="276" w:lineRule="auto"/>
            </w:pPr>
            <w:r/>
            <w:r>
              <w:rPr>
                <w:rFonts w:ascii="Times New Roman" w:hAnsi="Times New Roman" w:eastAsia="宋体"/>
                <w:b w:val="0"/>
                <w:color w:val="1F1F1F"/>
                <w:sz w:val="18"/>
              </w:rPr>
              <w:t>试点验收通过后</w:t>
            </w:r>
          </w:p>
        </w:tc>
        <w:tc>
          <w:tcPr>
            <w:tcW w:type="dxa" w:w="3277"/>
          </w:tcPr>
          <w:p>
            <w:pPr>
              <w:spacing w:before="0" w:after="0" w:line="276" w:lineRule="auto"/>
            </w:pPr>
            <w:r/>
            <w:r>
              <w:rPr>
                <w:rFonts w:ascii="Times New Roman" w:hAnsi="Times New Roman" w:eastAsia="宋体"/>
                <w:b w:val="0"/>
                <w:color w:val="1F1F1F"/>
                <w:sz w:val="18"/>
              </w:rPr>
              <w:t>六边工作包按楼宇分档（E6）分批推广；方法论与平台向南网内其他园区复制，验证多园区架构</w:t>
            </w:r>
          </w:p>
        </w:tc>
        <w:tc>
          <w:tcPr>
            <w:tcW w:type="dxa" w:w="2201"/>
          </w:tcPr>
          <w:p>
            <w:pPr>
              <w:spacing w:before="0" w:after="0" w:line="276" w:lineRule="auto"/>
            </w:pPr>
            <w:r/>
            <w:r>
              <w:rPr>
                <w:rFonts w:ascii="Times New Roman" w:hAnsi="Times New Roman" w:eastAsia="宋体"/>
                <w:b w:val="0"/>
                <w:color w:val="1F1F1F"/>
                <w:sz w:val="18"/>
              </w:rPr>
              <w:t>六边各有可核验运行数据；至少一个南网内园区完成复用</w:t>
            </w:r>
          </w:p>
        </w:tc>
      </w:tr>
      <w:tr>
        <w:trPr>
          <w:cantSplit/>
        </w:trPr>
        <w:tc>
          <w:tcPr>
            <w:tcW w:type="dxa" w:w="1561"/>
          </w:tcPr>
          <w:p>
            <w:pPr>
              <w:spacing w:before="0" w:after="0" w:line="276" w:lineRule="auto"/>
            </w:pPr>
            <w:r/>
            <w:r>
              <w:rPr>
                <w:rFonts w:ascii="Times New Roman" w:hAnsi="Times New Roman" w:eastAsia="宋体"/>
                <w:b w:val="0"/>
                <w:color w:val="1F1F1F"/>
                <w:sz w:val="18"/>
              </w:rPr>
              <w:t>阶段四：对外复制</w:t>
            </w:r>
          </w:p>
        </w:tc>
        <w:tc>
          <w:tcPr>
            <w:tcW w:type="dxa" w:w="1806"/>
          </w:tcPr>
          <w:p>
            <w:pPr>
              <w:spacing w:before="0" w:after="0" w:line="276" w:lineRule="auto"/>
            </w:pPr>
            <w:r/>
            <w:r>
              <w:rPr>
                <w:rFonts w:ascii="Times New Roman" w:hAnsi="Times New Roman" w:eastAsia="宋体"/>
                <w:b w:val="0"/>
                <w:color w:val="1F1F1F"/>
                <w:sz w:val="18"/>
              </w:rPr>
              <w:t>南网内复制形成方法后</w:t>
            </w:r>
          </w:p>
        </w:tc>
        <w:tc>
          <w:tcPr>
            <w:tcW w:type="dxa" w:w="3277"/>
          </w:tcPr>
          <w:p>
            <w:pPr>
              <w:spacing w:before="0" w:after="0" w:line="276" w:lineRule="auto"/>
            </w:pPr>
            <w:r/>
            <w:r>
              <w:rPr>
                <w:rFonts w:ascii="Times New Roman" w:hAnsi="Times New Roman" w:eastAsia="宋体"/>
                <w:b w:val="0"/>
                <w:color w:val="1F1F1F"/>
                <w:sz w:val="18"/>
              </w:rPr>
              <w:t>向其他央国企总部园区与连续办公既有园区输出；服务化与商业模式设计在此阶段出现，归核管理</w:t>
            </w:r>
          </w:p>
        </w:tc>
        <w:tc>
          <w:tcPr>
            <w:tcW w:type="dxa" w:w="2201"/>
          </w:tcPr>
          <w:p>
            <w:pPr>
              <w:spacing w:before="0" w:after="0" w:line="276" w:lineRule="auto"/>
            </w:pPr>
            <w:r/>
            <w:r>
              <w:rPr>
                <w:rFonts w:ascii="Times New Roman" w:hAnsi="Times New Roman" w:eastAsia="宋体"/>
                <w:b w:val="0"/>
                <w:color w:val="1F1F1F"/>
                <w:sz w:val="18"/>
              </w:rPr>
              <w:t>复制段运营主体与模式作为专题研究事项，不在本稿定案</w:t>
            </w:r>
          </w:p>
        </w:tc>
      </w:tr>
    </w:tbl>
    <w:p>
      <w:pPr>
        <w:spacing w:after="80"/>
      </w:pPr>
    </w:p>
    <w:p>
      <w:pPr>
        <w:pStyle w:val="Heading2"/>
        <w:keepNext/>
        <w:spacing w:before="240" w:after="120" w:line="360" w:lineRule="auto"/>
      </w:pPr>
      <w:r>
        <w:rPr>
          <w:rFonts w:ascii="Times New Roman" w:hAnsi="Times New Roman" w:eastAsia="黑体"/>
          <w:b w:val="0"/>
          <w:color w:val="1F1F1F"/>
          <w:sz w:val="28"/>
        </w:rPr>
        <w:t>四、六边与阶段的对应</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16"/>
        <w:gridCol w:w="2102"/>
        <w:gridCol w:w="2798"/>
        <w:gridCol w:w="2428"/>
      </w:tblGrid>
      <w:tr>
        <w:trPr>
          <w:cantSplit/>
          <w:tblHeader/>
        </w:trPr>
        <w:tc>
          <w:tcPr>
            <w:tcW w:type="dxa" w:w="1516"/>
            <w:shd w:val="clear" w:color="auto" w:fill="E7EEF3"/>
          </w:tcPr>
          <w:p>
            <w:pPr>
              <w:keepNext/>
              <w:spacing w:before="0" w:after="0" w:line="276" w:lineRule="auto"/>
            </w:pPr>
            <w:r/>
            <w:r>
              <w:rPr>
                <w:rFonts w:ascii="Times New Roman" w:hAnsi="Times New Roman" w:eastAsia="宋体"/>
                <w:b/>
                <w:color w:val="1F1F1F"/>
                <w:sz w:val="18"/>
              </w:rPr>
              <w:t>边</w:t>
            </w:r>
          </w:p>
        </w:tc>
        <w:tc>
          <w:tcPr>
            <w:tcW w:type="dxa" w:w="2102"/>
            <w:shd w:val="clear" w:color="auto" w:fill="E7EEF3"/>
          </w:tcPr>
          <w:p>
            <w:pPr>
              <w:keepNext/>
              <w:spacing w:before="0" w:after="0" w:line="276" w:lineRule="auto"/>
            </w:pPr>
            <w:r/>
            <w:r>
              <w:rPr>
                <w:rFonts w:ascii="Times New Roman" w:hAnsi="Times New Roman" w:eastAsia="宋体"/>
                <w:b/>
                <w:color w:val="1F1F1F"/>
                <w:sz w:val="18"/>
              </w:rPr>
              <w:t>阶段一</w:t>
            </w:r>
          </w:p>
        </w:tc>
        <w:tc>
          <w:tcPr>
            <w:tcW w:type="dxa" w:w="2798"/>
            <w:shd w:val="clear" w:color="auto" w:fill="E7EEF3"/>
          </w:tcPr>
          <w:p>
            <w:pPr>
              <w:keepNext/>
              <w:spacing w:before="0" w:after="0" w:line="276" w:lineRule="auto"/>
            </w:pPr>
            <w:r/>
            <w:r>
              <w:rPr>
                <w:rFonts w:ascii="Times New Roman" w:hAnsi="Times New Roman" w:eastAsia="宋体"/>
                <w:b/>
                <w:color w:val="1F1F1F"/>
                <w:sz w:val="18"/>
              </w:rPr>
              <w:t>阶段二</w:t>
            </w:r>
          </w:p>
        </w:tc>
        <w:tc>
          <w:tcPr>
            <w:tcW w:type="dxa" w:w="2428"/>
            <w:shd w:val="clear" w:color="auto" w:fill="E7EEF3"/>
          </w:tcPr>
          <w:p>
            <w:pPr>
              <w:keepNext/>
              <w:spacing w:before="0" w:after="0" w:line="276" w:lineRule="auto"/>
            </w:pPr>
            <w:r/>
            <w:r>
              <w:rPr>
                <w:rFonts w:ascii="Times New Roman" w:hAnsi="Times New Roman" w:eastAsia="宋体"/>
                <w:b/>
                <w:color w:val="1F1F1F"/>
                <w:sz w:val="18"/>
              </w:rPr>
              <w:t>阶段三及以后</w:t>
            </w:r>
          </w:p>
        </w:tc>
      </w:tr>
      <w:tr>
        <w:trPr>
          <w:cantSplit/>
        </w:trPr>
        <w:tc>
          <w:tcPr>
            <w:tcW w:type="dxa" w:w="1516"/>
          </w:tcPr>
          <w:p>
            <w:pPr>
              <w:spacing w:before="0" w:after="0" w:line="276" w:lineRule="auto"/>
            </w:pPr>
            <w:r/>
            <w:r>
              <w:rPr>
                <w:rFonts w:ascii="Times New Roman" w:hAnsi="Times New Roman" w:eastAsia="宋体"/>
                <w:b w:val="0"/>
                <w:color w:val="1F1F1F"/>
                <w:sz w:val="18"/>
              </w:rPr>
              <w:t>绿色</w:t>
            </w:r>
          </w:p>
        </w:tc>
        <w:tc>
          <w:tcPr>
            <w:tcW w:type="dxa" w:w="2102"/>
          </w:tcPr>
          <w:p>
            <w:pPr>
              <w:spacing w:before="0" w:after="0" w:line="276" w:lineRule="auto"/>
            </w:pPr>
            <w:r/>
            <w:r>
              <w:rPr>
                <w:rFonts w:ascii="Times New Roman" w:hAnsi="Times New Roman" w:eastAsia="宋体"/>
                <w:b w:val="0"/>
                <w:color w:val="1F1F1F"/>
                <w:sz w:val="18"/>
              </w:rPr>
              <w:t>G1、G2 先行；G4 普查</w:t>
            </w:r>
          </w:p>
        </w:tc>
        <w:tc>
          <w:tcPr>
            <w:tcW w:type="dxa" w:w="2798"/>
          </w:tcPr>
          <w:p>
            <w:pPr>
              <w:spacing w:before="0" w:after="0" w:line="276" w:lineRule="auto"/>
            </w:pPr>
            <w:r/>
            <w:r>
              <w:rPr>
                <w:rFonts w:ascii="Times New Roman" w:hAnsi="Times New Roman" w:eastAsia="宋体"/>
                <w:b w:val="0"/>
                <w:color w:val="1F1F1F"/>
                <w:sz w:val="18"/>
              </w:rPr>
              <w:t>G3 结构设计；G5 接入试点</w:t>
            </w:r>
          </w:p>
        </w:tc>
        <w:tc>
          <w:tcPr>
            <w:tcW w:type="dxa" w:w="2428"/>
          </w:tcPr>
          <w:p>
            <w:pPr>
              <w:spacing w:before="0" w:after="0" w:line="276" w:lineRule="auto"/>
            </w:pPr>
            <w:r/>
            <w:r>
              <w:rPr>
                <w:rFonts w:ascii="Times New Roman" w:hAnsi="Times New Roman" w:eastAsia="宋体"/>
                <w:b w:val="0"/>
                <w:color w:val="1F1F1F"/>
                <w:sz w:val="18"/>
              </w:rPr>
              <w:t>G6 推广；碳账口径复制</w:t>
            </w:r>
          </w:p>
        </w:tc>
      </w:tr>
      <w:tr>
        <w:trPr>
          <w:cantSplit/>
        </w:trPr>
        <w:tc>
          <w:tcPr>
            <w:tcW w:type="dxa" w:w="1516"/>
          </w:tcPr>
          <w:p>
            <w:pPr>
              <w:spacing w:before="0" w:after="0" w:line="276" w:lineRule="auto"/>
            </w:pPr>
            <w:r/>
            <w:r>
              <w:rPr>
                <w:rFonts w:ascii="Times New Roman" w:hAnsi="Times New Roman" w:eastAsia="宋体"/>
                <w:b w:val="0"/>
                <w:color w:val="1F1F1F"/>
                <w:sz w:val="18"/>
              </w:rPr>
              <w:t>高效</w:t>
            </w:r>
          </w:p>
        </w:tc>
        <w:tc>
          <w:tcPr>
            <w:tcW w:type="dxa" w:w="2102"/>
          </w:tcPr>
          <w:p>
            <w:pPr>
              <w:spacing w:before="0" w:after="0" w:line="276" w:lineRule="auto"/>
            </w:pPr>
            <w:r/>
            <w:r>
              <w:rPr>
                <w:rFonts w:ascii="Times New Roman" w:hAnsi="Times New Roman" w:eastAsia="宋体"/>
                <w:b w:val="0"/>
                <w:color w:val="1F1F1F"/>
                <w:sz w:val="18"/>
              </w:rPr>
              <w:t>E1 先行</w:t>
            </w:r>
          </w:p>
        </w:tc>
        <w:tc>
          <w:tcPr>
            <w:tcW w:type="dxa" w:w="2798"/>
          </w:tcPr>
          <w:p>
            <w:pPr>
              <w:spacing w:before="0" w:after="0" w:line="276" w:lineRule="auto"/>
            </w:pPr>
            <w:r/>
            <w:r>
              <w:rPr>
                <w:rFonts w:ascii="Times New Roman" w:hAnsi="Times New Roman" w:eastAsia="宋体"/>
                <w:b w:val="0"/>
                <w:color w:val="1F1F1F"/>
                <w:sz w:val="18"/>
              </w:rPr>
              <w:t>E2、E3、E4 试点；E5 摸底</w:t>
            </w:r>
          </w:p>
        </w:tc>
        <w:tc>
          <w:tcPr>
            <w:tcW w:type="dxa" w:w="2428"/>
          </w:tcPr>
          <w:p>
            <w:pPr>
              <w:spacing w:before="0" w:after="0" w:line="276" w:lineRule="auto"/>
            </w:pPr>
            <w:r/>
            <w:r>
              <w:rPr>
                <w:rFonts w:ascii="Times New Roman" w:hAnsi="Times New Roman" w:eastAsia="宋体"/>
                <w:b w:val="0"/>
                <w:color w:val="1F1F1F"/>
                <w:sz w:val="18"/>
              </w:rPr>
              <w:t>E6 分档推广；策略库复制</w:t>
            </w:r>
          </w:p>
        </w:tc>
      </w:tr>
      <w:tr>
        <w:trPr>
          <w:cantSplit/>
        </w:trPr>
        <w:tc>
          <w:tcPr>
            <w:tcW w:type="dxa" w:w="1516"/>
          </w:tcPr>
          <w:p>
            <w:pPr>
              <w:spacing w:before="0" w:after="0" w:line="276" w:lineRule="auto"/>
            </w:pPr>
            <w:r/>
            <w:r>
              <w:rPr>
                <w:rFonts w:ascii="Times New Roman" w:hAnsi="Times New Roman" w:eastAsia="宋体"/>
                <w:b w:val="0"/>
                <w:color w:val="1F1F1F"/>
                <w:sz w:val="18"/>
              </w:rPr>
              <w:t>智慧</w:t>
            </w:r>
          </w:p>
        </w:tc>
        <w:tc>
          <w:tcPr>
            <w:tcW w:type="dxa" w:w="2102"/>
          </w:tcPr>
          <w:p>
            <w:pPr>
              <w:spacing w:before="0" w:after="0" w:line="276" w:lineRule="auto"/>
            </w:pPr>
            <w:r/>
            <w:r>
              <w:rPr>
                <w:rFonts w:ascii="Times New Roman" w:hAnsi="Times New Roman" w:eastAsia="宋体"/>
                <w:b w:val="0"/>
                <w:color w:val="1F1F1F"/>
                <w:sz w:val="18"/>
              </w:rPr>
              <w:t>S1、S5 先行</w:t>
            </w:r>
          </w:p>
        </w:tc>
        <w:tc>
          <w:tcPr>
            <w:tcW w:type="dxa" w:w="2798"/>
          </w:tcPr>
          <w:p>
            <w:pPr>
              <w:spacing w:before="0" w:after="0" w:line="276" w:lineRule="auto"/>
            </w:pPr>
            <w:r/>
            <w:r>
              <w:rPr>
                <w:rFonts w:ascii="Times New Roman" w:hAnsi="Times New Roman" w:eastAsia="宋体"/>
                <w:b w:val="0"/>
                <w:color w:val="1F1F1F"/>
                <w:sz w:val="18"/>
              </w:rPr>
              <w:t>S2 补计量；S3、S4 试点</w:t>
            </w:r>
          </w:p>
        </w:tc>
        <w:tc>
          <w:tcPr>
            <w:tcW w:type="dxa" w:w="2428"/>
          </w:tcPr>
          <w:p>
            <w:pPr>
              <w:spacing w:before="0" w:after="0" w:line="276" w:lineRule="auto"/>
            </w:pPr>
            <w:r/>
            <w:r>
              <w:rPr>
                <w:rFonts w:ascii="Times New Roman" w:hAnsi="Times New Roman" w:eastAsia="宋体"/>
                <w:b w:val="0"/>
                <w:color w:val="1F1F1F"/>
                <w:sz w:val="18"/>
              </w:rPr>
              <w:t>平台多园区架构验证</w:t>
            </w:r>
          </w:p>
        </w:tc>
      </w:tr>
      <w:tr>
        <w:trPr>
          <w:cantSplit/>
        </w:trPr>
        <w:tc>
          <w:tcPr>
            <w:tcW w:type="dxa" w:w="1516"/>
          </w:tcPr>
          <w:p>
            <w:pPr>
              <w:spacing w:before="0" w:after="0" w:line="276" w:lineRule="auto"/>
            </w:pPr>
            <w:r/>
            <w:r>
              <w:rPr>
                <w:rFonts w:ascii="Times New Roman" w:hAnsi="Times New Roman" w:eastAsia="宋体"/>
                <w:b w:val="0"/>
                <w:color w:val="1F1F1F"/>
                <w:sz w:val="18"/>
              </w:rPr>
              <w:t>普惠</w:t>
            </w:r>
          </w:p>
        </w:tc>
        <w:tc>
          <w:tcPr>
            <w:tcW w:type="dxa" w:w="2102"/>
          </w:tcPr>
          <w:p>
            <w:pPr>
              <w:spacing w:before="0" w:after="0" w:line="276" w:lineRule="auto"/>
            </w:pPr>
            <w:r/>
            <w:r>
              <w:rPr>
                <w:rFonts w:ascii="Times New Roman" w:hAnsi="Times New Roman" w:eastAsia="宋体"/>
                <w:b w:val="0"/>
                <w:color w:val="1F1F1F"/>
                <w:sz w:val="18"/>
              </w:rPr>
              <w:t>P1 规则设计</w:t>
            </w:r>
          </w:p>
        </w:tc>
        <w:tc>
          <w:tcPr>
            <w:tcW w:type="dxa" w:w="2798"/>
          </w:tcPr>
          <w:p>
            <w:pPr>
              <w:spacing w:before="0" w:after="0" w:line="276" w:lineRule="auto"/>
            </w:pPr>
            <w:r/>
            <w:r>
              <w:rPr>
                <w:rFonts w:ascii="Times New Roman" w:hAnsi="Times New Roman" w:eastAsia="宋体"/>
                <w:b w:val="0"/>
                <w:color w:val="1F1F1F"/>
                <w:sz w:val="18"/>
              </w:rPr>
              <w:t>P1 上线；P3 预约打通；P4 排查</w:t>
            </w:r>
          </w:p>
        </w:tc>
        <w:tc>
          <w:tcPr>
            <w:tcW w:type="dxa" w:w="2428"/>
          </w:tcPr>
          <w:p>
            <w:pPr>
              <w:spacing w:before="0" w:after="0" w:line="276" w:lineRule="auto"/>
            </w:pPr>
            <w:r/>
            <w:r>
              <w:rPr>
                <w:rFonts w:ascii="Times New Roman" w:hAnsi="Times New Roman" w:eastAsia="宋体"/>
                <w:b w:val="0"/>
                <w:color w:val="1F1F1F"/>
                <w:sz w:val="18"/>
              </w:rPr>
              <w:t>P2 算力开放扩面；机制复制</w:t>
            </w:r>
          </w:p>
        </w:tc>
      </w:tr>
      <w:tr>
        <w:trPr>
          <w:cantSplit/>
        </w:trPr>
        <w:tc>
          <w:tcPr>
            <w:tcW w:type="dxa" w:w="1516"/>
          </w:tcPr>
          <w:p>
            <w:pPr>
              <w:spacing w:before="0" w:after="0" w:line="276" w:lineRule="auto"/>
            </w:pPr>
            <w:r/>
            <w:r>
              <w:rPr>
                <w:rFonts w:ascii="Times New Roman" w:hAnsi="Times New Roman" w:eastAsia="宋体"/>
                <w:b w:val="0"/>
                <w:color w:val="1F1F1F"/>
                <w:sz w:val="18"/>
              </w:rPr>
              <w:t>健康</w:t>
            </w:r>
          </w:p>
        </w:tc>
        <w:tc>
          <w:tcPr>
            <w:tcW w:type="dxa" w:w="2102"/>
          </w:tcPr>
          <w:p>
            <w:pPr>
              <w:spacing w:before="0" w:after="0" w:line="276" w:lineRule="auto"/>
            </w:pPr>
            <w:r/>
            <w:r>
              <w:rPr>
                <w:rFonts w:ascii="Times New Roman" w:hAnsi="Times New Roman" w:eastAsia="宋体"/>
                <w:b w:val="0"/>
                <w:color w:val="1F1F1F"/>
                <w:sz w:val="18"/>
              </w:rPr>
              <w:t>H5 规则</w:t>
            </w:r>
          </w:p>
        </w:tc>
        <w:tc>
          <w:tcPr>
            <w:tcW w:type="dxa" w:w="2798"/>
          </w:tcPr>
          <w:p>
            <w:pPr>
              <w:spacing w:before="0" w:after="0" w:line="276" w:lineRule="auto"/>
            </w:pPr>
            <w:r/>
            <w:r>
              <w:rPr>
                <w:rFonts w:ascii="Times New Roman" w:hAnsi="Times New Roman" w:eastAsia="宋体"/>
                <w:b w:val="0"/>
                <w:color w:val="1F1F1F"/>
                <w:sz w:val="18"/>
              </w:rPr>
              <w:t>H1、H2 与试点互锁</w:t>
            </w:r>
          </w:p>
        </w:tc>
        <w:tc>
          <w:tcPr>
            <w:tcW w:type="dxa" w:w="2428"/>
          </w:tcPr>
          <w:p>
            <w:pPr>
              <w:spacing w:before="0" w:after="0" w:line="276" w:lineRule="auto"/>
            </w:pPr>
            <w:r/>
            <w:r>
              <w:rPr>
                <w:rFonts w:ascii="Times New Roman" w:hAnsi="Times New Roman" w:eastAsia="宋体"/>
                <w:b w:val="0"/>
                <w:color w:val="1F1F1F"/>
                <w:sz w:val="18"/>
              </w:rPr>
              <w:t>H3、H4 推广</w:t>
            </w:r>
          </w:p>
        </w:tc>
      </w:tr>
      <w:tr>
        <w:trPr>
          <w:cantSplit/>
        </w:trPr>
        <w:tc>
          <w:tcPr>
            <w:tcW w:type="dxa" w:w="1516"/>
          </w:tcPr>
          <w:p>
            <w:pPr>
              <w:spacing w:before="0" w:after="0" w:line="276" w:lineRule="auto"/>
            </w:pPr>
            <w:r/>
            <w:r>
              <w:rPr>
                <w:rFonts w:ascii="Times New Roman" w:hAnsi="Times New Roman" w:eastAsia="宋体"/>
                <w:b w:val="0"/>
                <w:color w:val="1F1F1F"/>
                <w:sz w:val="18"/>
              </w:rPr>
              <w:t>人文</w:t>
            </w:r>
          </w:p>
        </w:tc>
        <w:tc>
          <w:tcPr>
            <w:tcW w:type="dxa" w:w="2102"/>
          </w:tcPr>
          <w:p>
            <w:pPr>
              <w:spacing w:before="0" w:after="0" w:line="276" w:lineRule="auto"/>
            </w:pPr>
            <w:r/>
            <w:r>
              <w:rPr>
                <w:rFonts w:ascii="Times New Roman" w:hAnsi="Times New Roman" w:eastAsia="宋体"/>
                <w:b w:val="0"/>
                <w:color w:val="1F1F1F"/>
                <w:sz w:val="18"/>
              </w:rPr>
              <w:t>C1 导则；C3 动线设计</w:t>
            </w:r>
          </w:p>
        </w:tc>
        <w:tc>
          <w:tcPr>
            <w:tcW w:type="dxa" w:w="2798"/>
          </w:tcPr>
          <w:p>
            <w:pPr>
              <w:spacing w:before="0" w:after="0" w:line="276" w:lineRule="auto"/>
            </w:pPr>
            <w:r/>
            <w:r>
              <w:rPr>
                <w:rFonts w:ascii="Times New Roman" w:hAnsi="Times New Roman" w:eastAsia="宋体"/>
                <w:b w:val="0"/>
                <w:color w:val="1F1F1F"/>
                <w:sz w:val="18"/>
              </w:rPr>
              <w:t>C2 试点场地</w:t>
            </w:r>
          </w:p>
        </w:tc>
        <w:tc>
          <w:tcPr>
            <w:tcW w:type="dxa" w:w="2428"/>
          </w:tcPr>
          <w:p>
            <w:pPr>
              <w:spacing w:before="0" w:after="0" w:line="276" w:lineRule="auto"/>
            </w:pPr>
            <w:r/>
            <w:r>
              <w:rPr>
                <w:rFonts w:ascii="Times New Roman" w:hAnsi="Times New Roman" w:eastAsia="宋体"/>
                <w:b w:val="0"/>
                <w:color w:val="1F1F1F"/>
                <w:sz w:val="18"/>
              </w:rPr>
              <w:t>C4 运营常态化</w:t>
            </w:r>
          </w:p>
        </w:tc>
      </w:tr>
    </w:tbl>
    <w:p>
      <w:pPr>
        <w:spacing w:after="80"/>
      </w:pPr>
    </w:p>
    <w:p>
      <w:pPr>
        <w:pStyle w:val="Heading2"/>
        <w:keepNext/>
        <w:spacing w:before="240" w:after="120" w:line="360" w:lineRule="auto"/>
      </w:pPr>
      <w:r>
        <w:rPr>
          <w:rFonts w:ascii="Times New Roman" w:hAnsi="Times New Roman" w:eastAsia="黑体"/>
          <w:b w:val="0"/>
          <w:color w:val="1F1F1F"/>
          <w:sz w:val="28"/>
        </w:rPr>
        <w:t>五、组织与保障</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主笔自持。</w:t>
      </w:r>
      <w:r>
        <w:rPr>
          <w:rFonts w:ascii="Times New Roman" w:hAnsi="Times New Roman" w:eastAsia="仿宋_GB2312"/>
          <w:b w:val="0"/>
          <w:color w:val="1F1F1F"/>
          <w:sz w:val="24"/>
        </w:rPr>
        <w:t xml:space="preserve"> 能源公司主笔起草并负责最终交付；买设备、平台、认证、服务，不买主笔；外请事项按已立专项落实。</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数据主权与模型产权。</w:t>
      </w:r>
      <w:r>
        <w:rPr>
          <w:rFonts w:ascii="Times New Roman" w:hAnsi="Times New Roman" w:eastAsia="仿宋_GB2312"/>
          <w:b w:val="0"/>
          <w:color w:val="1F1F1F"/>
          <w:sz w:val="24"/>
        </w:rPr>
        <w:t xml:space="preserve"> 平台数据归南网；外部模型本地化部署的重训成本与责任划分作为选型前置条款。</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方法沉淀。</w:t>
      </w:r>
      <w:r>
        <w:rPr>
          <w:rFonts w:ascii="Times New Roman" w:hAnsi="Times New Roman" w:eastAsia="仿宋_GB2312"/>
          <w:b w:val="0"/>
          <w:color w:val="1F1F1F"/>
          <w:sz w:val="24"/>
        </w:rPr>
        <w:t xml:space="preserve"> 诊断流程、控制策略、碳账口径与各类 SOP 按企业技术标准路径沉淀。</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预算机制。</w:t>
      </w:r>
      <w:r>
        <w:rPr>
          <w:rFonts w:ascii="Times New Roman" w:hAnsi="Times New Roman" w:eastAsia="仿宋_GB2312"/>
          <w:b w:val="0"/>
          <w:color w:val="1F1F1F"/>
          <w:sz w:val="24"/>
        </w:rPr>
        <w:t xml:space="preserve"> 本稿不报投资额；框架审议通过后按程序衔接网公司分阶段预算。</w:t>
      </w:r>
    </w:p>
    <w:p>
      <w:pPr>
        <w:spacing w:before="0" w:after="80" w:line="360" w:lineRule="auto"/>
        <w:ind w:left="480" w:hanging="240"/>
      </w:pPr>
      <w:r>
        <w:rPr>
          <w:rFonts w:ascii="Times New Roman" w:hAnsi="Times New Roman" w:eastAsia="仿宋_GB2312"/>
          <w:b w:val="0"/>
          <w:color w:val="1F1F1F"/>
          <w:sz w:val="24"/>
        </w:rPr>
        <w:t xml:space="preserve">▪ </w:t>
      </w:r>
      <w:r>
        <w:rPr>
          <w:rFonts w:ascii="Times New Roman" w:hAnsi="Times New Roman" w:eastAsia="仿宋_GB2312"/>
          <w:b/>
          <w:color w:val="1F1F1F"/>
          <w:sz w:val="24"/>
        </w:rPr>
        <w:t>口径管理。</w:t>
      </w:r>
      <w:r>
        <w:rPr>
          <w:rFonts w:ascii="Times New Roman" w:hAnsi="Times New Roman" w:eastAsia="仿宋_GB2312"/>
          <w:b w:val="0"/>
          <w:color w:val="1F1F1F"/>
          <w:sz w:val="24"/>
        </w:rPr>
        <w:t xml:space="preserve"> 本稿口径（一核六边、六要素定义、普惠边界、证据标注）为后续汇报材料、预可研与对外稿的统一依据；对外稿不出现内部平台名称与未核数据。</w:t>
      </w:r>
    </w:p>
    <w:p>
      <w:pPr>
        <w:pStyle w:val="Heading1"/>
        <w:keepNext/>
        <w:pageBreakBefore/>
        <w:spacing w:before="360" w:after="240" w:line="360" w:lineRule="auto"/>
        <w:jc w:val="center"/>
      </w:pPr>
      <w:r>
        <w:rPr>
          <w:rFonts w:ascii="Times New Roman" w:hAnsi="Times New Roman" w:eastAsia="黑体"/>
          <w:b w:val="0"/>
          <w:color w:val="1F1F1F"/>
          <w:sz w:val="32"/>
        </w:rPr>
        <w:t>第十二章 待核清单与后续工作安排</w:t>
      </w:r>
    </w:p>
    <w:p>
      <w:pPr>
        <w:spacing w:before="0" w:after="120" w:line="360" w:lineRule="auto"/>
        <w:ind w:firstLine="480"/>
      </w:pPr>
      <w:r>
        <w:rPr>
          <w:rFonts w:ascii="Times New Roman" w:hAnsi="Times New Roman" w:eastAsia="仿宋_GB2312"/>
          <w:b/>
          <w:color w:val="1F1F1F"/>
          <w:sz w:val="24"/>
        </w:rPr>
        <w:t>本章结论。</w:t>
      </w:r>
      <w:r>
        <w:rPr>
          <w:rFonts w:ascii="Times New Roman" w:hAnsi="Times New Roman" w:eastAsia="仿宋_GB2312"/>
          <w:b w:val="0"/>
          <w:color w:val="1F1F1F"/>
          <w:sz w:val="24"/>
        </w:rPr>
        <w:t xml:space="preserve"> 以下事项在稿中均已标注【待核】，未转化为指标；进入预可研前须逐项核掉。</w:t>
      </w:r>
    </w:p>
    <w:p>
      <w:pPr>
        <w:pStyle w:val="Heading2"/>
        <w:keepNext/>
        <w:spacing w:before="240" w:after="120" w:line="360" w:lineRule="auto"/>
      </w:pPr>
      <w:r>
        <w:rPr>
          <w:rFonts w:ascii="Times New Roman" w:hAnsi="Times New Roman" w:eastAsia="黑体"/>
          <w:b w:val="0"/>
          <w:color w:val="1F1F1F"/>
          <w:sz w:val="28"/>
        </w:rPr>
        <w:t>一、待核清单</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87"/>
        <w:gridCol w:w="2414"/>
        <w:gridCol w:w="2209"/>
        <w:gridCol w:w="1646"/>
        <w:gridCol w:w="1287"/>
      </w:tblGrid>
      <w:tr>
        <w:trPr>
          <w:cantSplit/>
          <w:tblHeader/>
        </w:trPr>
        <w:tc>
          <w:tcPr>
            <w:tcW w:type="dxa" w:w="1287"/>
            <w:shd w:val="clear" w:color="auto" w:fill="E7EEF3"/>
          </w:tcPr>
          <w:p>
            <w:pPr>
              <w:keepNext/>
              <w:spacing w:before="0" w:after="0" w:line="276" w:lineRule="auto"/>
            </w:pPr>
            <w:r/>
            <w:r>
              <w:rPr>
                <w:rFonts w:ascii="Times New Roman" w:hAnsi="Times New Roman" w:eastAsia="宋体"/>
                <w:b/>
                <w:color w:val="1F1F1F"/>
                <w:sz w:val="18"/>
              </w:rPr>
              <w:t>编号</w:t>
            </w:r>
          </w:p>
        </w:tc>
        <w:tc>
          <w:tcPr>
            <w:tcW w:type="dxa" w:w="2414"/>
            <w:shd w:val="clear" w:color="auto" w:fill="E7EEF3"/>
          </w:tcPr>
          <w:p>
            <w:pPr>
              <w:keepNext/>
              <w:spacing w:before="0" w:after="0" w:line="276" w:lineRule="auto"/>
            </w:pPr>
            <w:r/>
            <w:r>
              <w:rPr>
                <w:rFonts w:ascii="Times New Roman" w:hAnsi="Times New Roman" w:eastAsia="宋体"/>
                <w:b/>
                <w:color w:val="1F1F1F"/>
                <w:sz w:val="18"/>
              </w:rPr>
              <w:t>事项</w:t>
            </w:r>
          </w:p>
        </w:tc>
        <w:tc>
          <w:tcPr>
            <w:tcW w:type="dxa" w:w="2209"/>
            <w:shd w:val="clear" w:color="auto" w:fill="E7EEF3"/>
          </w:tcPr>
          <w:p>
            <w:pPr>
              <w:keepNext/>
              <w:spacing w:before="0" w:after="0" w:line="276" w:lineRule="auto"/>
            </w:pPr>
            <w:r/>
            <w:r>
              <w:rPr>
                <w:rFonts w:ascii="Times New Roman" w:hAnsi="Times New Roman" w:eastAsia="宋体"/>
                <w:b/>
                <w:color w:val="1F1F1F"/>
                <w:sz w:val="18"/>
              </w:rPr>
              <w:t>当前口径</w:t>
            </w:r>
          </w:p>
        </w:tc>
        <w:tc>
          <w:tcPr>
            <w:tcW w:type="dxa" w:w="1646"/>
            <w:shd w:val="clear" w:color="auto" w:fill="E7EEF3"/>
          </w:tcPr>
          <w:p>
            <w:pPr>
              <w:keepNext/>
              <w:spacing w:before="0" w:after="0" w:line="276" w:lineRule="auto"/>
            </w:pPr>
            <w:r/>
            <w:r>
              <w:rPr>
                <w:rFonts w:ascii="Times New Roman" w:hAnsi="Times New Roman" w:eastAsia="宋体"/>
                <w:b/>
                <w:color w:val="1F1F1F"/>
                <w:sz w:val="18"/>
              </w:rPr>
              <w:t>核验方式</w:t>
            </w:r>
          </w:p>
        </w:tc>
        <w:tc>
          <w:tcPr>
            <w:tcW w:type="dxa" w:w="1287"/>
            <w:shd w:val="clear" w:color="auto" w:fill="E7EEF3"/>
          </w:tcPr>
          <w:p>
            <w:pPr>
              <w:keepNext/>
              <w:spacing w:before="0" w:after="0" w:line="276" w:lineRule="auto"/>
            </w:pPr>
            <w:r/>
            <w:r>
              <w:rPr>
                <w:rFonts w:ascii="Times New Roman" w:hAnsi="Times New Roman" w:eastAsia="宋体"/>
                <w:b/>
                <w:color w:val="1F1F1F"/>
                <w:sz w:val="18"/>
              </w:rPr>
              <w:t>影响的边</w:t>
            </w:r>
          </w:p>
        </w:tc>
      </w:tr>
      <w:tr>
        <w:trPr>
          <w:cantSplit/>
        </w:trPr>
        <w:tc>
          <w:tcPr>
            <w:tcW w:type="dxa" w:w="1287"/>
          </w:tcPr>
          <w:p>
            <w:pPr>
              <w:spacing w:before="0" w:after="0" w:line="276" w:lineRule="auto"/>
            </w:pPr>
            <w:r/>
            <w:r>
              <w:rPr>
                <w:rFonts w:ascii="Times New Roman" w:hAnsi="Times New Roman" w:eastAsia="宋体"/>
                <w:b w:val="0"/>
                <w:color w:val="1F1F1F"/>
                <w:sz w:val="18"/>
              </w:rPr>
              <w:t>1</w:t>
            </w:r>
          </w:p>
        </w:tc>
        <w:tc>
          <w:tcPr>
            <w:tcW w:type="dxa" w:w="2414"/>
          </w:tcPr>
          <w:p>
            <w:pPr>
              <w:spacing w:before="0" w:after="0" w:line="276" w:lineRule="auto"/>
            </w:pPr>
            <w:r/>
            <w:r>
              <w:rPr>
                <w:rFonts w:ascii="Times New Roman" w:hAnsi="Times New Roman" w:eastAsia="宋体"/>
                <w:b w:val="0"/>
                <w:color w:val="1F1F1F"/>
                <w:sz w:val="18"/>
              </w:rPr>
              <w:t>园区年用电量及数据机房是否计入</w:t>
            </w:r>
          </w:p>
        </w:tc>
        <w:tc>
          <w:tcPr>
            <w:tcW w:type="dxa" w:w="2209"/>
          </w:tcPr>
          <w:p>
            <w:pPr>
              <w:spacing w:before="0" w:after="0" w:line="276" w:lineRule="auto"/>
            </w:pPr>
            <w:r/>
            <w:r>
              <w:rPr>
                <w:rFonts w:ascii="Times New Roman" w:hAnsi="Times New Roman" w:eastAsia="宋体"/>
                <w:b w:val="0"/>
                <w:color w:val="1F1F1F"/>
                <w:sz w:val="18"/>
              </w:rPr>
              <w:t>约 7000 万度两种并存口径【会中口述】</w:t>
            </w:r>
          </w:p>
        </w:tc>
        <w:tc>
          <w:tcPr>
            <w:tcW w:type="dxa" w:w="1646"/>
          </w:tcPr>
          <w:p>
            <w:pPr>
              <w:spacing w:before="0" w:after="0" w:line="276" w:lineRule="auto"/>
            </w:pPr>
            <w:r/>
            <w:r>
              <w:rPr>
                <w:rFonts w:ascii="Times New Roman" w:hAnsi="Times New Roman" w:eastAsia="宋体"/>
                <w:b w:val="0"/>
                <w:color w:val="1F1F1F"/>
                <w:sz w:val="18"/>
              </w:rPr>
              <w:t>园区平台数据核验</w:t>
            </w:r>
          </w:p>
        </w:tc>
        <w:tc>
          <w:tcPr>
            <w:tcW w:type="dxa" w:w="1287"/>
          </w:tcPr>
          <w:p>
            <w:pPr>
              <w:spacing w:before="0" w:after="0" w:line="276" w:lineRule="auto"/>
            </w:pPr>
            <w:r/>
            <w:r>
              <w:rPr>
                <w:rFonts w:ascii="Times New Roman" w:hAnsi="Times New Roman" w:eastAsia="宋体"/>
                <w:b w:val="0"/>
                <w:color w:val="1F1F1F"/>
                <w:sz w:val="18"/>
              </w:rPr>
              <w:t>绿色、高效、智慧</w:t>
            </w:r>
          </w:p>
        </w:tc>
      </w:tr>
      <w:tr>
        <w:trPr>
          <w:cantSplit/>
        </w:trPr>
        <w:tc>
          <w:tcPr>
            <w:tcW w:type="dxa" w:w="1287"/>
          </w:tcPr>
          <w:p>
            <w:pPr>
              <w:spacing w:before="0" w:after="0" w:line="276" w:lineRule="auto"/>
            </w:pPr>
            <w:r/>
            <w:r>
              <w:rPr>
                <w:rFonts w:ascii="Times New Roman" w:hAnsi="Times New Roman" w:eastAsia="宋体"/>
                <w:b w:val="0"/>
                <w:color w:val="1F1F1F"/>
                <w:sz w:val="18"/>
              </w:rPr>
              <w:t>2</w:t>
            </w:r>
          </w:p>
        </w:tc>
        <w:tc>
          <w:tcPr>
            <w:tcW w:type="dxa" w:w="2414"/>
          </w:tcPr>
          <w:p>
            <w:pPr>
              <w:spacing w:before="0" w:after="0" w:line="276" w:lineRule="auto"/>
            </w:pPr>
            <w:r/>
            <w:r>
              <w:rPr>
                <w:rFonts w:ascii="Times New Roman" w:hAnsi="Times New Roman" w:eastAsia="宋体"/>
                <w:b w:val="0"/>
                <w:color w:val="1F1F1F"/>
                <w:sz w:val="18"/>
              </w:rPr>
              <w:t>现状光伏装机、并网点、发电量与消纳方式</w:t>
            </w:r>
          </w:p>
        </w:tc>
        <w:tc>
          <w:tcPr>
            <w:tcW w:type="dxa" w:w="2209"/>
          </w:tcPr>
          <w:p>
            <w:pPr>
              <w:spacing w:before="0" w:after="0" w:line="276" w:lineRule="auto"/>
            </w:pPr>
            <w:r/>
            <w:r>
              <w:rPr>
                <w:rFonts w:ascii="Times New Roman" w:hAnsi="Times New Roman" w:eastAsia="宋体"/>
                <w:b w:val="0"/>
                <w:color w:val="1F1F1F"/>
                <w:sz w:val="18"/>
              </w:rPr>
              <w:t>约 2 点几兆瓦【会中口述】</w:t>
            </w:r>
          </w:p>
        </w:tc>
        <w:tc>
          <w:tcPr>
            <w:tcW w:type="dxa" w:w="1646"/>
          </w:tcPr>
          <w:p>
            <w:pPr>
              <w:spacing w:before="0" w:after="0" w:line="276" w:lineRule="auto"/>
            </w:pPr>
            <w:r/>
            <w:r>
              <w:rPr>
                <w:rFonts w:ascii="Times New Roman" w:hAnsi="Times New Roman" w:eastAsia="宋体"/>
                <w:b w:val="0"/>
                <w:color w:val="1F1F1F"/>
                <w:sz w:val="18"/>
              </w:rPr>
              <w:t>并网资料核验</w:t>
            </w:r>
          </w:p>
        </w:tc>
        <w:tc>
          <w:tcPr>
            <w:tcW w:type="dxa" w:w="1287"/>
          </w:tcPr>
          <w:p>
            <w:pPr>
              <w:spacing w:before="0" w:after="0" w:line="276" w:lineRule="auto"/>
            </w:pPr>
            <w:r/>
            <w:r>
              <w:rPr>
                <w:rFonts w:ascii="Times New Roman" w:hAnsi="Times New Roman" w:eastAsia="宋体"/>
                <w:b w:val="0"/>
                <w:color w:val="1F1F1F"/>
                <w:sz w:val="18"/>
              </w:rPr>
              <w:t>绿色</w:t>
            </w:r>
          </w:p>
        </w:tc>
      </w:tr>
      <w:tr>
        <w:trPr>
          <w:cantSplit/>
        </w:trPr>
        <w:tc>
          <w:tcPr>
            <w:tcW w:type="dxa" w:w="1287"/>
          </w:tcPr>
          <w:p>
            <w:pPr>
              <w:spacing w:before="0" w:after="0" w:line="276" w:lineRule="auto"/>
            </w:pPr>
            <w:r/>
            <w:r>
              <w:rPr>
                <w:rFonts w:ascii="Times New Roman" w:hAnsi="Times New Roman" w:eastAsia="宋体"/>
                <w:b w:val="0"/>
                <w:color w:val="1F1F1F"/>
                <w:sz w:val="18"/>
              </w:rPr>
              <w:t>3</w:t>
            </w:r>
          </w:p>
        </w:tc>
        <w:tc>
          <w:tcPr>
            <w:tcW w:type="dxa" w:w="2414"/>
          </w:tcPr>
          <w:p>
            <w:pPr>
              <w:spacing w:before="0" w:after="0" w:line="276" w:lineRule="auto"/>
            </w:pPr>
            <w:r/>
            <w:r>
              <w:rPr>
                <w:rFonts w:ascii="Times New Roman" w:hAnsi="Times New Roman" w:eastAsia="宋体"/>
                <w:b w:val="0"/>
                <w:color w:val="1F1F1F"/>
                <w:sz w:val="18"/>
              </w:rPr>
              <w:t>《零碳建筑技术标准》稿件状态、实施时间与适用条款</w:t>
            </w:r>
          </w:p>
        </w:tc>
        <w:tc>
          <w:tcPr>
            <w:tcW w:type="dxa" w:w="2209"/>
          </w:tcPr>
          <w:p>
            <w:pPr>
              <w:spacing w:before="0" w:after="0" w:line="276" w:lineRule="auto"/>
            </w:pPr>
            <w:r/>
            <w:r>
              <w:rPr>
                <w:rFonts w:ascii="Times New Roman" w:hAnsi="Times New Roman" w:eastAsia="宋体"/>
                <w:b w:val="0"/>
                <w:color w:val="1F1F1F"/>
                <w:sz w:val="18"/>
              </w:rPr>
              <w:t>报批稿与征求意见稿两说【宣讲材料】</w:t>
            </w:r>
          </w:p>
        </w:tc>
        <w:tc>
          <w:tcPr>
            <w:tcW w:type="dxa" w:w="1646"/>
          </w:tcPr>
          <w:p>
            <w:pPr>
              <w:spacing w:before="0" w:after="0" w:line="276" w:lineRule="auto"/>
            </w:pPr>
            <w:r/>
            <w:r>
              <w:rPr>
                <w:rFonts w:ascii="Times New Roman" w:hAnsi="Times New Roman" w:eastAsia="宋体"/>
                <w:b w:val="0"/>
                <w:color w:val="1F1F1F"/>
                <w:sz w:val="18"/>
              </w:rPr>
              <w:t>向中国建科院书面确认</w:t>
            </w:r>
          </w:p>
        </w:tc>
        <w:tc>
          <w:tcPr>
            <w:tcW w:type="dxa" w:w="1287"/>
          </w:tcPr>
          <w:p>
            <w:pPr>
              <w:spacing w:before="0" w:after="0" w:line="276" w:lineRule="auto"/>
            </w:pPr>
            <w:r/>
            <w:r>
              <w:rPr>
                <w:rFonts w:ascii="Times New Roman" w:hAnsi="Times New Roman" w:eastAsia="宋体"/>
                <w:b w:val="0"/>
                <w:color w:val="1F1F1F"/>
                <w:sz w:val="18"/>
              </w:rPr>
              <w:t>绿色</w:t>
            </w:r>
          </w:p>
        </w:tc>
      </w:tr>
      <w:tr>
        <w:trPr>
          <w:cantSplit/>
        </w:trPr>
        <w:tc>
          <w:tcPr>
            <w:tcW w:type="dxa" w:w="1287"/>
          </w:tcPr>
          <w:p>
            <w:pPr>
              <w:spacing w:before="0" w:after="0" w:line="276" w:lineRule="auto"/>
            </w:pPr>
            <w:r/>
            <w:r>
              <w:rPr>
                <w:rFonts w:ascii="Times New Roman" w:hAnsi="Times New Roman" w:eastAsia="宋体"/>
                <w:b w:val="0"/>
                <w:color w:val="1F1F1F"/>
                <w:sz w:val="18"/>
              </w:rPr>
              <w:t>4</w:t>
            </w:r>
          </w:p>
        </w:tc>
        <w:tc>
          <w:tcPr>
            <w:tcW w:type="dxa" w:w="2414"/>
          </w:tcPr>
          <w:p>
            <w:pPr>
              <w:spacing w:before="0" w:after="0" w:line="276" w:lineRule="auto"/>
            </w:pPr>
            <w:r/>
            <w:r>
              <w:rPr>
                <w:rFonts w:ascii="Times New Roman" w:hAnsi="Times New Roman" w:eastAsia="宋体"/>
                <w:b w:val="0"/>
                <w:color w:val="1F1F1F"/>
                <w:sz w:val="18"/>
              </w:rPr>
              <w:t>冷站不换主机节能潜力</w:t>
            </w:r>
          </w:p>
        </w:tc>
        <w:tc>
          <w:tcPr>
            <w:tcW w:type="dxa" w:w="2209"/>
          </w:tcPr>
          <w:p>
            <w:pPr>
              <w:spacing w:before="0" w:after="0" w:line="276" w:lineRule="auto"/>
            </w:pPr>
            <w:r/>
            <w:r>
              <w:rPr>
                <w:rFonts w:ascii="Times New Roman" w:hAnsi="Times New Roman" w:eastAsia="宋体"/>
                <w:b w:val="0"/>
                <w:color w:val="1F1F1F"/>
                <w:sz w:val="18"/>
              </w:rPr>
              <w:t>10%–20%【会中估算】；10%–20%【产品资料宣称】</w:t>
            </w:r>
          </w:p>
        </w:tc>
        <w:tc>
          <w:tcPr>
            <w:tcW w:type="dxa" w:w="1646"/>
          </w:tcPr>
          <w:p>
            <w:pPr>
              <w:spacing w:before="0" w:after="0" w:line="276" w:lineRule="auto"/>
            </w:pPr>
            <w:r/>
            <w:r>
              <w:rPr>
                <w:rFonts w:ascii="Times New Roman" w:hAnsi="Times New Roman" w:eastAsia="宋体"/>
                <w:b w:val="0"/>
                <w:color w:val="1F1F1F"/>
                <w:sz w:val="18"/>
              </w:rPr>
              <w:t>E1 实测基线</w:t>
            </w:r>
          </w:p>
        </w:tc>
        <w:tc>
          <w:tcPr>
            <w:tcW w:type="dxa" w:w="1287"/>
          </w:tcPr>
          <w:p>
            <w:pPr>
              <w:spacing w:before="0" w:after="0" w:line="276" w:lineRule="auto"/>
            </w:pPr>
            <w:r/>
            <w:r>
              <w:rPr>
                <w:rFonts w:ascii="Times New Roman" w:hAnsi="Times New Roman" w:eastAsia="宋体"/>
                <w:b w:val="0"/>
                <w:color w:val="1F1F1F"/>
                <w:sz w:val="18"/>
              </w:rPr>
              <w:t>高效</w:t>
            </w:r>
          </w:p>
        </w:tc>
      </w:tr>
      <w:tr>
        <w:trPr>
          <w:cantSplit/>
        </w:trPr>
        <w:tc>
          <w:tcPr>
            <w:tcW w:type="dxa" w:w="1287"/>
          </w:tcPr>
          <w:p>
            <w:pPr>
              <w:spacing w:before="0" w:after="0" w:line="276" w:lineRule="auto"/>
            </w:pPr>
            <w:r/>
            <w:r>
              <w:rPr>
                <w:rFonts w:ascii="Times New Roman" w:hAnsi="Times New Roman" w:eastAsia="宋体"/>
                <w:b w:val="0"/>
                <w:color w:val="1F1F1F"/>
                <w:sz w:val="18"/>
              </w:rPr>
              <w:t>5</w:t>
            </w:r>
          </w:p>
        </w:tc>
        <w:tc>
          <w:tcPr>
            <w:tcW w:type="dxa" w:w="2414"/>
          </w:tcPr>
          <w:p>
            <w:pPr>
              <w:spacing w:before="0" w:after="0" w:line="276" w:lineRule="auto"/>
            </w:pPr>
            <w:r/>
            <w:r>
              <w:rPr>
                <w:rFonts w:ascii="Times New Roman" w:hAnsi="Times New Roman" w:eastAsia="宋体"/>
                <w:b w:val="0"/>
                <w:color w:val="1F1F1F"/>
                <w:sz w:val="18"/>
              </w:rPr>
              <w:t>广东实时电价细则进度、时间尺度与适用主体</w:t>
            </w:r>
          </w:p>
        </w:tc>
        <w:tc>
          <w:tcPr>
            <w:tcW w:type="dxa" w:w="2209"/>
          </w:tcPr>
          <w:p>
            <w:pPr>
              <w:spacing w:before="0" w:after="0" w:line="276" w:lineRule="auto"/>
            </w:pPr>
            <w:r/>
            <w:r>
              <w:rPr>
                <w:rFonts w:ascii="Times New Roman" w:hAnsi="Times New Roman" w:eastAsia="宋体"/>
                <w:b w:val="0"/>
                <w:color w:val="1F1F1F"/>
                <w:sz w:val="18"/>
              </w:rPr>
              <w:t>预计 1–2 年落地、约 15 分钟级【交流纪要】</w:t>
            </w:r>
          </w:p>
        </w:tc>
        <w:tc>
          <w:tcPr>
            <w:tcW w:type="dxa" w:w="1646"/>
          </w:tcPr>
          <w:p>
            <w:pPr>
              <w:spacing w:before="0" w:after="0" w:line="276" w:lineRule="auto"/>
            </w:pPr>
            <w:r/>
            <w:r>
              <w:rPr>
                <w:rFonts w:ascii="Times New Roman" w:hAnsi="Times New Roman" w:eastAsia="宋体"/>
                <w:b w:val="0"/>
                <w:color w:val="1F1F1F"/>
                <w:sz w:val="18"/>
              </w:rPr>
              <w:t>跟踪官方文件</w:t>
            </w:r>
          </w:p>
        </w:tc>
        <w:tc>
          <w:tcPr>
            <w:tcW w:type="dxa" w:w="1287"/>
          </w:tcPr>
          <w:p>
            <w:pPr>
              <w:spacing w:before="0" w:after="0" w:line="276" w:lineRule="auto"/>
            </w:pPr>
            <w:r/>
            <w:r>
              <w:rPr>
                <w:rFonts w:ascii="Times New Roman" w:hAnsi="Times New Roman" w:eastAsia="宋体"/>
                <w:b w:val="0"/>
                <w:color w:val="1F1F1F"/>
                <w:sz w:val="18"/>
              </w:rPr>
              <w:t>高效、绿色</w:t>
            </w:r>
          </w:p>
        </w:tc>
      </w:tr>
      <w:tr>
        <w:trPr>
          <w:cantSplit/>
        </w:trPr>
        <w:tc>
          <w:tcPr>
            <w:tcW w:type="dxa" w:w="1287"/>
          </w:tcPr>
          <w:p>
            <w:pPr>
              <w:spacing w:before="0" w:after="0" w:line="276" w:lineRule="auto"/>
            </w:pPr>
            <w:r/>
            <w:r>
              <w:rPr>
                <w:rFonts w:ascii="Times New Roman" w:hAnsi="Times New Roman" w:eastAsia="宋体"/>
                <w:b w:val="0"/>
                <w:color w:val="1F1F1F"/>
                <w:sz w:val="18"/>
              </w:rPr>
              <w:t>6</w:t>
            </w:r>
          </w:p>
        </w:tc>
        <w:tc>
          <w:tcPr>
            <w:tcW w:type="dxa" w:w="2414"/>
          </w:tcPr>
          <w:p>
            <w:pPr>
              <w:spacing w:before="0" w:after="0" w:line="276" w:lineRule="auto"/>
            </w:pPr>
            <w:r/>
            <w:r>
              <w:rPr>
                <w:rFonts w:ascii="Times New Roman" w:hAnsi="Times New Roman" w:eastAsia="宋体"/>
                <w:b w:val="0"/>
                <w:color w:val="1F1F1F"/>
                <w:sz w:val="18"/>
              </w:rPr>
              <w:t>数据机房余热在广州气候下的需求侧量级</w:t>
            </w:r>
          </w:p>
        </w:tc>
        <w:tc>
          <w:tcPr>
            <w:tcW w:type="dxa" w:w="2209"/>
          </w:tcPr>
          <w:p>
            <w:pPr>
              <w:spacing w:before="0" w:after="0" w:line="276" w:lineRule="auto"/>
            </w:pPr>
            <w:r/>
            <w:r>
              <w:rPr>
                <w:rFonts w:ascii="Times New Roman" w:hAnsi="Times New Roman" w:eastAsia="宋体"/>
                <w:b w:val="0"/>
                <w:color w:val="1F1F1F"/>
                <w:sz w:val="18"/>
              </w:rPr>
              <w:t>无数据</w:t>
            </w:r>
          </w:p>
        </w:tc>
        <w:tc>
          <w:tcPr>
            <w:tcW w:type="dxa" w:w="1646"/>
          </w:tcPr>
          <w:p>
            <w:pPr>
              <w:spacing w:before="0" w:after="0" w:line="276" w:lineRule="auto"/>
            </w:pPr>
            <w:r/>
            <w:r>
              <w:rPr>
                <w:rFonts w:ascii="Times New Roman" w:hAnsi="Times New Roman" w:eastAsia="宋体"/>
                <w:b w:val="0"/>
                <w:color w:val="1F1F1F"/>
                <w:sz w:val="18"/>
              </w:rPr>
              <w:t>园区踏勘摸底</w:t>
            </w:r>
          </w:p>
        </w:tc>
        <w:tc>
          <w:tcPr>
            <w:tcW w:type="dxa" w:w="1287"/>
          </w:tcPr>
          <w:p>
            <w:pPr>
              <w:spacing w:before="0" w:after="0" w:line="276" w:lineRule="auto"/>
            </w:pPr>
            <w:r/>
            <w:r>
              <w:rPr>
                <w:rFonts w:ascii="Times New Roman" w:hAnsi="Times New Roman" w:eastAsia="宋体"/>
                <w:b w:val="0"/>
                <w:color w:val="1F1F1F"/>
                <w:sz w:val="18"/>
              </w:rPr>
              <w:t>高效</w:t>
            </w:r>
          </w:p>
        </w:tc>
      </w:tr>
      <w:tr>
        <w:trPr>
          <w:cantSplit/>
        </w:trPr>
        <w:tc>
          <w:tcPr>
            <w:tcW w:type="dxa" w:w="1287"/>
          </w:tcPr>
          <w:p>
            <w:pPr>
              <w:spacing w:before="0" w:after="0" w:line="276" w:lineRule="auto"/>
            </w:pPr>
            <w:r/>
            <w:r>
              <w:rPr>
                <w:rFonts w:ascii="Times New Roman" w:hAnsi="Times New Roman" w:eastAsia="宋体"/>
                <w:b w:val="0"/>
                <w:color w:val="1F1F1F"/>
                <w:sz w:val="18"/>
              </w:rPr>
              <w:t>7</w:t>
            </w:r>
          </w:p>
        </w:tc>
        <w:tc>
          <w:tcPr>
            <w:tcW w:type="dxa" w:w="2414"/>
          </w:tcPr>
          <w:p>
            <w:pPr>
              <w:spacing w:before="0" w:after="0" w:line="276" w:lineRule="auto"/>
            </w:pPr>
            <w:r/>
            <w:r>
              <w:rPr>
                <w:rFonts w:ascii="Times New Roman" w:hAnsi="Times New Roman" w:eastAsia="宋体"/>
                <w:b w:val="0"/>
                <w:color w:val="1F1F1F"/>
                <w:sz w:val="18"/>
              </w:rPr>
              <w:t>中国移动国际信息港运行绩效、“引导值”口径</w:t>
            </w:r>
          </w:p>
        </w:tc>
        <w:tc>
          <w:tcPr>
            <w:tcW w:type="dxa" w:w="2209"/>
          </w:tcPr>
          <w:p>
            <w:pPr>
              <w:spacing w:before="0" w:after="0" w:line="276" w:lineRule="auto"/>
            </w:pPr>
            <w:r/>
            <w:r>
              <w:rPr>
                <w:rFonts w:ascii="Times New Roman" w:hAnsi="Times New Roman" w:eastAsia="宋体"/>
                <w:b w:val="0"/>
                <w:color w:val="1F1F1F"/>
                <w:sz w:val="18"/>
              </w:rPr>
              <w:t>公开报道与产品资料【待核】</w:t>
            </w:r>
          </w:p>
        </w:tc>
        <w:tc>
          <w:tcPr>
            <w:tcW w:type="dxa" w:w="1646"/>
          </w:tcPr>
          <w:p>
            <w:pPr>
              <w:spacing w:before="0" w:after="0" w:line="276" w:lineRule="auto"/>
            </w:pPr>
            <w:r/>
            <w:r>
              <w:rPr>
                <w:rFonts w:ascii="Times New Roman" w:hAnsi="Times New Roman" w:eastAsia="宋体"/>
                <w:b w:val="0"/>
                <w:color w:val="1F1F1F"/>
                <w:sz w:val="18"/>
              </w:rPr>
              <w:t>实地调研与书面确认</w:t>
            </w:r>
          </w:p>
        </w:tc>
        <w:tc>
          <w:tcPr>
            <w:tcW w:type="dxa" w:w="1287"/>
          </w:tcPr>
          <w:p>
            <w:pPr>
              <w:spacing w:before="0" w:after="0" w:line="276" w:lineRule="auto"/>
            </w:pPr>
            <w:r/>
            <w:r>
              <w:rPr>
                <w:rFonts w:ascii="Times New Roman" w:hAnsi="Times New Roman" w:eastAsia="宋体"/>
                <w:b w:val="0"/>
                <w:color w:val="1F1F1F"/>
                <w:sz w:val="18"/>
              </w:rPr>
              <w:t>智慧、高效</w:t>
            </w:r>
          </w:p>
        </w:tc>
      </w:tr>
      <w:tr>
        <w:trPr>
          <w:cantSplit/>
        </w:trPr>
        <w:tc>
          <w:tcPr>
            <w:tcW w:type="dxa" w:w="1287"/>
          </w:tcPr>
          <w:p>
            <w:pPr>
              <w:spacing w:before="0" w:after="0" w:line="276" w:lineRule="auto"/>
            </w:pPr>
            <w:r/>
            <w:r>
              <w:rPr>
                <w:rFonts w:ascii="Times New Roman" w:hAnsi="Times New Roman" w:eastAsia="宋体"/>
                <w:b w:val="0"/>
                <w:color w:val="1F1F1F"/>
                <w:sz w:val="18"/>
              </w:rPr>
              <w:t>8</w:t>
            </w:r>
          </w:p>
        </w:tc>
        <w:tc>
          <w:tcPr>
            <w:tcW w:type="dxa" w:w="2414"/>
          </w:tcPr>
          <w:p>
            <w:pPr>
              <w:spacing w:before="0" w:after="0" w:line="276" w:lineRule="auto"/>
            </w:pPr>
            <w:r/>
            <w:r>
              <w:rPr>
                <w:rFonts w:ascii="Times New Roman" w:hAnsi="Times New Roman" w:eastAsia="宋体"/>
                <w:b w:val="0"/>
                <w:color w:val="1F1F1F"/>
                <w:sz w:val="18"/>
              </w:rPr>
              <w:t>公众开放范围</w:t>
            </w:r>
          </w:p>
        </w:tc>
        <w:tc>
          <w:tcPr>
            <w:tcW w:type="dxa" w:w="2209"/>
          </w:tcPr>
          <w:p>
            <w:pPr>
              <w:spacing w:before="0" w:after="0" w:line="276" w:lineRule="auto"/>
            </w:pPr>
            <w:r/>
            <w:r>
              <w:rPr>
                <w:rFonts w:ascii="Times New Roman" w:hAnsi="Times New Roman" w:eastAsia="宋体"/>
                <w:b w:val="0"/>
                <w:color w:val="1F1F1F"/>
                <w:sz w:val="18"/>
              </w:rPr>
              <w:t>无定论</w:t>
            </w:r>
          </w:p>
        </w:tc>
        <w:tc>
          <w:tcPr>
            <w:tcW w:type="dxa" w:w="1646"/>
          </w:tcPr>
          <w:p>
            <w:pPr>
              <w:spacing w:before="0" w:after="0" w:line="276" w:lineRule="auto"/>
            </w:pPr>
            <w:r/>
            <w:r>
              <w:rPr>
                <w:rFonts w:ascii="Times New Roman" w:hAnsi="Times New Roman" w:eastAsia="宋体"/>
                <w:b w:val="0"/>
                <w:color w:val="1F1F1F"/>
                <w:sz w:val="18"/>
              </w:rPr>
              <w:t>安保与保密评估</w:t>
            </w:r>
          </w:p>
        </w:tc>
        <w:tc>
          <w:tcPr>
            <w:tcW w:type="dxa" w:w="1287"/>
          </w:tcPr>
          <w:p>
            <w:pPr>
              <w:spacing w:before="0" w:after="0" w:line="276" w:lineRule="auto"/>
            </w:pPr>
            <w:r/>
            <w:r>
              <w:rPr>
                <w:rFonts w:ascii="Times New Roman" w:hAnsi="Times New Roman" w:eastAsia="宋体"/>
                <w:b w:val="0"/>
                <w:color w:val="1F1F1F"/>
                <w:sz w:val="18"/>
              </w:rPr>
              <w:t>普惠、人文</w:t>
            </w:r>
          </w:p>
        </w:tc>
      </w:tr>
      <w:tr>
        <w:trPr>
          <w:cantSplit/>
        </w:trPr>
        <w:tc>
          <w:tcPr>
            <w:tcW w:type="dxa" w:w="1287"/>
          </w:tcPr>
          <w:p>
            <w:pPr>
              <w:spacing w:before="0" w:after="0" w:line="276" w:lineRule="auto"/>
            </w:pPr>
            <w:r/>
            <w:r>
              <w:rPr>
                <w:rFonts w:ascii="Times New Roman" w:hAnsi="Times New Roman" w:eastAsia="宋体"/>
                <w:b w:val="0"/>
                <w:color w:val="1F1F1F"/>
                <w:sz w:val="18"/>
              </w:rPr>
              <w:t>9</w:t>
            </w:r>
          </w:p>
        </w:tc>
        <w:tc>
          <w:tcPr>
            <w:tcW w:type="dxa" w:w="2414"/>
          </w:tcPr>
          <w:p>
            <w:pPr>
              <w:spacing w:before="0" w:after="0" w:line="276" w:lineRule="auto"/>
            </w:pPr>
            <w:r/>
            <w:r>
              <w:rPr>
                <w:rFonts w:ascii="Times New Roman" w:hAnsi="Times New Roman" w:eastAsia="宋体"/>
                <w:b w:val="0"/>
                <w:color w:val="1F1F1F"/>
                <w:sz w:val="18"/>
              </w:rPr>
              <w:t>室内环境参数阈值的适用标准</w:t>
            </w:r>
          </w:p>
        </w:tc>
        <w:tc>
          <w:tcPr>
            <w:tcW w:type="dxa" w:w="2209"/>
          </w:tcPr>
          <w:p>
            <w:pPr>
              <w:spacing w:before="0" w:after="0" w:line="276" w:lineRule="auto"/>
            </w:pPr>
            <w:r/>
            <w:r>
              <w:rPr>
                <w:rFonts w:ascii="Times New Roman" w:hAnsi="Times New Roman" w:eastAsia="宋体"/>
                <w:b w:val="0"/>
                <w:color w:val="1F1F1F"/>
                <w:sz w:val="18"/>
              </w:rPr>
              <w:t>国家标准与 WELL 类路径【公开标准资料】</w:t>
            </w:r>
          </w:p>
        </w:tc>
        <w:tc>
          <w:tcPr>
            <w:tcW w:type="dxa" w:w="1646"/>
          </w:tcPr>
          <w:p>
            <w:pPr>
              <w:spacing w:before="0" w:after="0" w:line="276" w:lineRule="auto"/>
            </w:pPr>
            <w:r/>
            <w:r>
              <w:rPr>
                <w:rFonts w:ascii="Times New Roman" w:hAnsi="Times New Roman" w:eastAsia="宋体"/>
                <w:b w:val="0"/>
                <w:color w:val="1F1F1F"/>
                <w:sz w:val="18"/>
              </w:rPr>
              <w:t>标准条款核对</w:t>
            </w:r>
          </w:p>
        </w:tc>
        <w:tc>
          <w:tcPr>
            <w:tcW w:type="dxa" w:w="1287"/>
          </w:tcPr>
          <w:p>
            <w:pPr>
              <w:spacing w:before="0" w:after="0" w:line="276" w:lineRule="auto"/>
            </w:pPr>
            <w:r/>
            <w:r>
              <w:rPr>
                <w:rFonts w:ascii="Times New Roman" w:hAnsi="Times New Roman" w:eastAsia="宋体"/>
                <w:b w:val="0"/>
                <w:color w:val="1F1F1F"/>
                <w:sz w:val="18"/>
              </w:rPr>
              <w:t>健康</w:t>
            </w:r>
          </w:p>
        </w:tc>
      </w:tr>
      <w:tr>
        <w:trPr>
          <w:cantSplit/>
        </w:trPr>
        <w:tc>
          <w:tcPr>
            <w:tcW w:type="dxa" w:w="1287"/>
          </w:tcPr>
          <w:p>
            <w:pPr>
              <w:spacing w:before="0" w:after="0" w:line="276" w:lineRule="auto"/>
            </w:pPr>
            <w:r/>
            <w:r>
              <w:rPr>
                <w:rFonts w:ascii="Times New Roman" w:hAnsi="Times New Roman" w:eastAsia="宋体"/>
                <w:b w:val="0"/>
                <w:color w:val="1F1F1F"/>
                <w:sz w:val="18"/>
              </w:rPr>
              <w:t>10</w:t>
            </w:r>
          </w:p>
        </w:tc>
        <w:tc>
          <w:tcPr>
            <w:tcW w:type="dxa" w:w="2414"/>
          </w:tcPr>
          <w:p>
            <w:pPr>
              <w:spacing w:before="0" w:after="0" w:line="276" w:lineRule="auto"/>
            </w:pPr>
            <w:r/>
            <w:r>
              <w:rPr>
                <w:rFonts w:ascii="Times New Roman" w:hAnsi="Times New Roman" w:eastAsia="宋体"/>
                <w:b w:val="0"/>
                <w:color w:val="1F1F1F"/>
                <w:sz w:val="18"/>
              </w:rPr>
              <w:t>设备健康度、停机窗口、数据接口与网络安全边界</w:t>
            </w:r>
          </w:p>
        </w:tc>
        <w:tc>
          <w:tcPr>
            <w:tcW w:type="dxa" w:w="2209"/>
          </w:tcPr>
          <w:p>
            <w:pPr>
              <w:spacing w:before="0" w:after="0" w:line="276" w:lineRule="auto"/>
            </w:pPr>
            <w:r/>
            <w:r>
              <w:rPr>
                <w:rFonts w:ascii="Times New Roman" w:hAnsi="Times New Roman" w:eastAsia="宋体"/>
                <w:b w:val="0"/>
                <w:color w:val="1F1F1F"/>
                <w:sz w:val="18"/>
              </w:rPr>
              <w:t>无系统数据</w:t>
            </w:r>
          </w:p>
        </w:tc>
        <w:tc>
          <w:tcPr>
            <w:tcW w:type="dxa" w:w="1646"/>
          </w:tcPr>
          <w:p>
            <w:pPr>
              <w:spacing w:before="0" w:after="0" w:line="276" w:lineRule="auto"/>
            </w:pPr>
            <w:r/>
            <w:r>
              <w:rPr>
                <w:rFonts w:ascii="Times New Roman" w:hAnsi="Times New Roman" w:eastAsia="宋体"/>
                <w:b w:val="0"/>
                <w:color w:val="1F1F1F"/>
                <w:sz w:val="18"/>
              </w:rPr>
              <w:t>园区踏勘与运维资料</w:t>
            </w:r>
          </w:p>
        </w:tc>
        <w:tc>
          <w:tcPr>
            <w:tcW w:type="dxa" w:w="1287"/>
          </w:tcPr>
          <w:p>
            <w:pPr>
              <w:spacing w:before="0" w:after="0" w:line="276" w:lineRule="auto"/>
            </w:pPr>
            <w:r/>
            <w:r>
              <w:rPr>
                <w:rFonts w:ascii="Times New Roman" w:hAnsi="Times New Roman" w:eastAsia="宋体"/>
                <w:b w:val="0"/>
                <w:color w:val="1F1F1F"/>
                <w:sz w:val="18"/>
              </w:rPr>
              <w:t>全部</w:t>
            </w:r>
          </w:p>
        </w:tc>
      </w:tr>
      <w:tr>
        <w:trPr>
          <w:cantSplit/>
        </w:trPr>
        <w:tc>
          <w:tcPr>
            <w:tcW w:type="dxa" w:w="1287"/>
          </w:tcPr>
          <w:p>
            <w:pPr>
              <w:spacing w:before="0" w:after="0" w:line="276" w:lineRule="auto"/>
            </w:pPr>
            <w:r/>
            <w:r>
              <w:rPr>
                <w:rFonts w:ascii="Times New Roman" w:hAnsi="Times New Roman" w:eastAsia="宋体"/>
                <w:b w:val="0"/>
                <w:color w:val="1F1F1F"/>
                <w:sz w:val="18"/>
              </w:rPr>
              <w:t>11</w:t>
            </w:r>
          </w:p>
        </w:tc>
        <w:tc>
          <w:tcPr>
            <w:tcW w:type="dxa" w:w="2414"/>
          </w:tcPr>
          <w:p>
            <w:pPr>
              <w:spacing w:before="0" w:after="0" w:line="276" w:lineRule="auto"/>
            </w:pPr>
            <w:r/>
            <w:r>
              <w:rPr>
                <w:rFonts w:ascii="Times New Roman" w:hAnsi="Times New Roman" w:eastAsia="宋体"/>
                <w:b w:val="0"/>
                <w:color w:val="1F1F1F"/>
                <w:sz w:val="18"/>
              </w:rPr>
              <w:t>六张网及“2030 覆盖重点园区”提法的文件依据</w:t>
            </w:r>
          </w:p>
        </w:tc>
        <w:tc>
          <w:tcPr>
            <w:tcW w:type="dxa" w:w="2209"/>
          </w:tcPr>
          <w:p>
            <w:pPr>
              <w:spacing w:before="0" w:after="0" w:line="276" w:lineRule="auto"/>
            </w:pPr>
            <w:r/>
            <w:r>
              <w:rPr>
                <w:rFonts w:ascii="Times New Roman" w:hAnsi="Times New Roman" w:eastAsia="宋体"/>
                <w:b w:val="0"/>
                <w:color w:val="1F1F1F"/>
                <w:sz w:val="18"/>
              </w:rPr>
              <w:t>公开报道口径</w:t>
            </w:r>
          </w:p>
        </w:tc>
        <w:tc>
          <w:tcPr>
            <w:tcW w:type="dxa" w:w="1646"/>
          </w:tcPr>
          <w:p>
            <w:pPr>
              <w:spacing w:before="0" w:after="0" w:line="276" w:lineRule="auto"/>
            </w:pPr>
            <w:r/>
            <w:r>
              <w:rPr>
                <w:rFonts w:ascii="Times New Roman" w:hAnsi="Times New Roman" w:eastAsia="宋体"/>
                <w:b w:val="0"/>
                <w:color w:val="1F1F1F"/>
                <w:sz w:val="18"/>
              </w:rPr>
              <w:t>以正式印发文件为准</w:t>
            </w:r>
          </w:p>
        </w:tc>
        <w:tc>
          <w:tcPr>
            <w:tcW w:type="dxa" w:w="1287"/>
          </w:tcPr>
          <w:p>
            <w:pPr>
              <w:spacing w:before="0" w:after="0" w:line="276" w:lineRule="auto"/>
            </w:pPr>
            <w:r/>
            <w:r>
              <w:rPr>
                <w:rFonts w:ascii="Times New Roman" w:hAnsi="Times New Roman" w:eastAsia="宋体"/>
                <w:b w:val="0"/>
                <w:color w:val="1F1F1F"/>
                <w:sz w:val="18"/>
              </w:rPr>
              <w:t>立意</w:t>
            </w:r>
          </w:p>
        </w:tc>
      </w:tr>
      <w:tr>
        <w:trPr>
          <w:cantSplit/>
        </w:trPr>
        <w:tc>
          <w:tcPr>
            <w:tcW w:type="dxa" w:w="1287"/>
          </w:tcPr>
          <w:p>
            <w:pPr>
              <w:spacing w:before="0" w:after="0" w:line="276" w:lineRule="auto"/>
            </w:pPr>
            <w:r/>
            <w:r>
              <w:rPr>
                <w:rFonts w:ascii="Times New Roman" w:hAnsi="Times New Roman" w:eastAsia="宋体"/>
                <w:b w:val="0"/>
                <w:color w:val="1F1F1F"/>
                <w:sz w:val="18"/>
              </w:rPr>
              <w:t>12</w:t>
            </w:r>
          </w:p>
        </w:tc>
        <w:tc>
          <w:tcPr>
            <w:tcW w:type="dxa" w:w="2414"/>
          </w:tcPr>
          <w:p>
            <w:pPr>
              <w:spacing w:before="0" w:after="0" w:line="276" w:lineRule="auto"/>
            </w:pPr>
            <w:r/>
            <w:r>
              <w:rPr>
                <w:rFonts w:ascii="Times New Roman" w:hAnsi="Times New Roman" w:eastAsia="宋体"/>
                <w:b w:val="0"/>
                <w:color w:val="1F1F1F"/>
                <w:sz w:val="18"/>
              </w:rPr>
              <w:t>各章对标案例的数据与现状</w:t>
            </w:r>
          </w:p>
        </w:tc>
        <w:tc>
          <w:tcPr>
            <w:tcW w:type="dxa" w:w="2209"/>
          </w:tcPr>
          <w:p>
            <w:pPr>
              <w:spacing w:before="0" w:after="0" w:line="276" w:lineRule="auto"/>
            </w:pPr>
            <w:r/>
            <w:r>
              <w:rPr>
                <w:rFonts w:ascii="Times New Roman" w:hAnsi="Times New Roman" w:eastAsia="宋体"/>
                <w:b w:val="0"/>
                <w:color w:val="1F1F1F"/>
                <w:sz w:val="18"/>
              </w:rPr>
              <w:t>公开报道、宣讲材料、赛马文稿引用</w:t>
            </w:r>
          </w:p>
        </w:tc>
        <w:tc>
          <w:tcPr>
            <w:tcW w:type="dxa" w:w="1646"/>
          </w:tcPr>
          <w:p>
            <w:pPr>
              <w:spacing w:before="0" w:after="0" w:line="276" w:lineRule="auto"/>
            </w:pPr>
            <w:r/>
            <w:r>
              <w:rPr>
                <w:rFonts w:ascii="Times New Roman" w:hAnsi="Times New Roman" w:eastAsia="宋体"/>
                <w:b w:val="0"/>
                <w:color w:val="1F1F1F"/>
                <w:sz w:val="18"/>
              </w:rPr>
              <w:t>逐项核对来源，未核前不进指标</w:t>
            </w:r>
          </w:p>
        </w:tc>
        <w:tc>
          <w:tcPr>
            <w:tcW w:type="dxa" w:w="1287"/>
          </w:tcPr>
          <w:p>
            <w:pPr>
              <w:spacing w:before="0" w:after="0" w:line="276" w:lineRule="auto"/>
            </w:pPr>
            <w:r/>
            <w:r>
              <w:rPr>
                <w:rFonts w:ascii="Times New Roman" w:hAnsi="Times New Roman" w:eastAsia="宋体"/>
                <w:b w:val="0"/>
                <w:color w:val="1F1F1F"/>
                <w:sz w:val="18"/>
              </w:rPr>
              <w:t>全部</w:t>
            </w:r>
          </w:p>
        </w:tc>
      </w:tr>
    </w:tbl>
    <w:p>
      <w:pPr>
        <w:spacing w:after="80"/>
      </w:pPr>
    </w:p>
    <w:p>
      <w:pPr>
        <w:pStyle w:val="Heading2"/>
        <w:keepNext/>
        <w:spacing w:before="240" w:after="120" w:line="360" w:lineRule="auto"/>
      </w:pPr>
      <w:r>
        <w:rPr>
          <w:rFonts w:ascii="Times New Roman" w:hAnsi="Times New Roman" w:eastAsia="黑体"/>
          <w:b w:val="0"/>
          <w:color w:val="1F1F1F"/>
          <w:sz w:val="28"/>
        </w:rPr>
        <w:t>二、后续工作安排</w:t>
      </w:r>
    </w:p>
    <w:p>
      <w:pPr>
        <w:spacing w:before="0" w:after="80" w:line="360" w:lineRule="auto"/>
        <w:ind w:left="480" w:hanging="480"/>
      </w:pPr>
      <w:r>
        <w:rPr>
          <w:rFonts w:ascii="Times New Roman" w:hAnsi="Times New Roman" w:eastAsia="仿宋_GB2312"/>
          <w:b w:val="0"/>
          <w:color w:val="1F1F1F"/>
          <w:sz w:val="24"/>
        </w:rPr>
        <w:t>1．</w:t>
      </w:r>
      <w:r>
        <w:rPr>
          <w:rFonts w:ascii="Times New Roman" w:hAnsi="Times New Roman" w:eastAsia="仿宋_GB2312"/>
          <w:b/>
          <w:color w:val="1F1F1F"/>
          <w:sz w:val="24"/>
        </w:rPr>
        <w:t>形成方向性汇报材料。</w:t>
      </w:r>
      <w:r>
        <w:rPr>
          <w:rFonts w:ascii="Times New Roman" w:hAnsi="Times New Roman" w:eastAsia="仿宋_GB2312"/>
          <w:b w:val="0"/>
          <w:color w:val="1F1F1F"/>
          <w:sz w:val="24"/>
        </w:rPr>
        <w:t xml:space="preserve"> 以本稿摘要、第一章、第四章与六边章节的结论段为主体，形成 9 月中旬汇报稿；汇报以说明立意、架构与路径为目的。</w:t>
      </w:r>
    </w:p>
    <w:p>
      <w:pPr>
        <w:spacing w:before="0" w:after="80" w:line="360" w:lineRule="auto"/>
        <w:ind w:left="480" w:hanging="480"/>
      </w:pPr>
      <w:r>
        <w:rPr>
          <w:rFonts w:ascii="Times New Roman" w:hAnsi="Times New Roman" w:eastAsia="仿宋_GB2312"/>
          <w:b w:val="0"/>
          <w:color w:val="1F1F1F"/>
          <w:sz w:val="24"/>
        </w:rPr>
        <w:t>2．</w:t>
      </w:r>
      <w:r>
        <w:rPr>
          <w:rFonts w:ascii="Times New Roman" w:hAnsi="Times New Roman" w:eastAsia="仿宋_GB2312"/>
          <w:b/>
          <w:color w:val="1F1F1F"/>
          <w:sz w:val="24"/>
        </w:rPr>
        <w:t>启动数据核验。</w:t>
      </w:r>
      <w:r>
        <w:rPr>
          <w:rFonts w:ascii="Times New Roman" w:hAnsi="Times New Roman" w:eastAsia="仿宋_GB2312"/>
          <w:b w:val="0"/>
          <w:color w:val="1F1F1F"/>
          <w:sz w:val="24"/>
        </w:rPr>
        <w:t xml:space="preserve"> 按待核清单第 1、2、4、6、10 项组织园区数据核验与踏勘，第 3、5、7、9、11 项组织书面确认与文件跟踪。</w:t>
      </w:r>
    </w:p>
    <w:p>
      <w:pPr>
        <w:spacing w:before="0" w:after="80" w:line="360" w:lineRule="auto"/>
        <w:ind w:left="480" w:hanging="480"/>
      </w:pPr>
      <w:r>
        <w:rPr>
          <w:rFonts w:ascii="Times New Roman" w:hAnsi="Times New Roman" w:eastAsia="仿宋_GB2312"/>
          <w:b w:val="0"/>
          <w:color w:val="1F1F1F"/>
          <w:sz w:val="24"/>
        </w:rPr>
        <w:t>3．</w:t>
      </w:r>
      <w:r>
        <w:rPr>
          <w:rFonts w:ascii="Times New Roman" w:hAnsi="Times New Roman" w:eastAsia="仿宋_GB2312"/>
          <w:b/>
          <w:color w:val="1F1F1F"/>
          <w:sz w:val="24"/>
        </w:rPr>
        <w:t>编制预可行性方案。</w:t>
      </w:r>
      <w:r>
        <w:rPr>
          <w:rFonts w:ascii="Times New Roman" w:hAnsi="Times New Roman" w:eastAsia="仿宋_GB2312"/>
          <w:b w:val="0"/>
          <w:color w:val="1F1F1F"/>
          <w:sz w:val="24"/>
        </w:rPr>
        <w:t xml:space="preserve"> 按框架性、结果导向要求搭建目录；三档目标并列比较，两套碳账并列，三件先行与试点建议纳入；缺数据处显性留白。</w:t>
      </w:r>
    </w:p>
    <w:p>
      <w:pPr>
        <w:spacing w:before="0" w:after="80" w:line="360" w:lineRule="auto"/>
        <w:ind w:left="480" w:hanging="480"/>
      </w:pPr>
      <w:r>
        <w:rPr>
          <w:rFonts w:ascii="Times New Roman" w:hAnsi="Times New Roman" w:eastAsia="仿宋_GB2312"/>
          <w:b w:val="0"/>
          <w:color w:val="1F1F1F"/>
          <w:sz w:val="24"/>
        </w:rPr>
        <w:t>4．</w:t>
      </w:r>
      <w:r>
        <w:rPr>
          <w:rFonts w:ascii="Times New Roman" w:hAnsi="Times New Roman" w:eastAsia="仿宋_GB2312"/>
          <w:b/>
          <w:color w:val="1F1F1F"/>
          <w:sz w:val="24"/>
        </w:rPr>
        <w:t>推进后续调研。</w:t>
      </w:r>
      <w:r>
        <w:rPr>
          <w:rFonts w:ascii="Times New Roman" w:hAnsi="Times New Roman" w:eastAsia="仿宋_GB2312"/>
          <w:b w:val="0"/>
          <w:color w:val="1F1F1F"/>
          <w:sz w:val="24"/>
        </w:rPr>
        <w:t xml:space="preserve"> 中国移动国际信息港实地环节重点核实预约联动、余热利用、智慧电力监控与运行绩效；深圳、广州两站按调研计划推进。</w:t>
      </w:r>
    </w:p>
    <w:p>
      <w:pPr>
        <w:spacing w:before="0" w:after="80" w:line="360" w:lineRule="auto"/>
        <w:ind w:left="480" w:hanging="480"/>
      </w:pPr>
      <w:r>
        <w:rPr>
          <w:rFonts w:ascii="Times New Roman" w:hAnsi="Times New Roman" w:eastAsia="仿宋_GB2312"/>
          <w:b w:val="0"/>
          <w:color w:val="1F1F1F"/>
          <w:sz w:val="24"/>
        </w:rPr>
        <w:t>5．</w:t>
      </w:r>
      <w:r>
        <w:rPr>
          <w:rFonts w:ascii="Times New Roman" w:hAnsi="Times New Roman" w:eastAsia="仿宋_GB2312"/>
          <w:b/>
          <w:color w:val="1F1F1F"/>
          <w:sz w:val="24"/>
        </w:rPr>
        <w:t>统一口径。</w:t>
      </w:r>
      <w:r>
        <w:rPr>
          <w:rFonts w:ascii="Times New Roman" w:hAnsi="Times New Roman" w:eastAsia="仿宋_GB2312"/>
          <w:b w:val="0"/>
          <w:color w:val="1F1F1F"/>
          <w:sz w:val="24"/>
        </w:rPr>
        <w:t xml:space="preserve"> 六要素定义、普惠边界、核与边关系及证据标注以本稿为准；后续材料如需调整口径，先改本稿再改衍生材料。</w:t>
      </w:r>
    </w:p>
    <w:p>
      <w:pPr>
        <w:pStyle w:val="Heading1"/>
        <w:keepNext/>
        <w:pageBreakBefore/>
        <w:spacing w:before="360" w:after="240" w:line="360" w:lineRule="auto"/>
        <w:jc w:val="center"/>
      </w:pPr>
      <w:r>
        <w:rPr>
          <w:rFonts w:ascii="Times New Roman" w:hAnsi="Times New Roman" w:eastAsia="黑体"/>
          <w:b w:val="0"/>
          <w:color w:val="1F1F1F"/>
          <w:sz w:val="32"/>
        </w:rPr>
        <w:t>附录 A 术语与口径表</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72"/>
        <w:gridCol w:w="6972"/>
      </w:tblGrid>
      <w:tr>
        <w:trPr>
          <w:cantSplit/>
          <w:tblHeader/>
        </w:trPr>
        <w:tc>
          <w:tcPr>
            <w:tcW w:type="dxa" w:w="1872"/>
            <w:shd w:val="clear" w:color="auto" w:fill="E7EEF3"/>
          </w:tcPr>
          <w:p>
            <w:pPr>
              <w:keepNext/>
              <w:spacing w:before="0" w:after="0" w:line="276" w:lineRule="auto"/>
            </w:pPr>
            <w:r/>
            <w:r>
              <w:rPr>
                <w:rFonts w:ascii="Times New Roman" w:hAnsi="Times New Roman" w:eastAsia="宋体"/>
                <w:b/>
                <w:color w:val="1F1F1F"/>
                <w:sz w:val="18"/>
              </w:rPr>
              <w:t>术语</w:t>
            </w:r>
          </w:p>
        </w:tc>
        <w:tc>
          <w:tcPr>
            <w:tcW w:type="dxa" w:w="6972"/>
            <w:shd w:val="clear" w:color="auto" w:fill="E7EEF3"/>
          </w:tcPr>
          <w:p>
            <w:pPr>
              <w:keepNext/>
              <w:spacing w:before="0" w:after="0" w:line="276" w:lineRule="auto"/>
            </w:pPr>
            <w:r/>
            <w:r>
              <w:rPr>
                <w:rFonts w:ascii="Times New Roman" w:hAnsi="Times New Roman" w:eastAsia="宋体"/>
                <w:b/>
                <w:color w:val="1F1F1F"/>
                <w:sz w:val="18"/>
              </w:rPr>
              <w:t>本稿口径</w:t>
            </w:r>
          </w:p>
        </w:tc>
      </w:tr>
      <w:tr>
        <w:trPr>
          <w:cantSplit/>
        </w:trPr>
        <w:tc>
          <w:tcPr>
            <w:tcW w:type="dxa" w:w="1872"/>
          </w:tcPr>
          <w:p>
            <w:pPr>
              <w:spacing w:before="0" w:after="0" w:line="276" w:lineRule="auto"/>
            </w:pPr>
            <w:r/>
            <w:r>
              <w:rPr>
                <w:rFonts w:ascii="Times New Roman" w:hAnsi="Times New Roman" w:eastAsia="宋体"/>
                <w:b w:val="0"/>
                <w:color w:val="1F1F1F"/>
                <w:sz w:val="18"/>
              </w:rPr>
              <w:t>六张网</w:t>
            </w:r>
          </w:p>
        </w:tc>
        <w:tc>
          <w:tcPr>
            <w:tcW w:type="dxa" w:w="6972"/>
          </w:tcPr>
          <w:p>
            <w:pPr>
              <w:spacing w:before="0" w:after="0" w:line="276" w:lineRule="auto"/>
            </w:pPr>
            <w:r/>
            <w:r>
              <w:rPr>
                <w:rFonts w:ascii="Times New Roman" w:hAnsi="Times New Roman" w:eastAsia="宋体"/>
                <w:b w:val="0"/>
                <w:color w:val="1F1F1F"/>
                <w:sz w:val="18"/>
              </w:rPr>
              <w:t>水网、新型电网、算力网、新一代通信网、城市地下管网、物流网【公开报道，待核】</w:t>
            </w:r>
          </w:p>
        </w:tc>
      </w:tr>
      <w:tr>
        <w:trPr>
          <w:cantSplit/>
        </w:trPr>
        <w:tc>
          <w:tcPr>
            <w:tcW w:type="dxa" w:w="1872"/>
          </w:tcPr>
          <w:p>
            <w:pPr>
              <w:spacing w:before="0" w:after="0" w:line="276" w:lineRule="auto"/>
            </w:pPr>
            <w:r/>
            <w:r>
              <w:rPr>
                <w:rFonts w:ascii="Times New Roman" w:hAnsi="Times New Roman" w:eastAsia="宋体"/>
                <w:b w:val="0"/>
                <w:color w:val="1F1F1F"/>
                <w:sz w:val="18"/>
              </w:rPr>
              <w:t>六网协同 / 算电协同</w:t>
            </w:r>
          </w:p>
        </w:tc>
        <w:tc>
          <w:tcPr>
            <w:tcW w:type="dxa" w:w="6972"/>
          </w:tcPr>
          <w:p>
            <w:pPr>
              <w:spacing w:before="0" w:after="0" w:line="276" w:lineRule="auto"/>
            </w:pPr>
            <w:r/>
            <w:r>
              <w:rPr>
                <w:rFonts w:ascii="Times New Roman" w:hAnsi="Times New Roman" w:eastAsia="宋体"/>
                <w:b w:val="0"/>
                <w:color w:val="1F1F1F"/>
                <w:sz w:val="18"/>
              </w:rPr>
              <w:t>南网以新型电网为枢纽推进六网协同；算电协同是当前突破口。工作口径，公司战略表述以正式文件为准</w:t>
            </w:r>
          </w:p>
        </w:tc>
      </w:tr>
      <w:tr>
        <w:trPr>
          <w:cantSplit/>
        </w:trPr>
        <w:tc>
          <w:tcPr>
            <w:tcW w:type="dxa" w:w="1872"/>
          </w:tcPr>
          <w:p>
            <w:pPr>
              <w:spacing w:before="0" w:after="0" w:line="276" w:lineRule="auto"/>
            </w:pPr>
            <w:r/>
            <w:r>
              <w:rPr>
                <w:rFonts w:ascii="Times New Roman" w:hAnsi="Times New Roman" w:eastAsia="宋体"/>
                <w:b w:val="0"/>
                <w:color w:val="1F1F1F"/>
                <w:sz w:val="18"/>
              </w:rPr>
              <w:t>一核六边</w:t>
            </w:r>
          </w:p>
        </w:tc>
        <w:tc>
          <w:tcPr>
            <w:tcW w:type="dxa" w:w="6972"/>
          </w:tcPr>
          <w:p>
            <w:pPr>
              <w:spacing w:before="0" w:after="0" w:line="276" w:lineRule="auto"/>
            </w:pPr>
            <w:r/>
            <w:r>
              <w:rPr>
                <w:rFonts w:ascii="Times New Roman" w:hAnsi="Times New Roman" w:eastAsia="宋体"/>
                <w:b w:val="0"/>
                <w:color w:val="1F1F1F"/>
                <w:sz w:val="18"/>
              </w:rPr>
              <w:t>核为战略资产价值体系；六边为绿色、高效、智慧、普惠、健康、人文</w:t>
            </w:r>
          </w:p>
        </w:tc>
      </w:tr>
      <w:tr>
        <w:trPr>
          <w:cantSplit/>
        </w:trPr>
        <w:tc>
          <w:tcPr>
            <w:tcW w:type="dxa" w:w="1872"/>
          </w:tcPr>
          <w:p>
            <w:pPr>
              <w:spacing w:before="0" w:after="0" w:line="276" w:lineRule="auto"/>
            </w:pPr>
            <w:r/>
            <w:r>
              <w:rPr>
                <w:rFonts w:ascii="Times New Roman" w:hAnsi="Times New Roman" w:eastAsia="宋体"/>
                <w:b w:val="0"/>
                <w:color w:val="1F1F1F"/>
                <w:sz w:val="18"/>
              </w:rPr>
              <w:t>战略资产价值体系</w:t>
            </w:r>
          </w:p>
        </w:tc>
        <w:tc>
          <w:tcPr>
            <w:tcW w:type="dxa" w:w="6972"/>
          </w:tcPr>
          <w:p>
            <w:pPr>
              <w:spacing w:before="0" w:after="0" w:line="276" w:lineRule="auto"/>
            </w:pPr>
            <w:r/>
            <w:r>
              <w:rPr>
                <w:rFonts w:ascii="Times New Roman" w:hAnsi="Times New Roman" w:eastAsia="宋体"/>
                <w:b w:val="0"/>
                <w:color w:val="1F1F1F"/>
                <w:sz w:val="18"/>
              </w:rPr>
              <w:t>碳账与核算口径、调控与交易模型、数字底座与数据资产、改造与运营方法论四件资产</w:t>
            </w:r>
          </w:p>
        </w:tc>
      </w:tr>
      <w:tr>
        <w:trPr>
          <w:cantSplit/>
        </w:trPr>
        <w:tc>
          <w:tcPr>
            <w:tcW w:type="dxa" w:w="1872"/>
          </w:tcPr>
          <w:p>
            <w:pPr>
              <w:spacing w:before="0" w:after="0" w:line="276" w:lineRule="auto"/>
            </w:pPr>
            <w:r/>
            <w:r>
              <w:rPr>
                <w:rFonts w:ascii="Times New Roman" w:hAnsi="Times New Roman" w:eastAsia="宋体"/>
                <w:b w:val="0"/>
                <w:color w:val="1F1F1F"/>
                <w:sz w:val="18"/>
              </w:rPr>
              <w:t>验证场 / 明牌</w:t>
            </w:r>
          </w:p>
        </w:tc>
        <w:tc>
          <w:tcPr>
            <w:tcW w:type="dxa" w:w="6972"/>
          </w:tcPr>
          <w:p>
            <w:pPr>
              <w:spacing w:before="0" w:after="0" w:line="276" w:lineRule="auto"/>
            </w:pPr>
            <w:r/>
            <w:r>
              <w:rPr>
                <w:rFonts w:ascii="Times New Roman" w:hAnsi="Times New Roman" w:eastAsia="宋体"/>
                <w:b w:val="0"/>
                <w:color w:val="1F1F1F"/>
                <w:sz w:val="18"/>
              </w:rPr>
              <w:t>基地是核的验证场（内部验证—行业复制），是第二增长曲线的证据与信用，不是曲线本身</w:t>
            </w:r>
          </w:p>
        </w:tc>
      </w:tr>
      <w:tr>
        <w:trPr>
          <w:cantSplit/>
        </w:trPr>
        <w:tc>
          <w:tcPr>
            <w:tcW w:type="dxa" w:w="1872"/>
          </w:tcPr>
          <w:p>
            <w:pPr>
              <w:spacing w:before="0" w:after="0" w:line="276" w:lineRule="auto"/>
            </w:pPr>
            <w:r/>
            <w:r>
              <w:rPr>
                <w:rFonts w:ascii="Times New Roman" w:hAnsi="Times New Roman" w:eastAsia="宋体"/>
                <w:b w:val="0"/>
                <w:color w:val="1F1F1F"/>
                <w:sz w:val="18"/>
              </w:rPr>
              <w:t>零碳</w:t>
            </w:r>
          </w:p>
        </w:tc>
        <w:tc>
          <w:tcPr>
            <w:tcW w:type="dxa" w:w="6972"/>
          </w:tcPr>
          <w:p>
            <w:pPr>
              <w:spacing w:before="0" w:after="0" w:line="276" w:lineRule="auto"/>
            </w:pPr>
            <w:r/>
            <w:r>
              <w:rPr>
                <w:rFonts w:ascii="Times New Roman" w:hAnsi="Times New Roman" w:eastAsia="宋体"/>
                <w:b w:val="0"/>
                <w:color w:val="1F1F1F"/>
                <w:sz w:val="18"/>
              </w:rPr>
              <w:t>核所验证的目标结果，不占边；由绿色边承载指标、高效边提供主力、智慧边提供数据</w:t>
            </w:r>
          </w:p>
        </w:tc>
      </w:tr>
      <w:tr>
        <w:trPr>
          <w:cantSplit/>
        </w:trPr>
        <w:tc>
          <w:tcPr>
            <w:tcW w:type="dxa" w:w="1872"/>
          </w:tcPr>
          <w:p>
            <w:pPr>
              <w:spacing w:before="0" w:after="0" w:line="276" w:lineRule="auto"/>
            </w:pPr>
            <w:r/>
            <w:r>
              <w:rPr>
                <w:rFonts w:ascii="Times New Roman" w:hAnsi="Times New Roman" w:eastAsia="宋体"/>
                <w:b w:val="0"/>
                <w:color w:val="1F1F1F"/>
                <w:sz w:val="18"/>
              </w:rPr>
              <w:t>三档目标</w:t>
            </w:r>
          </w:p>
        </w:tc>
        <w:tc>
          <w:tcPr>
            <w:tcW w:type="dxa" w:w="6972"/>
          </w:tcPr>
          <w:p>
            <w:pPr>
              <w:spacing w:before="0" w:after="0" w:line="276" w:lineRule="auto"/>
            </w:pPr>
            <w:r/>
            <w:r>
              <w:rPr>
                <w:rFonts w:ascii="Times New Roman" w:hAnsi="Times New Roman" w:eastAsia="宋体"/>
                <w:b w:val="0"/>
                <w:color w:val="1F1F1F"/>
                <w:sz w:val="18"/>
              </w:rPr>
              <w:t>低碳、近零碳、碳中和并列比较；台阶值来自宣讲材料【待核】</w:t>
            </w:r>
          </w:p>
        </w:tc>
      </w:tr>
      <w:tr>
        <w:trPr>
          <w:cantSplit/>
        </w:trPr>
        <w:tc>
          <w:tcPr>
            <w:tcW w:type="dxa" w:w="1872"/>
          </w:tcPr>
          <w:p>
            <w:pPr>
              <w:spacing w:before="0" w:after="0" w:line="276" w:lineRule="auto"/>
            </w:pPr>
            <w:r/>
            <w:r>
              <w:rPr>
                <w:rFonts w:ascii="Times New Roman" w:hAnsi="Times New Roman" w:eastAsia="宋体"/>
                <w:b w:val="0"/>
                <w:color w:val="1F1F1F"/>
                <w:sz w:val="18"/>
              </w:rPr>
              <w:t>普惠</w:t>
            </w:r>
          </w:p>
        </w:tc>
        <w:tc>
          <w:tcPr>
            <w:tcW w:type="dxa" w:w="6972"/>
          </w:tcPr>
          <w:p>
            <w:pPr>
              <w:spacing w:before="0" w:after="0" w:line="276" w:lineRule="auto"/>
            </w:pPr>
            <w:r/>
            <w:r>
              <w:rPr>
                <w:rFonts w:ascii="Times New Roman" w:hAnsi="Times New Roman" w:eastAsia="宋体"/>
                <w:b w:val="0"/>
                <w:color w:val="1F1F1F"/>
                <w:sz w:val="18"/>
              </w:rPr>
              <w:t>人人参与、人人受益：碳普惠、算力普惠、园区资源普惠；无障碍是标配</w:t>
            </w:r>
          </w:p>
        </w:tc>
      </w:tr>
      <w:tr>
        <w:trPr>
          <w:cantSplit/>
        </w:trPr>
        <w:tc>
          <w:tcPr>
            <w:tcW w:type="dxa" w:w="1872"/>
          </w:tcPr>
          <w:p>
            <w:pPr>
              <w:spacing w:before="0" w:after="0" w:line="276" w:lineRule="auto"/>
            </w:pPr>
            <w:r/>
            <w:r>
              <w:rPr>
                <w:rFonts w:ascii="Times New Roman" w:hAnsi="Times New Roman" w:eastAsia="宋体"/>
                <w:b w:val="0"/>
                <w:color w:val="1F1F1F"/>
                <w:sz w:val="18"/>
              </w:rPr>
              <w:t>复制叙事</w:t>
            </w:r>
          </w:p>
        </w:tc>
        <w:tc>
          <w:tcPr>
            <w:tcW w:type="dxa" w:w="6972"/>
          </w:tcPr>
          <w:p>
            <w:pPr>
              <w:spacing w:before="0" w:after="0" w:line="276" w:lineRule="auto"/>
            </w:pPr>
            <w:r/>
            <w:r>
              <w:rPr>
                <w:rFonts w:ascii="Times New Roman" w:hAnsi="Times New Roman" w:eastAsia="宋体"/>
                <w:b w:val="0"/>
                <w:color w:val="1F1F1F"/>
                <w:sz w:val="18"/>
              </w:rPr>
              <w:t>服务化、分档报价、商业模式设计等，归核管理，出现在阶段四，不进普惠边</w:t>
            </w:r>
          </w:p>
        </w:tc>
      </w:tr>
      <w:tr>
        <w:trPr>
          <w:cantSplit/>
        </w:trPr>
        <w:tc>
          <w:tcPr>
            <w:tcW w:type="dxa" w:w="1872"/>
          </w:tcPr>
          <w:p>
            <w:pPr>
              <w:spacing w:before="0" w:after="0" w:line="276" w:lineRule="auto"/>
            </w:pPr>
            <w:r/>
            <w:r>
              <w:rPr>
                <w:rFonts w:ascii="Times New Roman" w:hAnsi="Times New Roman" w:eastAsia="宋体"/>
                <w:b w:val="0"/>
                <w:color w:val="1F1F1F"/>
                <w:sz w:val="18"/>
              </w:rPr>
              <w:t>一个平台、两类功能</w:t>
            </w:r>
          </w:p>
        </w:tc>
        <w:tc>
          <w:tcPr>
            <w:tcW w:type="dxa" w:w="6972"/>
          </w:tcPr>
          <w:p>
            <w:pPr>
              <w:spacing w:before="0" w:after="0" w:line="276" w:lineRule="auto"/>
            </w:pPr>
            <w:r/>
            <w:r>
              <w:rPr>
                <w:rFonts w:ascii="Times New Roman" w:hAnsi="Times New Roman" w:eastAsia="宋体"/>
                <w:b w:val="0"/>
                <w:color w:val="1F1F1F"/>
                <w:sz w:val="18"/>
              </w:rPr>
              <w:t>园内侧（行为联动、设备工单、预约、碳普惠）与园外侧（电网互动、交易接口、碳核算）</w:t>
            </w:r>
          </w:p>
        </w:tc>
      </w:tr>
      <w:tr>
        <w:trPr>
          <w:cantSplit/>
        </w:trPr>
        <w:tc>
          <w:tcPr>
            <w:tcW w:type="dxa" w:w="1872"/>
          </w:tcPr>
          <w:p>
            <w:pPr>
              <w:spacing w:before="0" w:after="0" w:line="276" w:lineRule="auto"/>
            </w:pPr>
            <w:r/>
            <w:r>
              <w:rPr>
                <w:rFonts w:ascii="Times New Roman" w:hAnsi="Times New Roman" w:eastAsia="宋体"/>
                <w:b w:val="0"/>
                <w:color w:val="1F1F1F"/>
                <w:sz w:val="18"/>
              </w:rPr>
              <w:t>三件先行</w:t>
            </w:r>
          </w:p>
        </w:tc>
        <w:tc>
          <w:tcPr>
            <w:tcW w:type="dxa" w:w="6972"/>
          </w:tcPr>
          <w:p>
            <w:pPr>
              <w:spacing w:before="0" w:after="0" w:line="276" w:lineRule="auto"/>
            </w:pPr>
            <w:r/>
            <w:r>
              <w:rPr>
                <w:rFonts w:ascii="Times New Roman" w:hAnsi="Times New Roman" w:eastAsia="宋体"/>
                <w:b w:val="0"/>
                <w:color w:val="1F1F1F"/>
                <w:sz w:val="18"/>
              </w:rPr>
              <w:t>冷站与水系统深度诊断、园区碳账本与核算边界、平台总体设计</w:t>
            </w:r>
          </w:p>
        </w:tc>
      </w:tr>
      <w:tr>
        <w:trPr>
          <w:cantSplit/>
        </w:trPr>
        <w:tc>
          <w:tcPr>
            <w:tcW w:type="dxa" w:w="1872"/>
          </w:tcPr>
          <w:p>
            <w:pPr>
              <w:spacing w:before="0" w:after="0" w:line="276" w:lineRule="auto"/>
            </w:pPr>
            <w:r/>
            <w:r>
              <w:rPr>
                <w:rFonts w:ascii="Times New Roman" w:hAnsi="Times New Roman" w:eastAsia="宋体"/>
                <w:b w:val="0"/>
                <w:color w:val="1F1F1F"/>
                <w:sz w:val="18"/>
              </w:rPr>
              <w:t>工作包类型</w:t>
            </w:r>
          </w:p>
        </w:tc>
        <w:tc>
          <w:tcPr>
            <w:tcW w:type="dxa" w:w="6972"/>
          </w:tcPr>
          <w:p>
            <w:pPr>
              <w:spacing w:before="0" w:after="0" w:line="276" w:lineRule="auto"/>
            </w:pPr>
            <w:r/>
            <w:r>
              <w:rPr>
                <w:rFonts w:ascii="Times New Roman" w:hAnsi="Times New Roman" w:eastAsia="宋体"/>
                <w:b w:val="0"/>
                <w:color w:val="1F1F1F"/>
                <w:sz w:val="18"/>
              </w:rPr>
              <w:t>物理改造、数据、SOP、可复制产品包</w:t>
            </w:r>
          </w:p>
        </w:tc>
      </w:tr>
    </w:tbl>
    <w:p>
      <w:pPr>
        <w:spacing w:after="80"/>
      </w:pPr>
    </w:p>
    <w:p>
      <w:pPr>
        <w:pStyle w:val="Heading1"/>
        <w:keepNext/>
        <w:pageBreakBefore/>
        <w:spacing w:before="360" w:after="240" w:line="360" w:lineRule="auto"/>
        <w:jc w:val="center"/>
      </w:pPr>
      <w:r>
        <w:rPr>
          <w:rFonts w:ascii="Times New Roman" w:hAnsi="Times New Roman" w:eastAsia="黑体"/>
          <w:b w:val="0"/>
          <w:color w:val="1F1F1F"/>
          <w:sz w:val="32"/>
        </w:rPr>
        <w:t>附录 B 证据标注说明</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89"/>
        <w:gridCol w:w="2755"/>
        <w:gridCol w:w="3200"/>
      </w:tblGrid>
      <w:tr>
        <w:trPr>
          <w:cantSplit/>
          <w:tblHeader/>
        </w:trPr>
        <w:tc>
          <w:tcPr>
            <w:tcW w:type="dxa" w:w="2889"/>
            <w:shd w:val="clear" w:color="auto" w:fill="E7EEF3"/>
          </w:tcPr>
          <w:p>
            <w:pPr>
              <w:keepNext/>
              <w:spacing w:before="0" w:after="0" w:line="276" w:lineRule="auto"/>
            </w:pPr>
            <w:r/>
            <w:r>
              <w:rPr>
                <w:rFonts w:ascii="Times New Roman" w:hAnsi="Times New Roman" w:eastAsia="宋体"/>
                <w:b/>
                <w:color w:val="1F1F1F"/>
                <w:sz w:val="18"/>
              </w:rPr>
              <w:t>标注</w:t>
            </w:r>
          </w:p>
        </w:tc>
        <w:tc>
          <w:tcPr>
            <w:tcW w:type="dxa" w:w="2755"/>
            <w:shd w:val="clear" w:color="auto" w:fill="E7EEF3"/>
          </w:tcPr>
          <w:p>
            <w:pPr>
              <w:keepNext/>
              <w:spacing w:before="0" w:after="0" w:line="276" w:lineRule="auto"/>
            </w:pPr>
            <w:r/>
            <w:r>
              <w:rPr>
                <w:rFonts w:ascii="Times New Roman" w:hAnsi="Times New Roman" w:eastAsia="宋体"/>
                <w:b/>
                <w:color w:val="1F1F1F"/>
                <w:sz w:val="18"/>
              </w:rPr>
              <w:t>含义</w:t>
            </w:r>
          </w:p>
        </w:tc>
        <w:tc>
          <w:tcPr>
            <w:tcW w:type="dxa" w:w="3200"/>
            <w:shd w:val="clear" w:color="auto" w:fill="E7EEF3"/>
          </w:tcPr>
          <w:p>
            <w:pPr>
              <w:keepNext/>
              <w:spacing w:before="0" w:after="0" w:line="276" w:lineRule="auto"/>
            </w:pPr>
            <w:r/>
            <w:r>
              <w:rPr>
                <w:rFonts w:ascii="Times New Roman" w:hAnsi="Times New Roman" w:eastAsia="宋体"/>
                <w:b/>
                <w:color w:val="1F1F1F"/>
                <w:sz w:val="18"/>
              </w:rPr>
              <w:t>使用规则</w:t>
            </w:r>
          </w:p>
        </w:tc>
      </w:tr>
      <w:tr>
        <w:trPr>
          <w:cantSplit/>
        </w:trPr>
        <w:tc>
          <w:tcPr>
            <w:tcW w:type="dxa" w:w="2889"/>
          </w:tcPr>
          <w:p>
            <w:pPr>
              <w:spacing w:before="0" w:after="0" w:line="276" w:lineRule="auto"/>
            </w:pPr>
            <w:r/>
            <w:r>
              <w:rPr>
                <w:rFonts w:ascii="Times New Roman" w:hAnsi="Times New Roman" w:eastAsia="宋体"/>
                <w:b w:val="0"/>
                <w:color w:val="1F1F1F"/>
                <w:sz w:val="18"/>
              </w:rPr>
              <w:t>【公开文件】【中央文件公开文本】【国务院公开文件】【部门公开文件】</w:t>
            </w:r>
          </w:p>
        </w:tc>
        <w:tc>
          <w:tcPr>
            <w:tcW w:type="dxa" w:w="2755"/>
          </w:tcPr>
          <w:p>
            <w:pPr>
              <w:spacing w:before="0" w:after="0" w:line="276" w:lineRule="auto"/>
            </w:pPr>
            <w:r/>
            <w:r>
              <w:rPr>
                <w:rFonts w:ascii="Times New Roman" w:hAnsi="Times New Roman" w:eastAsia="宋体"/>
                <w:b w:val="0"/>
                <w:color w:val="1F1F1F"/>
                <w:sz w:val="18"/>
              </w:rPr>
              <w:t>政府公开发布的文件</w:t>
            </w:r>
          </w:p>
        </w:tc>
        <w:tc>
          <w:tcPr>
            <w:tcW w:type="dxa" w:w="3200"/>
          </w:tcPr>
          <w:p>
            <w:pPr>
              <w:spacing w:before="0" w:after="0" w:line="276" w:lineRule="auto"/>
            </w:pPr>
            <w:r/>
            <w:r>
              <w:rPr>
                <w:rFonts w:ascii="Times New Roman" w:hAnsi="Times New Roman" w:eastAsia="宋体"/>
                <w:b w:val="0"/>
                <w:color w:val="1F1F1F"/>
                <w:sz w:val="18"/>
              </w:rPr>
              <w:t>引用名称与方向，不编文号；印发状态不确定处加“待核”</w:t>
            </w:r>
          </w:p>
        </w:tc>
      </w:tr>
      <w:tr>
        <w:trPr>
          <w:cantSplit/>
        </w:trPr>
        <w:tc>
          <w:tcPr>
            <w:tcW w:type="dxa" w:w="2889"/>
          </w:tcPr>
          <w:p>
            <w:pPr>
              <w:spacing w:before="0" w:after="0" w:line="276" w:lineRule="auto"/>
            </w:pPr>
            <w:r/>
            <w:r>
              <w:rPr>
                <w:rFonts w:ascii="Times New Roman" w:hAnsi="Times New Roman" w:eastAsia="宋体"/>
                <w:b w:val="0"/>
                <w:color w:val="1F1F1F"/>
                <w:sz w:val="18"/>
              </w:rPr>
              <w:t>【公开报道】</w:t>
            </w:r>
          </w:p>
        </w:tc>
        <w:tc>
          <w:tcPr>
            <w:tcW w:type="dxa" w:w="2755"/>
          </w:tcPr>
          <w:p>
            <w:pPr>
              <w:spacing w:before="0" w:after="0" w:line="276" w:lineRule="auto"/>
            </w:pPr>
            <w:r/>
            <w:r>
              <w:rPr>
                <w:rFonts w:ascii="Times New Roman" w:hAnsi="Times New Roman" w:eastAsia="宋体"/>
                <w:b w:val="0"/>
                <w:color w:val="1F1F1F"/>
                <w:sz w:val="18"/>
              </w:rPr>
              <w:t>媒体公开发布内容</w:t>
            </w:r>
          </w:p>
        </w:tc>
        <w:tc>
          <w:tcPr>
            <w:tcW w:type="dxa" w:w="3200"/>
          </w:tcPr>
          <w:p>
            <w:pPr>
              <w:spacing w:before="0" w:after="0" w:line="276" w:lineRule="auto"/>
            </w:pPr>
            <w:r/>
            <w:r>
              <w:rPr>
                <w:rFonts w:ascii="Times New Roman" w:hAnsi="Times New Roman" w:eastAsia="宋体"/>
                <w:b w:val="0"/>
                <w:color w:val="1F1F1F"/>
                <w:sz w:val="18"/>
              </w:rPr>
              <w:t>可引用，注明未经本次调研核证</w:t>
            </w:r>
          </w:p>
        </w:tc>
      </w:tr>
      <w:tr>
        <w:trPr>
          <w:cantSplit/>
        </w:trPr>
        <w:tc>
          <w:tcPr>
            <w:tcW w:type="dxa" w:w="2889"/>
          </w:tcPr>
          <w:p>
            <w:pPr>
              <w:spacing w:before="0" w:after="0" w:line="276" w:lineRule="auto"/>
            </w:pPr>
            <w:r/>
            <w:r>
              <w:rPr>
                <w:rFonts w:ascii="Times New Roman" w:hAnsi="Times New Roman" w:eastAsia="宋体"/>
                <w:b w:val="0"/>
                <w:color w:val="1F1F1F"/>
                <w:sz w:val="18"/>
              </w:rPr>
              <w:t>【宣讲材料】【产品资料】【产品资料宣称】</w:t>
            </w:r>
          </w:p>
        </w:tc>
        <w:tc>
          <w:tcPr>
            <w:tcW w:type="dxa" w:w="2755"/>
          </w:tcPr>
          <w:p>
            <w:pPr>
              <w:spacing w:before="0" w:after="0" w:line="276" w:lineRule="auto"/>
            </w:pPr>
            <w:r/>
            <w:r>
              <w:rPr>
                <w:rFonts w:ascii="Times New Roman" w:hAnsi="Times New Roman" w:eastAsia="宋体"/>
                <w:b w:val="0"/>
                <w:color w:val="1F1F1F"/>
                <w:sz w:val="18"/>
              </w:rPr>
              <w:t>对方宣讲 PPT、产品资料所载内容</w:t>
            </w:r>
          </w:p>
        </w:tc>
        <w:tc>
          <w:tcPr>
            <w:tcW w:type="dxa" w:w="3200"/>
          </w:tcPr>
          <w:p>
            <w:pPr>
              <w:spacing w:before="0" w:after="0" w:line="276" w:lineRule="auto"/>
            </w:pPr>
            <w:r/>
            <w:r>
              <w:rPr>
                <w:rFonts w:ascii="Times New Roman" w:hAnsi="Times New Roman" w:eastAsia="宋体"/>
                <w:b w:val="0"/>
                <w:color w:val="1F1F1F"/>
                <w:sz w:val="18"/>
              </w:rPr>
              <w:t>只作量级参照，不进指标</w:t>
            </w:r>
          </w:p>
        </w:tc>
      </w:tr>
      <w:tr>
        <w:trPr>
          <w:cantSplit/>
        </w:trPr>
        <w:tc>
          <w:tcPr>
            <w:tcW w:type="dxa" w:w="2889"/>
          </w:tcPr>
          <w:p>
            <w:pPr>
              <w:spacing w:before="0" w:after="0" w:line="276" w:lineRule="auto"/>
            </w:pPr>
            <w:r/>
            <w:r>
              <w:rPr>
                <w:rFonts w:ascii="Times New Roman" w:hAnsi="Times New Roman" w:eastAsia="宋体"/>
                <w:b w:val="0"/>
                <w:color w:val="1F1F1F"/>
                <w:sz w:val="18"/>
              </w:rPr>
              <w:t>【交流纪要】【会中口述】【会中估算】</w:t>
            </w:r>
          </w:p>
        </w:tc>
        <w:tc>
          <w:tcPr>
            <w:tcW w:type="dxa" w:w="2755"/>
          </w:tcPr>
          <w:p>
            <w:pPr>
              <w:spacing w:before="0" w:after="0" w:line="276" w:lineRule="auto"/>
            </w:pPr>
            <w:r/>
            <w:r>
              <w:rPr>
                <w:rFonts w:ascii="Times New Roman" w:hAnsi="Times New Roman" w:eastAsia="宋体"/>
                <w:b w:val="0"/>
                <w:color w:val="1F1F1F"/>
                <w:sz w:val="18"/>
              </w:rPr>
              <w:t>交流纪要记录的口述与现场估算</w:t>
            </w:r>
          </w:p>
        </w:tc>
        <w:tc>
          <w:tcPr>
            <w:tcW w:type="dxa" w:w="3200"/>
          </w:tcPr>
          <w:p>
            <w:pPr>
              <w:spacing w:before="0" w:after="0" w:line="276" w:lineRule="auto"/>
            </w:pPr>
            <w:r/>
            <w:r>
              <w:rPr>
                <w:rFonts w:ascii="Times New Roman" w:hAnsi="Times New Roman" w:eastAsia="宋体"/>
                <w:b w:val="0"/>
                <w:color w:val="1F1F1F"/>
                <w:sz w:val="18"/>
              </w:rPr>
              <w:t>只作背景与约束引用，数字一律待核</w:t>
            </w:r>
          </w:p>
        </w:tc>
      </w:tr>
      <w:tr>
        <w:trPr>
          <w:cantSplit/>
        </w:trPr>
        <w:tc>
          <w:tcPr>
            <w:tcW w:type="dxa" w:w="2889"/>
          </w:tcPr>
          <w:p>
            <w:pPr>
              <w:spacing w:before="0" w:after="0" w:line="276" w:lineRule="auto"/>
            </w:pPr>
            <w:r/>
            <w:r>
              <w:rPr>
                <w:rFonts w:ascii="Times New Roman" w:hAnsi="Times New Roman" w:eastAsia="宋体"/>
                <w:b w:val="0"/>
                <w:color w:val="1F1F1F"/>
                <w:sz w:val="18"/>
              </w:rPr>
              <w:t>【对标案例】</w:t>
            </w:r>
          </w:p>
        </w:tc>
        <w:tc>
          <w:tcPr>
            <w:tcW w:type="dxa" w:w="2755"/>
          </w:tcPr>
          <w:p>
            <w:pPr>
              <w:spacing w:before="0" w:after="0" w:line="276" w:lineRule="auto"/>
            </w:pPr>
            <w:r/>
            <w:r>
              <w:rPr>
                <w:rFonts w:ascii="Times New Roman" w:hAnsi="Times New Roman" w:eastAsia="宋体"/>
                <w:b w:val="0"/>
                <w:color w:val="1F1F1F"/>
                <w:sz w:val="18"/>
              </w:rPr>
              <w:t>调研对象与第四轮赛马所引案例</w:t>
            </w:r>
          </w:p>
        </w:tc>
        <w:tc>
          <w:tcPr>
            <w:tcW w:type="dxa" w:w="3200"/>
          </w:tcPr>
          <w:p>
            <w:pPr>
              <w:spacing w:before="0" w:after="0" w:line="276" w:lineRule="auto"/>
            </w:pPr>
            <w:r/>
            <w:r>
              <w:rPr>
                <w:rFonts w:ascii="Times New Roman" w:hAnsi="Times New Roman" w:eastAsia="宋体"/>
                <w:b w:val="0"/>
                <w:color w:val="1F1F1F"/>
                <w:sz w:val="18"/>
              </w:rPr>
              <w:t>一律标待核，只作参照，不作实施对标</w:t>
            </w:r>
          </w:p>
        </w:tc>
      </w:tr>
      <w:tr>
        <w:trPr>
          <w:cantSplit/>
        </w:trPr>
        <w:tc>
          <w:tcPr>
            <w:tcW w:type="dxa" w:w="2889"/>
          </w:tcPr>
          <w:p>
            <w:pPr>
              <w:spacing w:before="0" w:after="0" w:line="276" w:lineRule="auto"/>
            </w:pPr>
            <w:r/>
            <w:r>
              <w:rPr>
                <w:rFonts w:ascii="Times New Roman" w:hAnsi="Times New Roman" w:eastAsia="宋体"/>
                <w:b w:val="0"/>
                <w:color w:val="1F1F1F"/>
                <w:sz w:val="18"/>
              </w:rPr>
              <w:t>【待核】</w:t>
            </w:r>
          </w:p>
        </w:tc>
        <w:tc>
          <w:tcPr>
            <w:tcW w:type="dxa" w:w="2755"/>
          </w:tcPr>
          <w:p>
            <w:pPr>
              <w:spacing w:before="0" w:after="0" w:line="276" w:lineRule="auto"/>
            </w:pPr>
            <w:r/>
            <w:r>
              <w:rPr>
                <w:rFonts w:ascii="Times New Roman" w:hAnsi="Times New Roman" w:eastAsia="宋体"/>
                <w:b w:val="0"/>
                <w:color w:val="1F1F1F"/>
                <w:sz w:val="18"/>
              </w:rPr>
              <w:t>来源弱、口径冲突或稿中没有的数据与提法</w:t>
            </w:r>
          </w:p>
        </w:tc>
        <w:tc>
          <w:tcPr>
            <w:tcW w:type="dxa" w:w="3200"/>
          </w:tcPr>
          <w:p>
            <w:pPr>
              <w:spacing w:before="0" w:after="0" w:line="276" w:lineRule="auto"/>
            </w:pPr>
            <w:r/>
            <w:r>
              <w:rPr>
                <w:rFonts w:ascii="Times New Roman" w:hAnsi="Times New Roman" w:eastAsia="宋体"/>
                <w:b w:val="0"/>
                <w:color w:val="1F1F1F"/>
                <w:sz w:val="18"/>
              </w:rPr>
              <w:t>不进指标，列入第十二章待核清单</w:t>
            </w:r>
          </w:p>
        </w:tc>
      </w:tr>
    </w:tbl>
    <w:p>
      <w:pPr>
        <w:spacing w:after="80"/>
      </w:pPr>
    </w:p>
    <w:p>
      <w:pPr>
        <w:pStyle w:val="Heading1"/>
        <w:keepNext/>
        <w:pageBreakBefore/>
        <w:spacing w:before="360" w:after="240" w:line="360" w:lineRule="auto"/>
        <w:jc w:val="center"/>
      </w:pPr>
      <w:r>
        <w:rPr>
          <w:rFonts w:ascii="Times New Roman" w:hAnsi="Times New Roman" w:eastAsia="黑体"/>
          <w:b w:val="0"/>
          <w:color w:val="1F1F1F"/>
          <w:sz w:val="32"/>
        </w:rPr>
        <w:t>附录 C 与前序材料的关系</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672"/>
        <w:gridCol w:w="5172"/>
      </w:tblGrid>
      <w:tr>
        <w:trPr>
          <w:cantSplit/>
          <w:tblHeader/>
        </w:trPr>
        <w:tc>
          <w:tcPr>
            <w:tcW w:type="dxa" w:w="3672"/>
            <w:shd w:val="clear" w:color="auto" w:fill="E7EEF3"/>
          </w:tcPr>
          <w:p>
            <w:pPr>
              <w:keepNext/>
              <w:spacing w:before="0" w:after="0" w:line="276" w:lineRule="auto"/>
            </w:pPr>
            <w:r/>
            <w:r>
              <w:rPr>
                <w:rFonts w:ascii="Times New Roman" w:hAnsi="Times New Roman" w:eastAsia="宋体"/>
                <w:b/>
                <w:color w:val="1F1F1F"/>
                <w:sz w:val="18"/>
              </w:rPr>
              <w:t>前序材料</w:t>
            </w:r>
          </w:p>
        </w:tc>
        <w:tc>
          <w:tcPr>
            <w:tcW w:type="dxa" w:w="5172"/>
            <w:shd w:val="clear" w:color="auto" w:fill="E7EEF3"/>
          </w:tcPr>
          <w:p>
            <w:pPr>
              <w:keepNext/>
              <w:spacing w:before="0" w:after="0" w:line="276" w:lineRule="auto"/>
            </w:pPr>
            <w:r/>
            <w:r>
              <w:rPr>
                <w:rFonts w:ascii="Times New Roman" w:hAnsi="Times New Roman" w:eastAsia="宋体"/>
                <w:b/>
                <w:color w:val="1F1F1F"/>
                <w:sz w:val="18"/>
              </w:rPr>
              <w:t>关系</w:t>
            </w:r>
          </w:p>
        </w:tc>
      </w:tr>
      <w:tr>
        <w:trPr>
          <w:cantSplit/>
        </w:trPr>
        <w:tc>
          <w:tcPr>
            <w:tcW w:type="dxa" w:w="3672"/>
          </w:tcPr>
          <w:p>
            <w:pPr>
              <w:spacing w:before="0" w:after="0" w:line="276" w:lineRule="auto"/>
            </w:pPr>
            <w:r/>
            <w:r>
              <w:rPr>
                <w:rFonts w:ascii="Times New Roman" w:hAnsi="Times New Roman" w:eastAsia="宋体"/>
                <w:b w:val="0"/>
                <w:color w:val="1F1F1F"/>
                <w:sz w:val="18"/>
              </w:rPr>
              <w:t>8 月 27 日一核六边沙盘（</w:t>
            </w:r>
            <w:r>
              <w:rPr>
                <w:rFonts w:ascii="Times New Roman" w:hAnsi="Times New Roman" w:eastAsia="宋体"/>
                <w:b w:val="0"/>
                <w:color w:val="1F1F1F"/>
                <w:sz w:val="18"/>
              </w:rPr>
              <w:t>hq-base/hexagon-race-4/sandbox/</w:t>
            </w:r>
            <w:r>
              <w:rPr>
                <w:rFonts w:ascii="Times New Roman" w:hAnsi="Times New Roman" w:eastAsia="宋体"/>
                <w:b w:val="0"/>
                <w:color w:val="1F1F1F"/>
                <w:sz w:val="18"/>
              </w:rPr>
              <w:t>）</w:t>
            </w:r>
          </w:p>
        </w:tc>
        <w:tc>
          <w:tcPr>
            <w:tcW w:type="dxa" w:w="5172"/>
          </w:tcPr>
          <w:p>
            <w:pPr>
              <w:spacing w:before="0" w:after="0" w:line="276" w:lineRule="auto"/>
            </w:pPr>
            <w:r/>
            <w:r>
              <w:rPr>
                <w:rFonts w:ascii="Times New Roman" w:hAnsi="Times New Roman" w:eastAsia="宋体"/>
                <w:b w:val="0"/>
                <w:color w:val="1F1F1F"/>
                <w:sz w:val="18"/>
              </w:rPr>
              <w:t>当时六边为零碳、绿色、高效、智慧、人文（含健康）、普惠。本稿按 9 月锁定口径改为绿色、高效、智慧、普惠、健康、人文：零碳退出边、托住核与绿色；健康从人文中独立。沙盘中的三层核与六路原文作为讨论存档，不照搬</w:t>
            </w:r>
          </w:p>
        </w:tc>
      </w:tr>
      <w:tr>
        <w:trPr>
          <w:cantSplit/>
        </w:trPr>
        <w:tc>
          <w:tcPr>
            <w:tcW w:type="dxa" w:w="3672"/>
          </w:tcPr>
          <w:p>
            <w:pPr>
              <w:spacing w:before="0" w:after="0" w:line="276" w:lineRule="auto"/>
            </w:pPr>
            <w:r/>
            <w:r>
              <w:rPr>
                <w:rFonts w:ascii="Times New Roman" w:hAnsi="Times New Roman" w:eastAsia="宋体"/>
                <w:b w:val="0"/>
                <w:color w:val="1F1F1F"/>
                <w:sz w:val="18"/>
              </w:rPr>
              <w:t>第四轮赛马六路文稿及普惠重跑（PR #30–#35、#38–#43）</w:t>
            </w:r>
          </w:p>
        </w:tc>
        <w:tc>
          <w:tcPr>
            <w:tcW w:type="dxa" w:w="5172"/>
          </w:tcPr>
          <w:p>
            <w:pPr>
              <w:spacing w:before="0" w:after="0" w:line="276" w:lineRule="auto"/>
            </w:pPr>
            <w:r/>
            <w:r>
              <w:rPr>
                <w:rFonts w:ascii="Times New Roman" w:hAnsi="Times New Roman" w:eastAsia="宋体"/>
                <w:b w:val="0"/>
                <w:color w:val="1F1F1F"/>
                <w:sz w:val="18"/>
              </w:rPr>
              <w:t>吸收其对既有园区约束的筛法与部分案例，案例一律标待核；六路各自的核与边切法不进本稿</w:t>
            </w:r>
          </w:p>
        </w:tc>
      </w:tr>
      <w:tr>
        <w:trPr>
          <w:cantSplit/>
        </w:trPr>
        <w:tc>
          <w:tcPr>
            <w:tcW w:type="dxa" w:w="3672"/>
          </w:tcPr>
          <w:p>
            <w:pPr>
              <w:spacing w:before="0" w:after="0" w:line="276" w:lineRule="auto"/>
            </w:pPr>
            <w:r/>
            <w:r>
              <w:rPr>
                <w:rFonts w:ascii="Times New Roman" w:hAnsi="Times New Roman" w:eastAsia="宋体"/>
                <w:b w:val="0"/>
                <w:color w:val="1F1F1F"/>
                <w:sz w:val="18"/>
              </w:rPr>
              <w:t>《南网总部基地建设框架方案》顶层架构包与修订稿（PR #52–#54）</w:t>
            </w:r>
          </w:p>
        </w:tc>
        <w:tc>
          <w:tcPr>
            <w:tcW w:type="dxa" w:w="5172"/>
          </w:tcPr>
          <w:p>
            <w:pPr>
              <w:spacing w:before="0" w:after="0" w:line="276" w:lineRule="auto"/>
            </w:pPr>
            <w:r/>
            <w:r>
              <w:rPr>
                <w:rFonts w:ascii="Times New Roman" w:hAnsi="Times New Roman" w:eastAsia="宋体"/>
                <w:b w:val="0"/>
                <w:color w:val="1F1F1F"/>
                <w:sz w:val="18"/>
              </w:rPr>
              <w:t>吸收其四层政策束、核的四件资产、三件先行与证据分级；本稿不是对修订稿的修订，而是按六要素重做的规划方案，章节结构以六要素独立成章为骨架</w:t>
            </w:r>
          </w:p>
        </w:tc>
      </w:tr>
      <w:tr>
        <w:trPr>
          <w:cantSplit/>
        </w:trPr>
        <w:tc>
          <w:tcPr>
            <w:tcW w:type="dxa" w:w="3672"/>
          </w:tcPr>
          <w:p>
            <w:pPr>
              <w:spacing w:before="0" w:after="0" w:line="276" w:lineRule="auto"/>
            </w:pPr>
            <w:r/>
            <w:r>
              <w:rPr>
                <w:rFonts w:ascii="Times New Roman" w:hAnsi="Times New Roman" w:eastAsia="宋体"/>
                <w:b w:val="0"/>
                <w:color w:val="1F1F1F"/>
                <w:sz w:val="18"/>
              </w:rPr>
              <w:t>北京调研报告（PR #2）</w:t>
            </w:r>
          </w:p>
        </w:tc>
        <w:tc>
          <w:tcPr>
            <w:tcW w:type="dxa" w:w="5172"/>
          </w:tcPr>
          <w:p>
            <w:pPr>
              <w:spacing w:before="0" w:after="0" w:line="276" w:lineRule="auto"/>
            </w:pPr>
            <w:r/>
            <w:r>
              <w:rPr>
                <w:rFonts w:ascii="Times New Roman" w:hAnsi="Times New Roman" w:eastAsia="宋体"/>
                <w:b w:val="0"/>
                <w:color w:val="1F1F1F"/>
                <w:sz w:val="18"/>
              </w:rPr>
              <w:t>现状底数、约束与三家单位口径的事实来源；本稿沿用其标注纪律</w:t>
            </w:r>
          </w:p>
        </w:tc>
      </w:tr>
      <w:tr>
        <w:trPr>
          <w:cantSplit/>
        </w:trPr>
        <w:tc>
          <w:tcPr>
            <w:tcW w:type="dxa" w:w="3672"/>
          </w:tcPr>
          <w:p>
            <w:pPr>
              <w:spacing w:before="0" w:after="0" w:line="276" w:lineRule="auto"/>
            </w:pPr>
            <w:r/>
            <w:r>
              <w:rPr>
                <w:rFonts w:ascii="Times New Roman" w:hAnsi="Times New Roman" w:eastAsia="宋体"/>
                <w:b w:val="0"/>
                <w:color w:val="1F1F1F"/>
                <w:sz w:val="18"/>
              </w:rPr>
              <w:t>建设方案 V3</w:t>
            </w:r>
          </w:p>
        </w:tc>
        <w:tc>
          <w:tcPr>
            <w:tcW w:type="dxa" w:w="5172"/>
          </w:tcPr>
          <w:p>
            <w:pPr>
              <w:spacing w:before="0" w:after="0" w:line="276" w:lineRule="auto"/>
            </w:pPr>
            <w:r/>
            <w:r>
              <w:rPr>
                <w:rFonts w:ascii="Times New Roman" w:hAnsi="Times New Roman" w:eastAsia="宋体"/>
                <w:b w:val="0"/>
                <w:color w:val="1F1F1F"/>
                <w:sz w:val="18"/>
              </w:rPr>
              <w:t>仅作家底与卡点参考，不作立意与编制依据</w:t>
            </w:r>
          </w:p>
        </w:tc>
      </w:tr>
    </w:tbl>
    <w:p>
      <w:pPr>
        <w:spacing w:after="80"/>
      </w:pPr>
    </w:p>
    <w:p>
      <w:pPr>
        <w:spacing w:before="0" w:after="120" w:line="360" w:lineRule="auto"/>
        <w:ind w:firstLine="480"/>
      </w:pPr>
      <w:r>
        <w:rPr>
          <w:rFonts w:ascii="Times New Roman" w:hAnsi="Times New Roman" w:eastAsia="仿宋_GB2312"/>
          <w:b/>
          <w:color w:val="1F1F1F"/>
          <w:sz w:val="24"/>
        </w:rPr>
        <w:t>起草单位</w:t>
      </w:r>
      <w:r>
        <w:rPr>
          <w:rFonts w:ascii="Times New Roman" w:hAnsi="Times New Roman" w:eastAsia="仿宋_GB2312"/>
          <w:b w:val="0"/>
          <w:color w:val="1F1F1F"/>
          <w:sz w:val="24"/>
        </w:rPr>
        <w:t>：南网能源公司（主笔）</w:t>
      </w:r>
    </w:p>
    <w:p>
      <w:pPr>
        <w:spacing w:before="0" w:after="120" w:line="360" w:lineRule="auto"/>
        <w:ind w:firstLine="480"/>
      </w:pPr>
      <w:r>
        <w:rPr>
          <w:rFonts w:ascii="Times New Roman" w:hAnsi="Times New Roman" w:eastAsia="仿宋_GB2312"/>
          <w:b/>
          <w:color w:val="1F1F1F"/>
          <w:sz w:val="24"/>
        </w:rPr>
        <w:t>稿件日期</w:t>
      </w:r>
      <w:r>
        <w:rPr>
          <w:rFonts w:ascii="Times New Roman" w:hAnsi="Times New Roman" w:eastAsia="仿宋_GB2312"/>
          <w:b w:val="0"/>
          <w:color w:val="1F1F1F"/>
          <w:sz w:val="24"/>
        </w:rPr>
        <w:t>：2026 年 9 月 2 日</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1F1F1F"/>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