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eastAsia="Noto Sans CJK SC"/>
          <w:b/>
          <w:color w:val="1F4E79"/>
          <w:sz w:val="40"/>
        </w:rPr>
        <w:t>DMI 超分辨率扩散模型项目诊断与优化方案报告</w:t>
      </w:r>
    </w:p>
    <w:p>
      <w:pPr>
        <w:jc w:val="center"/>
      </w:pPr>
      <w:r>
        <w:rPr>
          <w:rFonts w:ascii="Arial" w:hAnsi="Arial" w:eastAsia="Noto Sans CJK SC"/>
          <w:b/>
          <w:sz w:val="24"/>
        </w:rPr>
        <w:t>面向《基于扩散生成先验与结构引导的磁共振氘代谢成像超分辨率重建方法研究》</w:t>
      </w:r>
    </w:p>
    <w:p>
      <w:pPr>
        <w:jc w:val="center"/>
      </w:pPr>
      <w:r>
        <w:rPr>
          <w:rFonts w:ascii="Arial" w:hAnsi="Arial" w:eastAsia="Noto Sans CJK SC"/>
          <w:sz w:val="20"/>
        </w:rPr>
        <w:t>版本：2026-04-28｜输出类型：研究方案与代码诊断，不包含具体代码修改方案</w:t>
      </w:r>
    </w:p>
    <w:p/>
    <w:p>
      <w:pPr>
        <w:spacing w:before="0" w:after="80" w:line="259" w:lineRule="auto"/>
      </w:pPr>
      <w:r>
        <w:rPr>
          <w:rFonts w:ascii="Arial" w:hAnsi="Arial" w:eastAsia="Noto Sans CJK SC"/>
          <w:b w:val="0"/>
          <w:color w:val="505050"/>
          <w:sz w:val="19"/>
        </w:rPr>
        <w:t>审查边界说明：本报告依据当前可访问的 GitHub 仓库页面、关键源码片段与用户提供的项目说明完成。容器环境未能稳定完整克隆仓库，因此对代码的判断以仓库网页可访问的文件树、配置、数据集、扩散模块、UNet、训练模型封装等关键文件为准。若本地仓库存在未推送代码、私有分支或实验脚本，本报告中的诊断需要结合本地代码二次核验。</w:t>
      </w:r>
    </w:p>
    <w:p>
      <w:pPr>
        <w:spacing w:before="0" w:after="80" w:line="259" w:lineRule="auto"/>
      </w:pPr>
      <w:r>
        <w:rPr>
          <w:rFonts w:ascii="Arial" w:hAnsi="Arial" w:eastAsia="Noto Sans CJK SC"/>
          <w:b/>
          <w:sz w:val="21"/>
        </w:rPr>
        <w:t>核心结论：当前项目已经从自然图像 SR3 原型推进到可训练的 MRSI 条件扩散超分框架。下一阶段的关键不应是继续堆叠视觉超分模块，而应把“结构引导”约束为解剖边界与空间支持先验，把“扩散生成”约束为不违反 LR-DMI 观测的一致性先验，并把“医学定量一致性”显式写入 loss、指标和验证流程。</w:t>
      </w:r>
    </w:p>
    <w:p>
      <w:pPr>
        <w:pStyle w:val="Heading1"/>
        <w:spacing w:before="160" w:after="120" w:line="259" w:lineRule="auto"/>
      </w:pPr>
      <w:r/>
      <w:r>
        <w:rPr>
          <w:rFonts w:ascii="Arial" w:hAnsi="Arial" w:eastAsia="Noto Sans CJK SC"/>
          <w:b/>
          <w:color w:val="1F4E79"/>
          <w:sz w:val="32"/>
        </w:rPr>
        <w:t>一、当前项目理解</w:t>
      </w:r>
    </w:p>
    <w:p>
      <w:pPr>
        <w:pStyle w:val="Heading2"/>
        <w:spacing w:before="120" w:after="120" w:line="259" w:lineRule="auto"/>
      </w:pPr>
      <w:r/>
      <w:r>
        <w:rPr>
          <w:rFonts w:ascii="Arial" w:hAnsi="Arial" w:eastAsia="Noto Sans CJK SC"/>
          <w:b/>
          <w:color w:val="000000"/>
          <w:sz w:val="26"/>
        </w:rPr>
        <w:t>1.1 仓库结构与工程入口</w:t>
      </w:r>
    </w:p>
    <w:p>
      <w:pPr>
        <w:spacing w:before="0" w:after="80" w:line="259" w:lineRule="auto"/>
        <w:ind w:firstLine="420"/>
      </w:pPr>
      <w:r>
        <w:rPr>
          <w:rFonts w:ascii="Arial" w:hAnsi="Arial" w:eastAsia="Noto Sans CJK SC"/>
          <w:b w:val="0"/>
          <w:sz w:val="21"/>
        </w:rPr>
        <w:t>仓库仍保留 SR3/DDPM 的基本工程组织，并已扩展出 MRSI 相关数据准备与训练配置。根目录包含 sr.py、eval.py、infer.py、sample.py、launch_train.py、launch_train_mp.py、train_multi_gpu_launch.py 等入口文件；config 目录中包含 sr3_mrsi_64、sr3_mrsi_64_phase2、sr3_mrsi_64_single_gpu 等 MRSI 相关配置；data 目录包含 MRSI_SR3_dataset.py、prepare_mrsi_sr3_pairs.py 等数据接入文件；model 目录包含扩散模型、UNet、网络构造与训练封装；core 目录包含指标、日志和 W&amp;B 相关逻辑。[R01-R07]</w:t>
      </w:r>
    </w:p>
    <w:p>
      <w:pPr>
        <w:spacing w:before="0" w:after="80" w:line="259" w:lineRule="auto"/>
        <w:ind w:firstLine="420"/>
      </w:pPr>
      <w:r>
        <w:rPr>
          <w:rFonts w:ascii="Arial" w:hAnsi="Arial" w:eastAsia="Noto Sans CJK SC"/>
          <w:b w:val="0"/>
          <w:sz w:val="21"/>
        </w:rPr>
        <w:t>从研究工作流看，当前代码已经覆盖“数据组织 -&gt; 条件扩散训练 -&gt; EMA/采样 -&gt; 验证可视化 -&gt; 指标统计”的主闭环。与原始自然图像 SR3 相比，主要新增点是 MRSI 样本结构、多个医学模态条件输入、mask 与元信息返回、T1 结构 cross-attention，以及面向医学超分的指标扩展。</w:t>
      </w:r>
    </w:p>
    <w:p>
      <w:pPr>
        <w:pStyle w:val="Heading2"/>
        <w:spacing w:before="120" w:after="120" w:line="259" w:lineRule="auto"/>
      </w:pPr>
      <w:r/>
      <w:r>
        <w:rPr>
          <w:rFonts w:ascii="Arial" w:hAnsi="Arial" w:eastAsia="Noto Sans CJK SC"/>
          <w:b/>
          <w:color w:val="000000"/>
          <w:sz w:val="26"/>
        </w:rPr>
        <w:t>1.2 数据加载流程</w:t>
      </w:r>
    </w:p>
    <w:p>
      <w:pPr>
        <w:spacing w:before="0" w:after="80" w:line="259" w:lineRule="auto"/>
        <w:ind w:firstLine="420"/>
      </w:pPr>
      <w:r>
        <w:rPr>
          <w:rFonts w:ascii="Arial" w:hAnsi="Arial" w:eastAsia="Noto Sans CJK SC"/>
          <w:b w:val="0"/>
          <w:sz w:val="21"/>
        </w:rPr>
        <w:t>当前 MRSI 数据集采用 manifest.csv + npz 的组织方式。每个 npz 样本被设计为包含 HR、LR、T1、FLAIR、met_onehot、mask、met_id、patient_id、slice_idx、lowres 等字段，其中 HR/LR/T1/FLAIR 预期为单通道二维图像，代谢物 one-hot 通常为 4 通道，mask 为有效脑区或 ROI 约束。[R02]</w:t>
      </w:r>
    </w:p>
    <w:p>
      <w:pPr>
        <w:spacing w:before="0" w:after="80" w:line="259" w:lineRule="auto"/>
        <w:ind w:firstLine="420"/>
      </w:pPr>
      <w:r>
        <w:rPr>
          <w:rFonts w:ascii="Arial" w:hAnsi="Arial" w:eastAsia="Noto Sans CJK SC"/>
          <w:b w:val="0"/>
          <w:sz w:val="21"/>
        </w:rPr>
        <w:t>MRSI_SR3Dataset 在 __getitem__ 中将 LR、T1、FLAIR 和 metabolite one-hot 按通道拼接为 SR 条件输入；HR、SR、LR 被转换到 [-1, 1]，mask 保持 [0, 1]。这说明当前训练形式本质上是“HR 代谢图作为扩散目标，LR 代谢图和结构/类别信息作为条件”。[R02]</w:t>
      </w:r>
    </w:p>
    <w:p>
      <w:pPr>
        <w:spacing w:before="0" w:after="80" w:line="259" w:lineRule="auto"/>
        <w:ind w:firstLine="420"/>
      </w:pPr>
      <w:r>
        <w:rPr>
          <w:rFonts w:ascii="Arial" w:hAnsi="Arial" w:eastAsia="Noto Sans CJK SC"/>
          <w:b w:val="0"/>
          <w:sz w:val="21"/>
        </w:rPr>
        <w:t>DataLoader 侧支持 train/val/test split。分布式训练时 train loader 可以使用 DistributedSampler，val/test 默认 batch_size=1、shuffle=False。这对验证阶段可视化与逐样本医学指标计算是合理的。[R03]</w:t>
      </w:r>
    </w:p>
    <w:p>
      <w:pPr>
        <w:pStyle w:val="Heading2"/>
        <w:spacing w:before="120" w:after="120" w:line="259" w:lineRule="auto"/>
      </w:pPr>
      <w:r/>
      <w:r>
        <w:rPr>
          <w:rFonts w:ascii="Arial" w:hAnsi="Arial" w:eastAsia="Noto Sans CJK SC"/>
          <w:b/>
          <w:color w:val="000000"/>
          <w:sz w:val="26"/>
        </w:rPr>
        <w:t>1.3 模型结构与扩散训练逻辑</w:t>
      </w:r>
    </w:p>
    <w:p>
      <w:pPr>
        <w:spacing w:before="0" w:after="80" w:line="259" w:lineRule="auto"/>
        <w:ind w:firstLine="420"/>
      </w:pPr>
      <w:r>
        <w:rPr>
          <w:rFonts w:ascii="Arial" w:hAnsi="Arial" w:eastAsia="Noto Sans CJK SC"/>
          <w:b w:val="0"/>
          <w:sz w:val="21"/>
        </w:rPr>
        <w:t>网络构造逻辑中，define_G 会依据数据集配置解析 MRSI 条件输入通道数。若 model.unet.in_channel 未显式设置，会根据 use_lr、use_t1、use_flair、use_met_onehot 等配置项推断输入通道，再加上扩散目标图像通道。GaussianDiffusion 默认使用条件扩散形式，并支持 DDPM、DDIM、EMA、mask_loss_weight、freq_loss_weight 与 T1 cross-attention 参数。[R04-R05]</w:t>
      </w:r>
    </w:p>
    <w:p>
      <w:pPr>
        <w:spacing w:before="0" w:after="80" w:line="259" w:lineRule="auto"/>
        <w:ind w:firstLine="420"/>
      </w:pPr>
      <w:r>
        <w:rPr>
          <w:rFonts w:ascii="Arial" w:hAnsi="Arial" w:eastAsia="Noto Sans CJK SC"/>
          <w:b w:val="0"/>
          <w:sz w:val="21"/>
        </w:rPr>
        <w:t>扩散模块保留了正向加噪 q(x_t|x_0) 与反向去噪 p(x_{t-1}|x_t,c) 的 SR3 范式。训练时随机采样时间步 t，对 HR 代谢图加噪，UNet 输入为 concat(condition, x_noisy)，预测噪声 epsilon。损失主要为噪声空间的 L1 或 L2；如配置启用，会叠加 mask 加权噪声损失与 FFT magnitude 形式的频域噪声损失。[R05]</w:t>
      </w:r>
    </w:p>
    <w:p>
      <w:pPr>
        <w:spacing w:before="0" w:after="80" w:line="259" w:lineRule="auto"/>
        <w:ind w:firstLine="420"/>
      </w:pPr>
      <w:r>
        <w:rPr>
          <w:rFonts w:ascii="Arial" w:hAnsi="Arial" w:eastAsia="Noto Sans CJK SC"/>
          <w:b w:val="0"/>
          <w:sz w:val="21"/>
        </w:rPr>
        <w:t>UNet 结构中存在 T1Encoder 与 CrossAttentionBlock。T1Encoder 对 T1 通道提取多尺度结构特征，CrossAttentionBlock 以 UNet decoder feature 为 query，以 T1 feature 为 key/value 进行交叉注意力，且输出投影采用零初始化，使模型初始状态接近无结构注入的基线。这是一个稳健的工程设计，但也意味着结构引导需要足够强的训练信号才能真正发挥作用。[R06]</w:t>
      </w:r>
    </w:p>
    <w:p>
      <w:pPr>
        <w:pStyle w:val="Heading2"/>
        <w:spacing w:before="120" w:after="120" w:line="259" w:lineRule="auto"/>
      </w:pPr>
      <w:r/>
      <w:r>
        <w:rPr>
          <w:rFonts w:ascii="Arial" w:hAnsi="Arial" w:eastAsia="Noto Sans CJK SC"/>
          <w:b/>
          <w:color w:val="000000"/>
          <w:sz w:val="26"/>
        </w:rPr>
        <w:t>1.4 当前代码与论文思路的对应关系</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top"/>
            <w:shd w:fill="1F4E79"/>
          </w:tcPr>
          <w:p>
            <w:pPr>
              <w:spacing w:before="0" w:after="0" w:line="240" w:lineRule="auto"/>
            </w:pPr>
            <w:r/>
            <w:r>
              <w:rPr>
                <w:rFonts w:ascii="Arial" w:hAnsi="Arial" w:eastAsia="Noto Sans CJK SC"/>
                <w:b/>
                <w:color w:val="FFFFFF"/>
                <w:sz w:val="17"/>
              </w:rPr>
              <w:t>论文思路</w:t>
            </w:r>
          </w:p>
        </w:tc>
        <w:tc>
          <w:tcPr>
            <w:tcW w:type="dxa" w:w="3400"/>
            <w:vAlign w:val="top"/>
            <w:shd w:fill="1F4E79"/>
          </w:tcPr>
          <w:p>
            <w:pPr>
              <w:spacing w:before="0" w:after="0" w:line="240" w:lineRule="auto"/>
            </w:pPr>
            <w:r/>
            <w:r>
              <w:rPr>
                <w:rFonts w:ascii="Arial" w:hAnsi="Arial" w:eastAsia="Noto Sans CJK SC"/>
                <w:b/>
                <w:color w:val="FFFFFF"/>
                <w:sz w:val="17"/>
              </w:rPr>
              <w:t>当前代码中的对应实现</w:t>
            </w:r>
          </w:p>
        </w:tc>
        <w:tc>
          <w:tcPr>
            <w:tcW w:type="dxa" w:w="3400"/>
            <w:vAlign w:val="top"/>
            <w:shd w:fill="1F4E79"/>
          </w:tcPr>
          <w:p>
            <w:pPr>
              <w:spacing w:before="0" w:after="0" w:line="240" w:lineRule="auto"/>
            </w:pPr>
            <w:r/>
            <w:r>
              <w:rPr>
                <w:rFonts w:ascii="Arial" w:hAnsi="Arial" w:eastAsia="Noto Sans CJK SC"/>
                <w:b/>
                <w:color w:val="FFFFFF"/>
                <w:sz w:val="17"/>
              </w:rPr>
              <w:t>评价</w:t>
            </w:r>
          </w:p>
        </w:tc>
      </w:tr>
      <w:tr>
        <w:tc>
          <w:tcPr>
            <w:tcW w:type="dxa" w:w="3400"/>
            <w:vAlign w:val="top"/>
          </w:tcPr>
          <w:p>
            <w:pPr>
              <w:spacing w:before="0" w:after="0" w:line="240" w:lineRule="auto"/>
            </w:pPr>
            <w:r/>
            <w:r>
              <w:rPr>
                <w:rFonts w:ascii="Arial" w:hAnsi="Arial" w:eastAsia="Noto Sans CJK SC"/>
                <w:b w:val="0"/>
                <w:sz w:val="17"/>
              </w:rPr>
              <w:t>LR-DMI 到 HR-DMI 超分</w:t>
            </w:r>
          </w:p>
        </w:tc>
        <w:tc>
          <w:tcPr>
            <w:tcW w:type="dxa" w:w="3400"/>
            <w:vAlign w:val="top"/>
          </w:tcPr>
          <w:p>
            <w:pPr>
              <w:spacing w:before="0" w:after="0" w:line="240" w:lineRule="auto"/>
            </w:pPr>
            <w:r/>
            <w:r>
              <w:rPr>
                <w:rFonts w:ascii="Arial" w:hAnsi="Arial" w:eastAsia="Noto Sans CJK SC"/>
                <w:b w:val="0"/>
                <w:sz w:val="17"/>
              </w:rPr>
              <w:t>HR 为扩散目标，LR 被拼接进 SR 条件输入</w:t>
            </w:r>
          </w:p>
        </w:tc>
        <w:tc>
          <w:tcPr>
            <w:tcW w:type="dxa" w:w="3400"/>
            <w:vAlign w:val="top"/>
          </w:tcPr>
          <w:p>
            <w:pPr>
              <w:spacing w:before="0" w:after="0" w:line="240" w:lineRule="auto"/>
            </w:pPr>
            <w:r/>
            <w:r>
              <w:rPr>
                <w:rFonts w:ascii="Arial" w:hAnsi="Arial" w:eastAsia="Noto Sans CJK SC"/>
                <w:b w:val="0"/>
                <w:sz w:val="17"/>
              </w:rPr>
              <w:t>主任务闭环已存在，但 LR 观测一致性尚未显式约束</w:t>
            </w:r>
          </w:p>
        </w:tc>
      </w:tr>
      <w:tr>
        <w:tc>
          <w:tcPr>
            <w:tcW w:type="dxa" w:w="3400"/>
            <w:vAlign w:val="top"/>
          </w:tcPr>
          <w:p>
            <w:pPr>
              <w:spacing w:before="0" w:after="0" w:line="240" w:lineRule="auto"/>
            </w:pPr>
            <w:r/>
            <w:r>
              <w:rPr>
                <w:rFonts w:ascii="Arial" w:hAnsi="Arial" w:eastAsia="Noto Sans CJK SC"/>
                <w:b w:val="0"/>
                <w:sz w:val="17"/>
              </w:rPr>
              <w:t>结构图像引导</w:t>
            </w:r>
          </w:p>
        </w:tc>
        <w:tc>
          <w:tcPr>
            <w:tcW w:type="dxa" w:w="3400"/>
            <w:vAlign w:val="top"/>
          </w:tcPr>
          <w:p>
            <w:pPr>
              <w:spacing w:before="0" w:after="0" w:line="240" w:lineRule="auto"/>
            </w:pPr>
            <w:r/>
            <w:r>
              <w:rPr>
                <w:rFonts w:ascii="Arial" w:hAnsi="Arial" w:eastAsia="Noto Sans CJK SC"/>
                <w:b w:val="0"/>
                <w:sz w:val="17"/>
              </w:rPr>
              <w:t>T1/FLAIR 拼接条件；T1Encoder + cross-attention</w:t>
            </w:r>
          </w:p>
        </w:tc>
        <w:tc>
          <w:tcPr>
            <w:tcW w:type="dxa" w:w="3400"/>
            <w:vAlign w:val="top"/>
          </w:tcPr>
          <w:p>
            <w:pPr>
              <w:spacing w:before="0" w:after="0" w:line="240" w:lineRule="auto"/>
            </w:pPr>
            <w:r/>
            <w:r>
              <w:rPr>
                <w:rFonts w:ascii="Arial" w:hAnsi="Arial" w:eastAsia="Noto Sans CJK SC"/>
                <w:b w:val="0"/>
                <w:sz w:val="17"/>
              </w:rPr>
              <w:t>已有结构先验入口，但需要防止 MRI 纹理误迁移到 DMI</w:t>
            </w:r>
          </w:p>
        </w:tc>
      </w:tr>
      <w:tr>
        <w:tc>
          <w:tcPr>
            <w:tcW w:type="dxa" w:w="3400"/>
            <w:vAlign w:val="top"/>
          </w:tcPr>
          <w:p>
            <w:pPr>
              <w:spacing w:before="0" w:after="0" w:line="240" w:lineRule="auto"/>
            </w:pPr>
            <w:r/>
            <w:r>
              <w:rPr>
                <w:rFonts w:ascii="Arial" w:hAnsi="Arial" w:eastAsia="Noto Sans CJK SC"/>
                <w:b w:val="0"/>
                <w:sz w:val="17"/>
              </w:rPr>
              <w:t>代谢物类别条件</w:t>
            </w:r>
          </w:p>
        </w:tc>
        <w:tc>
          <w:tcPr>
            <w:tcW w:type="dxa" w:w="3400"/>
            <w:vAlign w:val="top"/>
          </w:tcPr>
          <w:p>
            <w:pPr>
              <w:spacing w:before="0" w:after="0" w:line="240" w:lineRule="auto"/>
            </w:pPr>
            <w:r/>
            <w:r>
              <w:rPr>
                <w:rFonts w:ascii="Arial" w:hAnsi="Arial" w:eastAsia="Noto Sans CJK SC"/>
                <w:b w:val="0"/>
                <w:sz w:val="17"/>
              </w:rPr>
              <w:t>met_onehot 按通道拼接进条件输入</w:t>
            </w:r>
          </w:p>
        </w:tc>
        <w:tc>
          <w:tcPr>
            <w:tcW w:type="dxa" w:w="3400"/>
            <w:vAlign w:val="top"/>
          </w:tcPr>
          <w:p>
            <w:pPr>
              <w:spacing w:before="0" w:after="0" w:line="240" w:lineRule="auto"/>
            </w:pPr>
            <w:r/>
            <w:r>
              <w:rPr>
                <w:rFonts w:ascii="Arial" w:hAnsi="Arial" w:eastAsia="Noto Sans CJK SC"/>
                <w:b w:val="0"/>
                <w:sz w:val="17"/>
              </w:rPr>
              <w:t>可以工作，但类别语义可能被卷积淹没，建议后续改成 embedding/FiLM 层级条件</w:t>
            </w:r>
          </w:p>
        </w:tc>
      </w:tr>
      <w:tr>
        <w:tc>
          <w:tcPr>
            <w:tcW w:type="dxa" w:w="3400"/>
            <w:vAlign w:val="top"/>
          </w:tcPr>
          <w:p>
            <w:pPr>
              <w:spacing w:before="0" w:after="0" w:line="240" w:lineRule="auto"/>
            </w:pPr>
            <w:r/>
            <w:r>
              <w:rPr>
                <w:rFonts w:ascii="Arial" w:hAnsi="Arial" w:eastAsia="Noto Sans CJK SC"/>
                <w:b w:val="0"/>
                <w:sz w:val="17"/>
              </w:rPr>
              <w:t>有效区域约束</w:t>
            </w:r>
          </w:p>
        </w:tc>
        <w:tc>
          <w:tcPr>
            <w:tcW w:type="dxa" w:w="3400"/>
            <w:vAlign w:val="top"/>
          </w:tcPr>
          <w:p>
            <w:pPr>
              <w:spacing w:before="0" w:after="0" w:line="240" w:lineRule="auto"/>
            </w:pPr>
            <w:r/>
            <w:r>
              <w:rPr>
                <w:rFonts w:ascii="Arial" w:hAnsi="Arial" w:eastAsia="Noto Sans CJK SC"/>
                <w:b w:val="0"/>
                <w:sz w:val="17"/>
              </w:rPr>
              <w:t>mask 被数据集返回，扩散 loss 中支持 mask_loss_weight</w:t>
            </w:r>
          </w:p>
        </w:tc>
        <w:tc>
          <w:tcPr>
            <w:tcW w:type="dxa" w:w="3400"/>
            <w:vAlign w:val="top"/>
          </w:tcPr>
          <w:p>
            <w:pPr>
              <w:spacing w:before="0" w:after="0" w:line="240" w:lineRule="auto"/>
            </w:pPr>
            <w:r/>
            <w:r>
              <w:rPr>
                <w:rFonts w:ascii="Arial" w:hAnsi="Arial" w:eastAsia="Noto Sans CJK SC"/>
                <w:b w:val="0"/>
                <w:sz w:val="17"/>
              </w:rPr>
              <w:t>有基础，但目前主要是噪声空间加权，不等价于代谢定量约束</w:t>
            </w:r>
          </w:p>
        </w:tc>
      </w:tr>
      <w:tr>
        <w:tc>
          <w:tcPr>
            <w:tcW w:type="dxa" w:w="3400"/>
            <w:vAlign w:val="top"/>
          </w:tcPr>
          <w:p>
            <w:pPr>
              <w:spacing w:before="0" w:after="0" w:line="240" w:lineRule="auto"/>
            </w:pPr>
            <w:r/>
            <w:r>
              <w:rPr>
                <w:rFonts w:ascii="Arial" w:hAnsi="Arial" w:eastAsia="Noto Sans CJK SC"/>
                <w:b w:val="0"/>
                <w:sz w:val="17"/>
              </w:rPr>
              <w:t>高频/分辨率分析</w:t>
            </w:r>
          </w:p>
        </w:tc>
        <w:tc>
          <w:tcPr>
            <w:tcW w:type="dxa" w:w="3400"/>
            <w:vAlign w:val="top"/>
          </w:tcPr>
          <w:p>
            <w:pPr>
              <w:spacing w:before="0" w:after="0" w:line="240" w:lineRule="auto"/>
            </w:pPr>
            <w:r/>
            <w:r>
              <w:rPr>
                <w:rFonts w:ascii="Arial" w:hAnsi="Arial" w:eastAsia="Noto Sans CJK SC"/>
                <w:b w:val="0"/>
                <w:sz w:val="17"/>
              </w:rPr>
              <w:t>支持 HFEN/FRC 等指标；扩散 loss 有可选 FFT magnitude 项</w:t>
            </w:r>
          </w:p>
        </w:tc>
        <w:tc>
          <w:tcPr>
            <w:tcW w:type="dxa" w:w="3400"/>
            <w:vAlign w:val="top"/>
          </w:tcPr>
          <w:p>
            <w:pPr>
              <w:spacing w:before="0" w:after="0" w:line="240" w:lineRule="auto"/>
            </w:pPr>
            <w:r/>
            <w:r>
              <w:rPr>
                <w:rFonts w:ascii="Arial" w:hAnsi="Arial" w:eastAsia="Noto Sans CJK SC"/>
                <w:b w:val="0"/>
                <w:sz w:val="17"/>
              </w:rPr>
              <w:t>指标方向正确，但频域 loss 与物理退化/FRC 之间尚不完全一致</w:t>
            </w:r>
          </w:p>
        </w:tc>
      </w:tr>
      <w:tr>
        <w:tc>
          <w:tcPr>
            <w:tcW w:type="dxa" w:w="3400"/>
            <w:vAlign w:val="top"/>
          </w:tcPr>
          <w:p>
            <w:pPr>
              <w:spacing w:before="0" w:after="0" w:line="240" w:lineRule="auto"/>
            </w:pPr>
            <w:r/>
            <w:r>
              <w:rPr>
                <w:rFonts w:ascii="Arial" w:hAnsi="Arial" w:eastAsia="Noto Sans CJK SC"/>
                <w:b w:val="0"/>
                <w:sz w:val="17"/>
              </w:rPr>
              <w:t>实验管理</w:t>
            </w:r>
          </w:p>
        </w:tc>
        <w:tc>
          <w:tcPr>
            <w:tcW w:type="dxa" w:w="3400"/>
            <w:vAlign w:val="top"/>
          </w:tcPr>
          <w:p>
            <w:pPr>
              <w:spacing w:before="0" w:after="0" w:line="240" w:lineRule="auto"/>
            </w:pPr>
            <w:r/>
            <w:r>
              <w:rPr>
                <w:rFonts w:ascii="Arial" w:hAnsi="Arial" w:eastAsia="Noto Sans CJK SC"/>
                <w:b w:val="0"/>
                <w:sz w:val="17"/>
              </w:rPr>
              <w:t>checkpoint、验证可视化、TensorBoard、W&amp;B、EMA、DDIM</w:t>
            </w:r>
          </w:p>
        </w:tc>
        <w:tc>
          <w:tcPr>
            <w:tcW w:type="dxa" w:w="3400"/>
            <w:vAlign w:val="top"/>
          </w:tcPr>
          <w:p>
            <w:pPr>
              <w:spacing w:before="0" w:after="0" w:line="240" w:lineRule="auto"/>
            </w:pPr>
            <w:r/>
            <w:r>
              <w:rPr>
                <w:rFonts w:ascii="Arial" w:hAnsi="Arial" w:eastAsia="Noto Sans CJK SC"/>
                <w:b w:val="0"/>
                <w:sz w:val="17"/>
              </w:rPr>
              <w:t>工程闭环较完整，下一步重点是实验可复现与医学指标体系</w:t>
            </w:r>
          </w:p>
        </w:tc>
      </w:tr>
    </w:tbl>
    <w:p/>
    <w:p>
      <w:pPr>
        <w:pStyle w:val="Heading1"/>
        <w:spacing w:before="160" w:after="120" w:line="259" w:lineRule="auto"/>
      </w:pPr>
      <w:r/>
      <w:r>
        <w:rPr>
          <w:rFonts w:ascii="Arial" w:hAnsi="Arial" w:eastAsia="Noto Sans CJK SC"/>
          <w:b/>
          <w:color w:val="1F4E79"/>
          <w:sz w:val="32"/>
        </w:rPr>
        <w:t>二、代码问题诊断</w:t>
      </w:r>
    </w:p>
    <w:p>
      <w:pPr>
        <w:spacing w:before="0" w:after="80" w:line="259" w:lineRule="auto"/>
        <w:ind w:firstLine="420"/>
      </w:pPr>
      <w:r>
        <w:rPr>
          <w:rFonts w:ascii="Arial" w:hAnsi="Arial" w:eastAsia="Noto Sans CJK SC"/>
          <w:b w:val="0"/>
          <w:sz w:val="21"/>
        </w:rPr>
        <w:t>本节给出“当前模型诊断报告”。诊断重点不是指出语法层面问题，而是定位会限制医学超分效果、论文可信度和可复现实验的关键环节。</w:t>
      </w:r>
    </w:p>
    <w:p>
      <w:pPr>
        <w:pStyle w:val="Heading2"/>
        <w:spacing w:before="120" w:after="120" w:line="259" w:lineRule="auto"/>
      </w:pPr>
      <w:r/>
      <w:r>
        <w:rPr>
          <w:rFonts w:ascii="Arial" w:hAnsi="Arial" w:eastAsia="Noto Sans CJK SC"/>
          <w:b/>
          <w:color w:val="000000"/>
          <w:sz w:val="26"/>
        </w:rPr>
        <w:t>2.1 条件输入使用方式仍偏弱</w:t>
      </w:r>
    </w:p>
    <w:p>
      <w:pPr>
        <w:spacing w:before="0" w:after="80" w:line="259" w:lineRule="auto"/>
        <w:ind w:firstLine="420"/>
      </w:pPr>
      <w:r>
        <w:rPr>
          <w:rFonts w:ascii="Arial" w:hAnsi="Arial" w:eastAsia="Noto Sans CJK SC"/>
          <w:b w:val="0"/>
          <w:sz w:val="21"/>
        </w:rPr>
        <w:t>当前条件端以通道拼接为主，T1 额外通过 cross-attention 注入。LR、FLAIR、代谢物 one-hot 并没有独立的编码器、尺度选择或门控机制。对 MRSI 超分而言，LR-DMI 是测量约束，T1/FLAIR 是结构先验，代谢物类别是生理/代谢分布先验。这三类条件的语义不同，若全部按普通图像通道处理，模型可能学习到“哪个通道更容易降低噪声预测 loss”，而不是学习医学上合理的条件因果关系。</w:t>
      </w:r>
    </w:p>
    <w:p>
      <w:pPr>
        <w:spacing w:before="0" w:after="80" w:line="259" w:lineRule="auto"/>
        <w:ind w:firstLine="420"/>
      </w:pPr>
      <w:r>
        <w:rPr>
          <w:rFonts w:ascii="Arial" w:hAnsi="Arial" w:eastAsia="Noto Sans CJK SC"/>
          <w:b w:val="0"/>
          <w:sz w:val="21"/>
        </w:rPr>
        <w:t>潜在后果：T1/FLAIR 可能被当作纹理模板；代谢物类别可能被忽略；LR-DMI 对最终 HR 定量值的约束不够强。</w:t>
      </w:r>
    </w:p>
    <w:p>
      <w:pPr>
        <w:pStyle w:val="Heading2"/>
        <w:spacing w:before="120" w:after="120" w:line="259" w:lineRule="auto"/>
      </w:pPr>
      <w:r/>
      <w:r>
        <w:rPr>
          <w:rFonts w:ascii="Arial" w:hAnsi="Arial" w:eastAsia="Noto Sans CJK SC"/>
          <w:b/>
          <w:color w:val="000000"/>
          <w:sz w:val="26"/>
        </w:rPr>
        <w:t>2.2 数据集通道拼接与配置推断存在一致性风险</w:t>
      </w:r>
    </w:p>
    <w:p>
      <w:pPr>
        <w:spacing w:before="0" w:after="80" w:line="259" w:lineRule="auto"/>
        <w:ind w:firstLine="420"/>
      </w:pPr>
      <w:r>
        <w:rPr>
          <w:rFonts w:ascii="Arial" w:hAnsi="Arial" w:eastAsia="Noto Sans CJK SC"/>
          <w:b w:val="0"/>
          <w:sz w:val="21"/>
        </w:rPr>
        <w:t>MRSI_SR3Dataset 当前会固定拼接 LR、T1、FLAIR 和 met_onehot，而 networks.py 又会根据 use_lr/use_t1/use_flair/use_met_onehot 推断输入通道。若配置项与数据集实际拼接逻辑不完全一致，可能出现通道数不匹配、T1 channel index 错位，或实验设置名义上关闭某一条件但数据仍然输入的情况。</w:t>
      </w:r>
    </w:p>
    <w:p>
      <w:pPr>
        <w:spacing w:before="0" w:after="80" w:line="259" w:lineRule="auto"/>
        <w:ind w:firstLine="420"/>
      </w:pPr>
      <w:r>
        <w:rPr>
          <w:rFonts w:ascii="Arial" w:hAnsi="Arial" w:eastAsia="Noto Sans CJK SC"/>
          <w:b w:val="0"/>
          <w:sz w:val="21"/>
        </w:rPr>
        <w:t>这类问题不一定导致程序报错，却会直接影响 ablation study 的可信度。硕士论文中若要证明“结构引导有效”或“代谢物条件有效”，必须保证每个消融实验的输入通道、条件开关和日志记录完全一致。</w:t>
      </w:r>
    </w:p>
    <w:p>
      <w:pPr>
        <w:pStyle w:val="Heading2"/>
        <w:spacing w:before="120" w:after="120" w:line="259" w:lineRule="auto"/>
      </w:pPr>
      <w:r/>
      <w:r>
        <w:rPr>
          <w:rFonts w:ascii="Arial" w:hAnsi="Arial" w:eastAsia="Noto Sans CJK SC"/>
          <w:b/>
          <w:color w:val="000000"/>
          <w:sz w:val="26"/>
        </w:rPr>
        <w:t>2.3 loss 主要工作在噪声空间，医学定量约束不足</w:t>
      </w:r>
    </w:p>
    <w:p>
      <w:pPr>
        <w:spacing w:before="0" w:after="80" w:line="259" w:lineRule="auto"/>
        <w:ind w:firstLine="420"/>
      </w:pPr>
      <w:r>
        <w:rPr>
          <w:rFonts w:ascii="Arial" w:hAnsi="Arial" w:eastAsia="Noto Sans CJK SC"/>
          <w:b w:val="0"/>
          <w:sz w:val="21"/>
        </w:rPr>
        <w:t>当前扩散训练目标以 epsilon/noise prediction 为核心，mask 加权和 FFT 项也主要作用于预测噪声与真实噪声之间。该设计符合 DDPM/SR3 的常规训练，但对 DMI 任务存在不足：医学上真正关心的是重建 HR 代谢图的浓度分布、ROI 平均值、代谢比值、热点位置和积分强度，而不是单纯的噪声预测误差。</w:t>
      </w:r>
    </w:p>
    <w:p>
      <w:pPr>
        <w:spacing w:before="0" w:after="80" w:line="259" w:lineRule="auto"/>
        <w:ind w:firstLine="420"/>
      </w:pPr>
      <w:r>
        <w:rPr>
          <w:rFonts w:ascii="Arial" w:hAnsi="Arial" w:eastAsia="Noto Sans CJK SC"/>
          <w:b w:val="0"/>
          <w:sz w:val="21"/>
        </w:rPr>
        <w:t>如果模型在噪声空间获得较低 loss，却在 x0_hat 空间产生局部代谢热点、局部浓度偏移或 ROI 代谢比值偏差，当前训练目标可能不能及时惩罚。建议后续把 x0_hat 或 residual_hat 显式纳入 loss，而不是只在验证阶段观察图像指标。</w:t>
      </w:r>
    </w:p>
    <w:p>
      <w:pPr>
        <w:pStyle w:val="Heading2"/>
        <w:spacing w:before="120" w:after="120" w:line="259" w:lineRule="auto"/>
      </w:pPr>
      <w:r/>
      <w:r>
        <w:rPr>
          <w:rFonts w:ascii="Arial" w:hAnsi="Arial" w:eastAsia="Noto Sans CJK SC"/>
          <w:b/>
          <w:color w:val="000000"/>
          <w:sz w:val="26"/>
        </w:rPr>
        <w:t>2.4 退化模型与真实 DMI/MRSI 退化过程可能不匹配</w:t>
      </w:r>
    </w:p>
    <w:p>
      <w:pPr>
        <w:spacing w:before="0" w:after="80" w:line="259" w:lineRule="auto"/>
        <w:ind w:firstLine="420"/>
      </w:pPr>
      <w:r>
        <w:rPr>
          <w:rFonts w:ascii="Arial" w:hAnsi="Arial" w:eastAsia="Noto Sans CJK SC"/>
          <w:b w:val="0"/>
          <w:sz w:val="21"/>
        </w:rPr>
        <w:t>自然图像 SR 通常默认 bicubic/downsample 退化，而 DMI/MRSI 的低分辨率来源更接近有限 k-space 采样、点扩散函数、低 SNR、频谱拟合误差、B0/B1 不均匀、空间配准误差与代谢物谱峰分离误差的组合。近年 DMI 综述明确指出空间分辨率是临床转化的重要瓶颈；DMI 处理还常涉及 B0/B1、脂质污染和谱拟合相关问题。[R08-R10]</w:t>
      </w:r>
    </w:p>
    <w:p>
      <w:pPr>
        <w:spacing w:before="0" w:after="80" w:line="259" w:lineRule="auto"/>
        <w:ind w:firstLine="420"/>
      </w:pPr>
      <w:r>
        <w:rPr>
          <w:rFonts w:ascii="Arial" w:hAnsi="Arial" w:eastAsia="Noto Sans CJK SC"/>
          <w:b w:val="0"/>
          <w:sz w:val="21"/>
        </w:rPr>
        <w:t>若仿真 LR 生成方式过于理想化，模型可能在仿真验证上 PSNR/SSIM 很好，但迁移到真实 DMI 时出现定量偏差。对本课题而言，退化模型不是数据预处理细节，而是方法可信度的一部分。</w:t>
      </w:r>
    </w:p>
    <w:p>
      <w:pPr>
        <w:pStyle w:val="Heading2"/>
        <w:spacing w:before="120" w:after="120" w:line="259" w:lineRule="auto"/>
      </w:pPr>
      <w:r/>
      <w:r>
        <w:rPr>
          <w:rFonts w:ascii="Arial" w:hAnsi="Arial" w:eastAsia="Noto Sans CJK SC"/>
          <w:b/>
          <w:color w:val="000000"/>
          <w:sz w:val="26"/>
        </w:rPr>
        <w:t>2.5 评价指标仍偏“图像质量”，缺少 DMI 定量闭环</w:t>
      </w:r>
    </w:p>
    <w:p>
      <w:pPr>
        <w:spacing w:before="0" w:after="80" w:line="259" w:lineRule="auto"/>
        <w:ind w:firstLine="420"/>
      </w:pPr>
      <w:r>
        <w:rPr>
          <w:rFonts w:ascii="Arial" w:hAnsi="Arial" w:eastAsia="Noto Sans CJK SC"/>
          <w:b w:val="0"/>
          <w:sz w:val="21"/>
        </w:rPr>
        <w:t>PSNR、SSIM、LPIPS、HFEN、FRC 可以反映像素、结构、感知和频域分辨率，但不能充分证明医学代谢定量正确。DMI 关注的是代谢物浓度或代谢动态，PRECISE-DMI 等相邻工作也提示：过强的边缘保持正则可能改善视觉边缘但引入定量偏差。[R20]</w:t>
      </w:r>
    </w:p>
    <w:p>
      <w:pPr>
        <w:spacing w:before="0" w:after="80" w:line="259" w:lineRule="auto"/>
        <w:ind w:firstLine="420"/>
      </w:pPr>
      <w:r>
        <w:rPr>
          <w:rFonts w:ascii="Arial" w:hAnsi="Arial" w:eastAsia="Noto Sans CJK SC"/>
          <w:b w:val="0"/>
          <w:sz w:val="21"/>
        </w:rPr>
        <w:t>建议论文主指标增加 ROI mean bias、ROI sum/integral bias、metabolite ratio error、hotspot false positive rate、degradation consistency error、Bland-Altman 分析、uncertainty calibration error 等。LPIPS 在医学代谢图上只能作为辅助，不宜作为核心指标。</w:t>
      </w:r>
    </w:p>
    <w:p>
      <w:pPr>
        <w:pStyle w:val="Heading2"/>
        <w:spacing w:before="120" w:after="120" w:line="259" w:lineRule="auto"/>
      </w:pPr>
      <w:r/>
      <w:r>
        <w:rPr>
          <w:rFonts w:ascii="Arial" w:hAnsi="Arial" w:eastAsia="Noto Sans CJK SC"/>
          <w:b/>
          <w:color w:val="000000"/>
          <w:sz w:val="26"/>
        </w:rPr>
        <w:t>2.6 数据划分和复现实验风险</w:t>
      </w:r>
    </w:p>
    <w:p>
      <w:pPr>
        <w:spacing w:before="0" w:after="80" w:line="259" w:lineRule="auto"/>
        <w:ind w:firstLine="420"/>
      </w:pPr>
      <w:r>
        <w:rPr>
          <w:rFonts w:ascii="Arial" w:hAnsi="Arial" w:eastAsia="Noto Sans CJK SC"/>
          <w:b w:val="0"/>
          <w:sz w:val="21"/>
        </w:rPr>
        <w:t>当前 manifest/split 机制已经提供基础划分能力，但医学图像研究需要特别避免 patient-level leakage、slice-level leakage、同一仿真源参数泄漏、同一 HR 样本生成多个 LR 后跨 split 泄漏。data_len 采用 records[:data_len] 的方式也可能引入排序偏差，尤其当 manifest 按病人、代谢物或切片顺序排列时。</w:t>
      </w:r>
    </w:p>
    <w:p>
      <w:pPr>
        <w:spacing w:before="0" w:after="80" w:line="259" w:lineRule="auto"/>
        <w:ind w:firstLine="420"/>
      </w:pPr>
      <w:r>
        <w:rPr>
          <w:rFonts w:ascii="Arial" w:hAnsi="Arial" w:eastAsia="Noto Sans CJK SC"/>
          <w:b w:val="0"/>
          <w:sz w:val="21"/>
        </w:rPr>
        <w:t>建议后续在实验报告中固定 patient_id/simulation_seed 层面的 split，并保存 split hash、manifest hash、配置文件、代码 commit、随机种子和环境信息。否则不同实验之间的指标差异可能来自数据划分而非模型设计。</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top"/>
            <w:shd w:fill="1F4E79"/>
          </w:tcPr>
          <w:p>
            <w:pPr>
              <w:spacing w:before="0" w:after="0" w:line="240" w:lineRule="auto"/>
            </w:pPr>
            <w:r/>
            <w:r>
              <w:rPr>
                <w:rFonts w:ascii="Arial" w:hAnsi="Arial" w:eastAsia="Noto Sans CJK SC"/>
                <w:b/>
                <w:color w:val="FFFFFF"/>
                <w:sz w:val="17"/>
              </w:rPr>
              <w:t>问题类型</w:t>
            </w:r>
          </w:p>
        </w:tc>
        <w:tc>
          <w:tcPr>
            <w:tcW w:type="dxa" w:w="2550"/>
            <w:vAlign w:val="top"/>
            <w:shd w:fill="1F4E79"/>
          </w:tcPr>
          <w:p>
            <w:pPr>
              <w:spacing w:before="0" w:after="0" w:line="240" w:lineRule="auto"/>
            </w:pPr>
            <w:r/>
            <w:r>
              <w:rPr>
                <w:rFonts w:ascii="Arial" w:hAnsi="Arial" w:eastAsia="Noto Sans CJK SC"/>
                <w:b/>
                <w:color w:val="FFFFFF"/>
                <w:sz w:val="17"/>
              </w:rPr>
              <w:t>具体诊断</w:t>
            </w:r>
          </w:p>
        </w:tc>
        <w:tc>
          <w:tcPr>
            <w:tcW w:type="dxa" w:w="2550"/>
            <w:vAlign w:val="top"/>
            <w:shd w:fill="1F4E79"/>
          </w:tcPr>
          <w:p>
            <w:pPr>
              <w:spacing w:before="0" w:after="0" w:line="240" w:lineRule="auto"/>
            </w:pPr>
            <w:r/>
            <w:r>
              <w:rPr>
                <w:rFonts w:ascii="Arial" w:hAnsi="Arial" w:eastAsia="Noto Sans CJK SC"/>
                <w:b/>
                <w:color w:val="FFFFFF"/>
                <w:sz w:val="17"/>
              </w:rPr>
              <w:t>影响</w:t>
            </w:r>
          </w:p>
        </w:tc>
        <w:tc>
          <w:tcPr>
            <w:tcW w:type="dxa" w:w="2550"/>
            <w:vAlign w:val="top"/>
            <w:shd w:fill="1F4E79"/>
          </w:tcPr>
          <w:p>
            <w:pPr>
              <w:spacing w:before="0" w:after="0" w:line="240" w:lineRule="auto"/>
            </w:pPr>
            <w:r/>
            <w:r>
              <w:rPr>
                <w:rFonts w:ascii="Arial" w:hAnsi="Arial" w:eastAsia="Noto Sans CJK SC"/>
                <w:b/>
                <w:color w:val="FFFFFF"/>
                <w:sz w:val="17"/>
              </w:rPr>
              <w:t>优先级</w:t>
            </w:r>
          </w:p>
        </w:tc>
      </w:tr>
      <w:tr>
        <w:tc>
          <w:tcPr>
            <w:tcW w:type="dxa" w:w="2550"/>
            <w:vAlign w:val="top"/>
          </w:tcPr>
          <w:p>
            <w:pPr>
              <w:spacing w:before="0" w:after="0" w:line="240" w:lineRule="auto"/>
            </w:pPr>
            <w:r/>
            <w:r>
              <w:rPr>
                <w:rFonts w:ascii="Arial" w:hAnsi="Arial" w:eastAsia="Noto Sans CJK SC"/>
                <w:b w:val="0"/>
                <w:sz w:val="17"/>
              </w:rPr>
              <w:t>条件机制</w:t>
            </w:r>
          </w:p>
        </w:tc>
        <w:tc>
          <w:tcPr>
            <w:tcW w:type="dxa" w:w="2550"/>
            <w:vAlign w:val="top"/>
          </w:tcPr>
          <w:p>
            <w:pPr>
              <w:spacing w:before="0" w:after="0" w:line="240" w:lineRule="auto"/>
            </w:pPr>
            <w:r/>
            <w:r>
              <w:rPr>
                <w:rFonts w:ascii="Arial" w:hAnsi="Arial" w:eastAsia="Noto Sans CJK SC"/>
                <w:b w:val="0"/>
                <w:sz w:val="17"/>
              </w:rPr>
              <w:t>多条件主要 concat，T1 才有 cross-attention，LR/FLAIR/代谢物条件缺少专门建模</w:t>
            </w:r>
          </w:p>
        </w:tc>
        <w:tc>
          <w:tcPr>
            <w:tcW w:type="dxa" w:w="2550"/>
            <w:vAlign w:val="top"/>
          </w:tcPr>
          <w:p>
            <w:pPr>
              <w:spacing w:before="0" w:after="0" w:line="240" w:lineRule="auto"/>
            </w:pPr>
            <w:r/>
            <w:r>
              <w:rPr>
                <w:rFonts w:ascii="Arial" w:hAnsi="Arial" w:eastAsia="Noto Sans CJK SC"/>
                <w:b w:val="0"/>
                <w:sz w:val="17"/>
              </w:rPr>
              <w:t>条件语义弱，结构引导和类别引导难以解释</w:t>
            </w:r>
          </w:p>
        </w:tc>
        <w:tc>
          <w:tcPr>
            <w:tcW w:type="dxa" w:w="2550"/>
            <w:vAlign w:val="top"/>
          </w:tcPr>
          <w:p>
            <w:pPr>
              <w:spacing w:before="0" w:after="0" w:line="240" w:lineRule="auto"/>
            </w:pPr>
            <w:r/>
            <w:r>
              <w:rPr>
                <w:rFonts w:ascii="Arial" w:hAnsi="Arial" w:eastAsia="Noto Sans CJK SC"/>
                <w:b w:val="0"/>
                <w:sz w:val="17"/>
              </w:rPr>
              <w:t>高</w:t>
            </w:r>
          </w:p>
        </w:tc>
      </w:tr>
      <w:tr>
        <w:tc>
          <w:tcPr>
            <w:tcW w:type="dxa" w:w="2550"/>
            <w:vAlign w:val="top"/>
          </w:tcPr>
          <w:p>
            <w:pPr>
              <w:spacing w:before="0" w:after="0" w:line="240" w:lineRule="auto"/>
            </w:pPr>
            <w:r/>
            <w:r>
              <w:rPr>
                <w:rFonts w:ascii="Arial" w:hAnsi="Arial" w:eastAsia="Noto Sans CJK SC"/>
                <w:b w:val="0"/>
                <w:sz w:val="17"/>
              </w:rPr>
              <w:t>配置一致性</w:t>
            </w:r>
          </w:p>
        </w:tc>
        <w:tc>
          <w:tcPr>
            <w:tcW w:type="dxa" w:w="2550"/>
            <w:vAlign w:val="top"/>
          </w:tcPr>
          <w:p>
            <w:pPr>
              <w:spacing w:before="0" w:after="0" w:line="240" w:lineRule="auto"/>
            </w:pPr>
            <w:r/>
            <w:r>
              <w:rPr>
                <w:rFonts w:ascii="Arial" w:hAnsi="Arial" w:eastAsia="Noto Sans CJK SC"/>
                <w:b w:val="0"/>
                <w:sz w:val="17"/>
              </w:rPr>
              <w:t>数据集固定拼接与网络按配置推断通道并存</w:t>
            </w:r>
          </w:p>
        </w:tc>
        <w:tc>
          <w:tcPr>
            <w:tcW w:type="dxa" w:w="2550"/>
            <w:vAlign w:val="top"/>
          </w:tcPr>
          <w:p>
            <w:pPr>
              <w:spacing w:before="0" w:after="0" w:line="240" w:lineRule="auto"/>
            </w:pPr>
            <w:r/>
            <w:r>
              <w:rPr>
                <w:rFonts w:ascii="Arial" w:hAnsi="Arial" w:eastAsia="Noto Sans CJK SC"/>
                <w:b w:val="0"/>
                <w:sz w:val="17"/>
              </w:rPr>
              <w:t>消融实验可能失真，T1 channel index 易错位</w:t>
            </w:r>
          </w:p>
        </w:tc>
        <w:tc>
          <w:tcPr>
            <w:tcW w:type="dxa" w:w="2550"/>
            <w:vAlign w:val="top"/>
          </w:tcPr>
          <w:p>
            <w:pPr>
              <w:spacing w:before="0" w:after="0" w:line="240" w:lineRule="auto"/>
            </w:pPr>
            <w:r/>
            <w:r>
              <w:rPr>
                <w:rFonts w:ascii="Arial" w:hAnsi="Arial" w:eastAsia="Noto Sans CJK SC"/>
                <w:b w:val="0"/>
                <w:sz w:val="17"/>
              </w:rPr>
              <w:t>高</w:t>
            </w:r>
          </w:p>
        </w:tc>
      </w:tr>
      <w:tr>
        <w:tc>
          <w:tcPr>
            <w:tcW w:type="dxa" w:w="2550"/>
            <w:vAlign w:val="top"/>
          </w:tcPr>
          <w:p>
            <w:pPr>
              <w:spacing w:before="0" w:after="0" w:line="240" w:lineRule="auto"/>
            </w:pPr>
            <w:r/>
            <w:r>
              <w:rPr>
                <w:rFonts w:ascii="Arial" w:hAnsi="Arial" w:eastAsia="Noto Sans CJK SC"/>
                <w:b w:val="0"/>
                <w:sz w:val="17"/>
              </w:rPr>
              <w:t>医学 loss</w:t>
            </w:r>
          </w:p>
        </w:tc>
        <w:tc>
          <w:tcPr>
            <w:tcW w:type="dxa" w:w="2550"/>
            <w:vAlign w:val="top"/>
          </w:tcPr>
          <w:p>
            <w:pPr>
              <w:spacing w:before="0" w:after="0" w:line="240" w:lineRule="auto"/>
            </w:pPr>
            <w:r/>
            <w:r>
              <w:rPr>
                <w:rFonts w:ascii="Arial" w:hAnsi="Arial" w:eastAsia="Noto Sans CJK SC"/>
                <w:b w:val="0"/>
                <w:sz w:val="17"/>
              </w:rPr>
              <w:t>训练目标以噪声预测为主，缺少 x0/ROI/ratio/data-consistency loss</w:t>
            </w:r>
          </w:p>
        </w:tc>
        <w:tc>
          <w:tcPr>
            <w:tcW w:type="dxa" w:w="2550"/>
            <w:vAlign w:val="top"/>
          </w:tcPr>
          <w:p>
            <w:pPr>
              <w:spacing w:before="0" w:after="0" w:line="240" w:lineRule="auto"/>
            </w:pPr>
            <w:r/>
            <w:r>
              <w:rPr>
                <w:rFonts w:ascii="Arial" w:hAnsi="Arial" w:eastAsia="Noto Sans CJK SC"/>
                <w:b w:val="0"/>
                <w:sz w:val="17"/>
              </w:rPr>
              <w:t>视觉指标好但定量偏差</w:t>
            </w:r>
          </w:p>
        </w:tc>
        <w:tc>
          <w:tcPr>
            <w:tcW w:type="dxa" w:w="2550"/>
            <w:vAlign w:val="top"/>
          </w:tcPr>
          <w:p>
            <w:pPr>
              <w:spacing w:before="0" w:after="0" w:line="240" w:lineRule="auto"/>
            </w:pPr>
            <w:r/>
            <w:r>
              <w:rPr>
                <w:rFonts w:ascii="Arial" w:hAnsi="Arial" w:eastAsia="Noto Sans CJK SC"/>
                <w:b w:val="0"/>
                <w:sz w:val="17"/>
              </w:rPr>
              <w:t>高</w:t>
            </w:r>
          </w:p>
        </w:tc>
      </w:tr>
      <w:tr>
        <w:tc>
          <w:tcPr>
            <w:tcW w:type="dxa" w:w="2550"/>
            <w:vAlign w:val="top"/>
          </w:tcPr>
          <w:p>
            <w:pPr>
              <w:spacing w:before="0" w:after="0" w:line="240" w:lineRule="auto"/>
            </w:pPr>
            <w:r/>
            <w:r>
              <w:rPr>
                <w:rFonts w:ascii="Arial" w:hAnsi="Arial" w:eastAsia="Noto Sans CJK SC"/>
                <w:b w:val="0"/>
                <w:sz w:val="17"/>
              </w:rPr>
              <w:t>退化建模</w:t>
            </w:r>
          </w:p>
        </w:tc>
        <w:tc>
          <w:tcPr>
            <w:tcW w:type="dxa" w:w="2550"/>
            <w:vAlign w:val="top"/>
          </w:tcPr>
          <w:p>
            <w:pPr>
              <w:spacing w:before="0" w:after="0" w:line="240" w:lineRule="auto"/>
            </w:pPr>
            <w:r/>
            <w:r>
              <w:rPr>
                <w:rFonts w:ascii="Arial" w:hAnsi="Arial" w:eastAsia="Noto Sans CJK SC"/>
                <w:b w:val="0"/>
                <w:sz w:val="17"/>
              </w:rPr>
              <w:t>LR 退化若过于接近自然图像 SR，会偏离 DMI 采集物理</w:t>
            </w:r>
          </w:p>
        </w:tc>
        <w:tc>
          <w:tcPr>
            <w:tcW w:type="dxa" w:w="2550"/>
            <w:vAlign w:val="top"/>
          </w:tcPr>
          <w:p>
            <w:pPr>
              <w:spacing w:before="0" w:after="0" w:line="240" w:lineRule="auto"/>
            </w:pPr>
            <w:r/>
            <w:r>
              <w:rPr>
                <w:rFonts w:ascii="Arial" w:hAnsi="Arial" w:eastAsia="Noto Sans CJK SC"/>
                <w:b w:val="0"/>
                <w:sz w:val="17"/>
              </w:rPr>
              <w:t>仿真到真实泛化差</w:t>
            </w:r>
          </w:p>
        </w:tc>
        <w:tc>
          <w:tcPr>
            <w:tcW w:type="dxa" w:w="2550"/>
            <w:vAlign w:val="top"/>
          </w:tcPr>
          <w:p>
            <w:pPr>
              <w:spacing w:before="0" w:after="0" w:line="240" w:lineRule="auto"/>
            </w:pPr>
            <w:r/>
            <w:r>
              <w:rPr>
                <w:rFonts w:ascii="Arial" w:hAnsi="Arial" w:eastAsia="Noto Sans CJK SC"/>
                <w:b w:val="0"/>
                <w:sz w:val="17"/>
              </w:rPr>
              <w:t>高</w:t>
            </w:r>
          </w:p>
        </w:tc>
      </w:tr>
      <w:tr>
        <w:tc>
          <w:tcPr>
            <w:tcW w:type="dxa" w:w="2550"/>
            <w:vAlign w:val="top"/>
          </w:tcPr>
          <w:p>
            <w:pPr>
              <w:spacing w:before="0" w:after="0" w:line="240" w:lineRule="auto"/>
            </w:pPr>
            <w:r/>
            <w:r>
              <w:rPr>
                <w:rFonts w:ascii="Arial" w:hAnsi="Arial" w:eastAsia="Noto Sans CJK SC"/>
                <w:b w:val="0"/>
                <w:sz w:val="17"/>
              </w:rPr>
              <w:t>指标体系</w:t>
            </w:r>
          </w:p>
        </w:tc>
        <w:tc>
          <w:tcPr>
            <w:tcW w:type="dxa" w:w="2550"/>
            <w:vAlign w:val="top"/>
          </w:tcPr>
          <w:p>
            <w:pPr>
              <w:spacing w:before="0" w:after="0" w:line="240" w:lineRule="auto"/>
            </w:pPr>
            <w:r/>
            <w:r>
              <w:rPr>
                <w:rFonts w:ascii="Arial" w:hAnsi="Arial" w:eastAsia="Noto Sans CJK SC"/>
                <w:b w:val="0"/>
                <w:sz w:val="17"/>
              </w:rPr>
              <w:t>缺少代谢定量与不确定性指标</w:t>
            </w:r>
          </w:p>
        </w:tc>
        <w:tc>
          <w:tcPr>
            <w:tcW w:type="dxa" w:w="2550"/>
            <w:vAlign w:val="top"/>
          </w:tcPr>
          <w:p>
            <w:pPr>
              <w:spacing w:before="0" w:after="0" w:line="240" w:lineRule="auto"/>
            </w:pPr>
            <w:r/>
            <w:r>
              <w:rPr>
                <w:rFonts w:ascii="Arial" w:hAnsi="Arial" w:eastAsia="Noto Sans CJK SC"/>
                <w:b w:val="0"/>
                <w:sz w:val="17"/>
              </w:rPr>
              <w:t>论文医学可信度不足</w:t>
            </w:r>
          </w:p>
        </w:tc>
        <w:tc>
          <w:tcPr>
            <w:tcW w:type="dxa" w:w="2550"/>
            <w:vAlign w:val="top"/>
          </w:tcPr>
          <w:p>
            <w:pPr>
              <w:spacing w:before="0" w:after="0" w:line="240" w:lineRule="auto"/>
            </w:pPr>
            <w:r/>
            <w:r>
              <w:rPr>
                <w:rFonts w:ascii="Arial" w:hAnsi="Arial" w:eastAsia="Noto Sans CJK SC"/>
                <w:b w:val="0"/>
                <w:sz w:val="17"/>
              </w:rPr>
              <w:t>高</w:t>
            </w:r>
          </w:p>
        </w:tc>
      </w:tr>
      <w:tr>
        <w:tc>
          <w:tcPr>
            <w:tcW w:type="dxa" w:w="2550"/>
            <w:vAlign w:val="top"/>
          </w:tcPr>
          <w:p>
            <w:pPr>
              <w:spacing w:before="0" w:after="0" w:line="240" w:lineRule="auto"/>
            </w:pPr>
            <w:r/>
            <w:r>
              <w:rPr>
                <w:rFonts w:ascii="Arial" w:hAnsi="Arial" w:eastAsia="Noto Sans CJK SC"/>
                <w:b w:val="0"/>
                <w:sz w:val="17"/>
              </w:rPr>
              <w:t>复现流程</w:t>
            </w:r>
          </w:p>
        </w:tc>
        <w:tc>
          <w:tcPr>
            <w:tcW w:type="dxa" w:w="2550"/>
            <w:vAlign w:val="top"/>
          </w:tcPr>
          <w:p>
            <w:pPr>
              <w:spacing w:before="0" w:after="0" w:line="240" w:lineRule="auto"/>
            </w:pPr>
            <w:r/>
            <w:r>
              <w:rPr>
                <w:rFonts w:ascii="Arial" w:hAnsi="Arial" w:eastAsia="Noto Sans CJK SC"/>
                <w:b w:val="0"/>
                <w:sz w:val="17"/>
              </w:rPr>
              <w:t>split hash、manifest hash、配置归档、patient-level 防泄漏需显式化</w:t>
            </w:r>
          </w:p>
        </w:tc>
        <w:tc>
          <w:tcPr>
            <w:tcW w:type="dxa" w:w="2550"/>
            <w:vAlign w:val="top"/>
          </w:tcPr>
          <w:p>
            <w:pPr>
              <w:spacing w:before="0" w:after="0" w:line="240" w:lineRule="auto"/>
            </w:pPr>
            <w:r/>
            <w:r>
              <w:rPr>
                <w:rFonts w:ascii="Arial" w:hAnsi="Arial" w:eastAsia="Noto Sans CJK SC"/>
                <w:b w:val="0"/>
                <w:sz w:val="17"/>
              </w:rPr>
              <w:t>实验不可复查或存在泄漏质疑</w:t>
            </w:r>
          </w:p>
        </w:tc>
        <w:tc>
          <w:tcPr>
            <w:tcW w:type="dxa" w:w="2550"/>
            <w:vAlign w:val="top"/>
          </w:tcPr>
          <w:p>
            <w:pPr>
              <w:spacing w:before="0" w:after="0" w:line="240" w:lineRule="auto"/>
            </w:pPr>
            <w:r/>
            <w:r>
              <w:rPr>
                <w:rFonts w:ascii="Arial" w:hAnsi="Arial" w:eastAsia="Noto Sans CJK SC"/>
                <w:b w:val="0"/>
                <w:sz w:val="17"/>
              </w:rPr>
              <w:t>中高</w:t>
            </w:r>
          </w:p>
        </w:tc>
      </w:tr>
      <w:tr>
        <w:tc>
          <w:tcPr>
            <w:tcW w:type="dxa" w:w="2550"/>
            <w:vAlign w:val="top"/>
          </w:tcPr>
          <w:p>
            <w:pPr>
              <w:spacing w:before="0" w:after="0" w:line="240" w:lineRule="auto"/>
            </w:pPr>
            <w:r/>
            <w:r>
              <w:rPr>
                <w:rFonts w:ascii="Arial" w:hAnsi="Arial" w:eastAsia="Noto Sans CJK SC"/>
                <w:b w:val="0"/>
                <w:sz w:val="17"/>
              </w:rPr>
              <w:t>结构过迁移</w:t>
            </w:r>
          </w:p>
        </w:tc>
        <w:tc>
          <w:tcPr>
            <w:tcW w:type="dxa" w:w="2550"/>
            <w:vAlign w:val="top"/>
          </w:tcPr>
          <w:p>
            <w:pPr>
              <w:spacing w:before="0" w:after="0" w:line="240" w:lineRule="auto"/>
            </w:pPr>
            <w:r/>
            <w:r>
              <w:rPr>
                <w:rFonts w:ascii="Arial" w:hAnsi="Arial" w:eastAsia="Noto Sans CJK SC"/>
                <w:b w:val="0"/>
                <w:sz w:val="17"/>
              </w:rPr>
              <w:t>T1 结构注入无显式 anti-texture leakage 约束</w:t>
            </w:r>
          </w:p>
        </w:tc>
        <w:tc>
          <w:tcPr>
            <w:tcW w:type="dxa" w:w="2550"/>
            <w:vAlign w:val="top"/>
          </w:tcPr>
          <w:p>
            <w:pPr>
              <w:spacing w:before="0" w:after="0" w:line="240" w:lineRule="auto"/>
            </w:pPr>
            <w:r/>
            <w:r>
              <w:rPr>
                <w:rFonts w:ascii="Arial" w:hAnsi="Arial" w:eastAsia="Noto Sans CJK SC"/>
                <w:b w:val="0"/>
                <w:sz w:val="17"/>
              </w:rPr>
              <w:t>生成不存在的代谢边界/热点</w:t>
            </w:r>
          </w:p>
        </w:tc>
        <w:tc>
          <w:tcPr>
            <w:tcW w:type="dxa" w:w="2550"/>
            <w:vAlign w:val="top"/>
          </w:tcPr>
          <w:p>
            <w:pPr>
              <w:spacing w:before="0" w:after="0" w:line="240" w:lineRule="auto"/>
            </w:pPr>
            <w:r/>
            <w:r>
              <w:rPr>
                <w:rFonts w:ascii="Arial" w:hAnsi="Arial" w:eastAsia="Noto Sans CJK SC"/>
                <w:b w:val="0"/>
                <w:sz w:val="17"/>
              </w:rPr>
              <w:t>中高</w:t>
            </w:r>
          </w:p>
        </w:tc>
      </w:tr>
      <w:tr>
        <w:tc>
          <w:tcPr>
            <w:tcW w:type="dxa" w:w="2550"/>
            <w:vAlign w:val="top"/>
          </w:tcPr>
          <w:p>
            <w:pPr>
              <w:spacing w:before="0" w:after="0" w:line="240" w:lineRule="auto"/>
            </w:pPr>
            <w:r/>
            <w:r>
              <w:rPr>
                <w:rFonts w:ascii="Arial" w:hAnsi="Arial" w:eastAsia="Noto Sans CJK SC"/>
                <w:b w:val="0"/>
                <w:sz w:val="17"/>
              </w:rPr>
              <w:t>采样效率</w:t>
            </w:r>
          </w:p>
        </w:tc>
        <w:tc>
          <w:tcPr>
            <w:tcW w:type="dxa" w:w="2550"/>
            <w:vAlign w:val="top"/>
          </w:tcPr>
          <w:p>
            <w:pPr>
              <w:spacing w:before="0" w:after="0" w:line="240" w:lineRule="auto"/>
            </w:pPr>
            <w:r/>
            <w:r>
              <w:rPr>
                <w:rFonts w:ascii="Arial" w:hAnsi="Arial" w:eastAsia="Noto Sans CJK SC"/>
                <w:b w:val="0"/>
                <w:sz w:val="17"/>
              </w:rPr>
              <w:t>DDPM 全采样较慢，DDIM 可用但未形成医学可靠性策略</w:t>
            </w:r>
          </w:p>
        </w:tc>
        <w:tc>
          <w:tcPr>
            <w:tcW w:type="dxa" w:w="2550"/>
            <w:vAlign w:val="top"/>
          </w:tcPr>
          <w:p>
            <w:pPr>
              <w:spacing w:before="0" w:after="0" w:line="240" w:lineRule="auto"/>
            </w:pPr>
            <w:r/>
            <w:r>
              <w:rPr>
                <w:rFonts w:ascii="Arial" w:hAnsi="Arial" w:eastAsia="Noto Sans CJK SC"/>
                <w:b w:val="0"/>
                <w:sz w:val="17"/>
              </w:rPr>
              <w:t>推理成本和多样本不确定性评估受限</w:t>
            </w:r>
          </w:p>
        </w:tc>
        <w:tc>
          <w:tcPr>
            <w:tcW w:type="dxa" w:w="2550"/>
            <w:vAlign w:val="top"/>
          </w:tcPr>
          <w:p>
            <w:pPr>
              <w:spacing w:before="0" w:after="0" w:line="240" w:lineRule="auto"/>
            </w:pPr>
            <w:r/>
            <w:r>
              <w:rPr>
                <w:rFonts w:ascii="Arial" w:hAnsi="Arial" w:eastAsia="Noto Sans CJK SC"/>
                <w:b w:val="0"/>
                <w:sz w:val="17"/>
              </w:rPr>
              <w:t>中</w:t>
            </w:r>
          </w:p>
        </w:tc>
      </w:tr>
    </w:tbl>
    <w:p/>
    <w:p>
      <w:pPr>
        <w:pStyle w:val="Heading1"/>
        <w:spacing w:before="160" w:after="120" w:line="259" w:lineRule="auto"/>
      </w:pPr>
      <w:r/>
      <w:r>
        <w:rPr>
          <w:rFonts w:ascii="Arial" w:hAnsi="Arial" w:eastAsia="Noto Sans CJK SC"/>
          <w:b/>
          <w:color w:val="1F4E79"/>
          <w:sz w:val="32"/>
        </w:rPr>
        <w:t>三、近两年相关前沿研究总结</w:t>
      </w:r>
    </w:p>
    <w:p>
      <w:pPr>
        <w:spacing w:before="0" w:after="80" w:line="259" w:lineRule="auto"/>
        <w:ind w:firstLine="420"/>
      </w:pPr>
      <w:r>
        <w:rPr>
          <w:rFonts w:ascii="Arial" w:hAnsi="Arial" w:eastAsia="Noto Sans CJK SC"/>
          <w:b w:val="0"/>
          <w:sz w:val="21"/>
        </w:rPr>
        <w:t>本节优先选取 2024-2026 年间的 diffusion-based SR、medical image SR/MRI reconstruction、structure-guided SR、efficient diffusion、uncertainty-aware reconstruction 与 DMI/MRSI 相关研究。少量 2023 年工作因与 DMI 物理约束高度相关，被作为相邻参考纳入，并明确标注。</w:t>
      </w:r>
    </w:p>
    <w:p>
      <w:pPr>
        <w:pStyle w:val="Heading2"/>
        <w:spacing w:before="120" w:after="120" w:line="259" w:lineRule="auto"/>
      </w:pPr>
      <w:r/>
      <w:r>
        <w:rPr>
          <w:rFonts w:ascii="Arial" w:hAnsi="Arial" w:eastAsia="Noto Sans CJK SC"/>
          <w:b/>
          <w:color w:val="000000"/>
          <w:sz w:val="26"/>
        </w:rPr>
        <w:t>3.1 diffusion-based image super-resolution</w:t>
      </w:r>
    </w:p>
    <w:p>
      <w:pPr>
        <w:spacing w:before="0" w:after="80" w:line="259" w:lineRule="auto"/>
        <w:ind w:firstLine="420"/>
      </w:pPr>
      <w:r>
        <w:rPr>
          <w:rFonts w:ascii="Arial" w:hAnsi="Arial" w:eastAsia="Noto Sans CJK SC"/>
          <w:b w:val="0"/>
          <w:sz w:val="21"/>
        </w:rPr>
        <w:t>近两年的自然图像 SR 方向明显从“完整多步扩散采样”转向“高效扩散先验”和“少步/一步生成”。SinSR 在 CVPR 2024 中提出将 diffusion-based SR 蒸馏到单步，目标是保留扩散先验同时显著降低采样成本。[R11] 2025 年的 TSD-SR 进一步探索 one-step diffusion 与 target score distillation，用于真实图像 SR 的质量与效率折中。[R12] CVPR 2025 的 arbitrary-steps diffusion inversion 方向则强调可在任意步数下利用扩散先验，减少固定步数采样带来的质量/效率冲突。[R13]</w:t>
      </w:r>
    </w:p>
    <w:p>
      <w:pPr>
        <w:spacing w:before="0" w:after="80" w:line="259" w:lineRule="auto"/>
        <w:ind w:firstLine="420"/>
      </w:pPr>
      <w:r>
        <w:rPr>
          <w:rFonts w:ascii="Arial" w:hAnsi="Arial" w:eastAsia="Noto Sans CJK SC"/>
          <w:b w:val="0"/>
          <w:sz w:val="21"/>
        </w:rPr>
        <w:t>对本课题的启示不是直接追求“最真实视觉效果”，而是：可以把扩散模型从单纯生成器转为“可控先验”；在训练稳定后，用 DDIM、partial diffusion 或蒸馏降低推理成本；同时保持 LR-DMI 数据一致性和不确定性输出。</w:t>
      </w:r>
    </w:p>
    <w:p>
      <w:pPr>
        <w:pStyle w:val="Heading2"/>
        <w:spacing w:before="120" w:after="120" w:line="259" w:lineRule="auto"/>
      </w:pPr>
      <w:r/>
      <w:r>
        <w:rPr>
          <w:rFonts w:ascii="Arial" w:hAnsi="Arial" w:eastAsia="Noto Sans CJK SC"/>
          <w:b/>
          <w:color w:val="000000"/>
          <w:sz w:val="26"/>
        </w:rPr>
        <w:t>3.2 medical image super-resolution and MRI reconstruction</w:t>
      </w:r>
    </w:p>
    <w:p>
      <w:pPr>
        <w:spacing w:before="0" w:after="80" w:line="259" w:lineRule="auto"/>
        <w:ind w:firstLine="420"/>
      </w:pPr>
      <w:r>
        <w:rPr>
          <w:rFonts w:ascii="Arial" w:hAnsi="Arial" w:eastAsia="Noto Sans CJK SC"/>
          <w:b w:val="0"/>
          <w:sz w:val="21"/>
        </w:rPr>
        <w:t>医学图像 SR 研究正在引入更高效、更受约束的 diffusion 架构。Res-SRDiff 将 residual shifting 引入 MRI SR diffusion，强调以更少采样步数获得高质量重建，同时保持解剖细节。[R14] Partial Diffusion Models for MRI SR 关注扩散采样成本过高的问题，用部分扩散过程加速 MRI 超分。[R15] IM-Diff 则从多对比 MRI 出发，用 implicit multi-contrast diffusion 支持任意尺度 SR，体现了“多模态结构信息 + 扩散先验”的趋势。[R16]</w:t>
      </w:r>
    </w:p>
    <w:p>
      <w:pPr>
        <w:spacing w:before="0" w:after="80" w:line="259" w:lineRule="auto"/>
        <w:ind w:firstLine="420"/>
      </w:pPr>
      <w:r>
        <w:rPr>
          <w:rFonts w:ascii="Arial" w:hAnsi="Arial" w:eastAsia="Noto Sans CJK SC"/>
          <w:b w:val="0"/>
          <w:sz w:val="21"/>
        </w:rPr>
        <w:t>这些工作与 DMI 的直接差异在于：MRI SR 的目标仍是解剖图像，而 DMI/MRSI 是代谢图。结构模态在 DMI 中只能作为边界和组织先验，不能成为纹理复制来源。因此，MRI SR 的方法可迁移的是“多模态条件、残差/部分扩散、结构辅助重建框架”，不可迁移的是“把解剖细节直接当作目标细节”。</w:t>
      </w:r>
    </w:p>
    <w:p>
      <w:pPr>
        <w:pStyle w:val="Heading2"/>
        <w:spacing w:before="120" w:after="120" w:line="259" w:lineRule="auto"/>
      </w:pPr>
      <w:r/>
      <w:r>
        <w:rPr>
          <w:rFonts w:ascii="Arial" w:hAnsi="Arial" w:eastAsia="Noto Sans CJK SC"/>
          <w:b/>
          <w:color w:val="000000"/>
          <w:sz w:val="26"/>
        </w:rPr>
        <w:t>3.3 structure-guided / anatomy-guided reconstruction</w:t>
      </w:r>
    </w:p>
    <w:p>
      <w:pPr>
        <w:spacing w:before="0" w:after="80" w:line="259" w:lineRule="auto"/>
        <w:ind w:firstLine="420"/>
      </w:pPr>
      <w:r>
        <w:rPr>
          <w:rFonts w:ascii="Arial" w:hAnsi="Arial" w:eastAsia="Noto Sans CJK SC"/>
          <w:b w:val="0"/>
          <w:sz w:val="21"/>
        </w:rPr>
        <w:t>structure-guided 的关键思想是借助高分辨率解剖图像提供空间边界、组织区域和局部结构支持。CSR-dMRI 使用 anatomical structure-assisted implicit neural representation 对 diffusion MRI 做连续超分，说明解剖结构在低分辨率医学信号重建中确实可以提供有价值的先验。[R17] 但这类方法的风险也很明确：如果结构先验过强，模型会把 MRI 边缘误认为 DMI 代谢边缘。</w:t>
      </w:r>
    </w:p>
    <w:p>
      <w:pPr>
        <w:spacing w:before="0" w:after="80" w:line="259" w:lineRule="auto"/>
        <w:ind w:firstLine="420"/>
      </w:pPr>
      <w:r>
        <w:rPr>
          <w:rFonts w:ascii="Arial" w:hAnsi="Arial" w:eastAsia="Noto Sans CJK SC"/>
          <w:b w:val="0"/>
          <w:sz w:val="21"/>
        </w:rPr>
        <w:t>对本课题更合理的定位是“structure-guided but metabolism-constrained”：结构图像只帮助定位可能的空间边界和组织支持，最终代谢强度、热点与代谢比值必须由 LR-DMI 观测、HR 训练标签和定量 loss 共同约束。</w:t>
      </w:r>
    </w:p>
    <w:p>
      <w:pPr>
        <w:pStyle w:val="Heading2"/>
        <w:spacing w:before="120" w:after="120" w:line="259" w:lineRule="auto"/>
      </w:pPr>
      <w:r/>
      <w:r>
        <w:rPr>
          <w:rFonts w:ascii="Arial" w:hAnsi="Arial" w:eastAsia="Noto Sans CJK SC"/>
          <w:b/>
          <w:color w:val="000000"/>
          <w:sz w:val="26"/>
        </w:rPr>
        <w:t>3.4 efficient diffusion / one-step diffusion / distillation</w:t>
      </w:r>
    </w:p>
    <w:p>
      <w:pPr>
        <w:spacing w:before="0" w:after="80" w:line="259" w:lineRule="auto"/>
        <w:ind w:firstLine="420"/>
      </w:pPr>
      <w:r>
        <w:rPr>
          <w:rFonts w:ascii="Arial" w:hAnsi="Arial" w:eastAsia="Noto Sans CJK SC"/>
          <w:b w:val="0"/>
          <w:sz w:val="21"/>
        </w:rPr>
        <w:t>高效扩散是近两年的主趋势，但医学场景不能简单追求一步采样。一步模型可能牺牲分布不确定性，也可能更难发现低置信区域。对 DMI SR 更适合的策略是：先保持 20-50 步 DDIM 的可控采样，建立定量指标和不确定性评估；再考虑 residual-shift、partial diffusion 或 consistency/distillation 作为加速版本和消融实验。</w:t>
      </w:r>
    </w:p>
    <w:p>
      <w:pPr>
        <w:pStyle w:val="Heading2"/>
        <w:spacing w:before="120" w:after="120" w:line="259" w:lineRule="auto"/>
      </w:pPr>
      <w:r/>
      <w:r>
        <w:rPr>
          <w:rFonts w:ascii="Arial" w:hAnsi="Arial" w:eastAsia="Noto Sans CJK SC"/>
          <w:b/>
          <w:color w:val="000000"/>
          <w:sz w:val="26"/>
        </w:rPr>
        <w:t>3.5 uncertainty-aware and physics/degradation-aware medical reconstruction</w:t>
      </w:r>
    </w:p>
    <w:p>
      <w:pPr>
        <w:spacing w:before="0" w:after="80" w:line="259" w:lineRule="auto"/>
        <w:ind w:firstLine="420"/>
      </w:pPr>
      <w:r>
        <w:rPr>
          <w:rFonts w:ascii="Arial" w:hAnsi="Arial" w:eastAsia="Noto Sans CJK SC"/>
          <w:b w:val="0"/>
          <w:sz w:val="21"/>
        </w:rPr>
        <w:t>医学重建中的 uncertainty-aware 研究强调模型不应只输出一个看似清晰的图像，而应告诉研究者哪些区域可信、哪些区域可能来自模型先验。Diffusion models for medical image reconstruction 的综述指出，扩散模型可以作为任务解耦的先验，用于多种成像反问题，但鲁棒性、采样效率和临床可信度仍是挑战。[R18] 2025 年关于 biomedical SR 评估的研究也强调，单一图像质量指标难以覆盖生物医学任务中的真实可用性。[R19]</w:t>
      </w:r>
    </w:p>
    <w:p>
      <w:pPr>
        <w:spacing w:before="0" w:after="80" w:line="259" w:lineRule="auto"/>
        <w:ind w:firstLine="420"/>
      </w:pPr>
      <w:r>
        <w:rPr>
          <w:rFonts w:ascii="Arial" w:hAnsi="Arial" w:eastAsia="Noto Sans CJK SC"/>
          <w:b w:val="0"/>
          <w:sz w:val="21"/>
        </w:rPr>
        <w:t>DMI 方向的近期工作强调空间分辨率、SNR、谱拟合和代谢定量。DMI 综述认为提升空间分辨率是推动临床转化的重要问题；动态 DMI 与 whole-brain DMI 研究也体现了时间、空间、SNR 与代谢参数估计之间的权衡。[R08-R10, R21] 因此，本课题应把 physics/degradation-aware 约束放在模型设计中心，而不是只作为数据增强。</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top"/>
            <w:shd w:fill="1F4E79"/>
          </w:tcPr>
          <w:p>
            <w:pPr>
              <w:spacing w:before="0" w:after="0" w:line="240" w:lineRule="auto"/>
            </w:pPr>
            <w:r/>
            <w:r>
              <w:rPr>
                <w:rFonts w:ascii="Arial" w:hAnsi="Arial" w:eastAsia="Noto Sans CJK SC"/>
                <w:b/>
                <w:color w:val="FFFFFF"/>
                <w:sz w:val="17"/>
              </w:rPr>
              <w:t>方向</w:t>
            </w:r>
          </w:p>
        </w:tc>
        <w:tc>
          <w:tcPr>
            <w:tcW w:type="dxa" w:w="2550"/>
            <w:vAlign w:val="top"/>
            <w:shd w:fill="1F4E79"/>
          </w:tcPr>
          <w:p>
            <w:pPr>
              <w:spacing w:before="0" w:after="0" w:line="240" w:lineRule="auto"/>
            </w:pPr>
            <w:r/>
            <w:r>
              <w:rPr>
                <w:rFonts w:ascii="Arial" w:hAnsi="Arial" w:eastAsia="Noto Sans CJK SC"/>
                <w:b/>
                <w:color w:val="FFFFFF"/>
                <w:sz w:val="17"/>
              </w:rPr>
              <w:t>代表工作</w:t>
            </w:r>
          </w:p>
        </w:tc>
        <w:tc>
          <w:tcPr>
            <w:tcW w:type="dxa" w:w="2550"/>
            <w:vAlign w:val="top"/>
            <w:shd w:fill="1F4E79"/>
          </w:tcPr>
          <w:p>
            <w:pPr>
              <w:spacing w:before="0" w:after="0" w:line="240" w:lineRule="auto"/>
            </w:pPr>
            <w:r/>
            <w:r>
              <w:rPr>
                <w:rFonts w:ascii="Arial" w:hAnsi="Arial" w:eastAsia="Noto Sans CJK SC"/>
                <w:b/>
                <w:color w:val="FFFFFF"/>
                <w:sz w:val="17"/>
              </w:rPr>
              <w:t>可迁移思想</w:t>
            </w:r>
          </w:p>
        </w:tc>
        <w:tc>
          <w:tcPr>
            <w:tcW w:type="dxa" w:w="2550"/>
            <w:vAlign w:val="top"/>
            <w:shd w:fill="1F4E79"/>
          </w:tcPr>
          <w:p>
            <w:pPr>
              <w:spacing w:before="0" w:after="0" w:line="240" w:lineRule="auto"/>
            </w:pPr>
            <w:r/>
            <w:r>
              <w:rPr>
                <w:rFonts w:ascii="Arial" w:hAnsi="Arial" w:eastAsia="Noto Sans CJK SC"/>
                <w:b/>
                <w:color w:val="FFFFFF"/>
                <w:sz w:val="17"/>
              </w:rPr>
              <w:t>对本课题的注意事项</w:t>
            </w:r>
          </w:p>
        </w:tc>
      </w:tr>
      <w:tr>
        <w:tc>
          <w:tcPr>
            <w:tcW w:type="dxa" w:w="2550"/>
            <w:vAlign w:val="top"/>
          </w:tcPr>
          <w:p>
            <w:pPr>
              <w:spacing w:before="0" w:after="0" w:line="240" w:lineRule="auto"/>
            </w:pPr>
            <w:r/>
            <w:r>
              <w:rPr>
                <w:rFonts w:ascii="Arial" w:hAnsi="Arial" w:eastAsia="Noto Sans CJK SC"/>
                <w:b w:val="0"/>
                <w:sz w:val="17"/>
              </w:rPr>
              <w:t>一步/少步 SR diffusion</w:t>
            </w:r>
          </w:p>
        </w:tc>
        <w:tc>
          <w:tcPr>
            <w:tcW w:type="dxa" w:w="2550"/>
            <w:vAlign w:val="top"/>
          </w:tcPr>
          <w:p>
            <w:pPr>
              <w:spacing w:before="0" w:after="0" w:line="240" w:lineRule="auto"/>
            </w:pPr>
            <w:r/>
            <w:r>
              <w:rPr>
                <w:rFonts w:ascii="Arial" w:hAnsi="Arial" w:eastAsia="Noto Sans CJK SC"/>
                <w:b w:val="0"/>
                <w:sz w:val="17"/>
              </w:rPr>
              <w:t>SinSR 2024；TSD-SR 2025；arbitrary-steps SR 2025</w:t>
            </w:r>
          </w:p>
        </w:tc>
        <w:tc>
          <w:tcPr>
            <w:tcW w:type="dxa" w:w="2550"/>
            <w:vAlign w:val="top"/>
          </w:tcPr>
          <w:p>
            <w:pPr>
              <w:spacing w:before="0" w:after="0" w:line="240" w:lineRule="auto"/>
            </w:pPr>
            <w:r/>
            <w:r>
              <w:rPr>
                <w:rFonts w:ascii="Arial" w:hAnsi="Arial" w:eastAsia="Noto Sans CJK SC"/>
                <w:b w:val="0"/>
                <w:sz w:val="17"/>
              </w:rPr>
              <w:t>用蒸馏、DDIM 或可变步数降低推理成本</w:t>
            </w:r>
          </w:p>
        </w:tc>
        <w:tc>
          <w:tcPr>
            <w:tcW w:type="dxa" w:w="2550"/>
            <w:vAlign w:val="top"/>
          </w:tcPr>
          <w:p>
            <w:pPr>
              <w:spacing w:before="0" w:after="0" w:line="240" w:lineRule="auto"/>
            </w:pPr>
            <w:r/>
            <w:r>
              <w:rPr>
                <w:rFonts w:ascii="Arial" w:hAnsi="Arial" w:eastAsia="Noto Sans CJK SC"/>
                <w:b w:val="0"/>
                <w:sz w:val="17"/>
              </w:rPr>
              <w:t>不能以效率牺牲定量一致性和不确定性评估</w:t>
            </w:r>
          </w:p>
        </w:tc>
      </w:tr>
      <w:tr>
        <w:tc>
          <w:tcPr>
            <w:tcW w:type="dxa" w:w="2550"/>
            <w:vAlign w:val="top"/>
          </w:tcPr>
          <w:p>
            <w:pPr>
              <w:spacing w:before="0" w:after="0" w:line="240" w:lineRule="auto"/>
            </w:pPr>
            <w:r/>
            <w:r>
              <w:rPr>
                <w:rFonts w:ascii="Arial" w:hAnsi="Arial" w:eastAsia="Noto Sans CJK SC"/>
                <w:b w:val="0"/>
                <w:sz w:val="17"/>
              </w:rPr>
              <w:t>MRI SR diffusion</w:t>
            </w:r>
          </w:p>
        </w:tc>
        <w:tc>
          <w:tcPr>
            <w:tcW w:type="dxa" w:w="2550"/>
            <w:vAlign w:val="top"/>
          </w:tcPr>
          <w:p>
            <w:pPr>
              <w:spacing w:before="0" w:after="0" w:line="240" w:lineRule="auto"/>
            </w:pPr>
            <w:r/>
            <w:r>
              <w:rPr>
                <w:rFonts w:ascii="Arial" w:hAnsi="Arial" w:eastAsia="Noto Sans CJK SC"/>
                <w:b w:val="0"/>
                <w:sz w:val="17"/>
              </w:rPr>
              <w:t>Res-SRDiff 2025；Partial Diffusion MRI SR 2025</w:t>
            </w:r>
          </w:p>
        </w:tc>
        <w:tc>
          <w:tcPr>
            <w:tcW w:type="dxa" w:w="2550"/>
            <w:vAlign w:val="top"/>
          </w:tcPr>
          <w:p>
            <w:pPr>
              <w:spacing w:before="0" w:after="0" w:line="240" w:lineRule="auto"/>
            </w:pPr>
            <w:r/>
            <w:r>
              <w:rPr>
                <w:rFonts w:ascii="Arial" w:hAnsi="Arial" w:eastAsia="Noto Sans CJK SC"/>
                <w:b w:val="0"/>
                <w:sz w:val="17"/>
              </w:rPr>
              <w:t>残差建模、部分扩散、医学图像指标</w:t>
            </w:r>
          </w:p>
        </w:tc>
        <w:tc>
          <w:tcPr>
            <w:tcW w:type="dxa" w:w="2550"/>
            <w:vAlign w:val="top"/>
          </w:tcPr>
          <w:p>
            <w:pPr>
              <w:spacing w:before="0" w:after="0" w:line="240" w:lineRule="auto"/>
            </w:pPr>
            <w:r/>
            <w:r>
              <w:rPr>
                <w:rFonts w:ascii="Arial" w:hAnsi="Arial" w:eastAsia="Noto Sans CJK SC"/>
                <w:b w:val="0"/>
                <w:sz w:val="17"/>
              </w:rPr>
              <w:t>MRI 解剖细节不是 DMI 代谢细节</w:t>
            </w:r>
          </w:p>
        </w:tc>
      </w:tr>
      <w:tr>
        <w:tc>
          <w:tcPr>
            <w:tcW w:type="dxa" w:w="2550"/>
            <w:vAlign w:val="top"/>
          </w:tcPr>
          <w:p>
            <w:pPr>
              <w:spacing w:before="0" w:after="0" w:line="240" w:lineRule="auto"/>
            </w:pPr>
            <w:r/>
            <w:r>
              <w:rPr>
                <w:rFonts w:ascii="Arial" w:hAnsi="Arial" w:eastAsia="Noto Sans CJK SC"/>
                <w:b w:val="0"/>
                <w:sz w:val="17"/>
              </w:rPr>
              <w:t>多模态/多对比 SR</w:t>
            </w:r>
          </w:p>
        </w:tc>
        <w:tc>
          <w:tcPr>
            <w:tcW w:type="dxa" w:w="2550"/>
            <w:vAlign w:val="top"/>
          </w:tcPr>
          <w:p>
            <w:pPr>
              <w:spacing w:before="0" w:after="0" w:line="240" w:lineRule="auto"/>
            </w:pPr>
            <w:r/>
            <w:r>
              <w:rPr>
                <w:rFonts w:ascii="Arial" w:hAnsi="Arial" w:eastAsia="Noto Sans CJK SC"/>
                <w:b w:val="0"/>
                <w:sz w:val="17"/>
              </w:rPr>
              <w:t>IM-Diff 2025</w:t>
            </w:r>
          </w:p>
        </w:tc>
        <w:tc>
          <w:tcPr>
            <w:tcW w:type="dxa" w:w="2550"/>
            <w:vAlign w:val="top"/>
          </w:tcPr>
          <w:p>
            <w:pPr>
              <w:spacing w:before="0" w:after="0" w:line="240" w:lineRule="auto"/>
            </w:pPr>
            <w:r/>
            <w:r>
              <w:rPr>
                <w:rFonts w:ascii="Arial" w:hAnsi="Arial" w:eastAsia="Noto Sans CJK SC"/>
                <w:b w:val="0"/>
                <w:sz w:val="17"/>
              </w:rPr>
              <w:t>结构模态作为条件，多模态融合</w:t>
            </w:r>
          </w:p>
        </w:tc>
        <w:tc>
          <w:tcPr>
            <w:tcW w:type="dxa" w:w="2550"/>
            <w:vAlign w:val="top"/>
          </w:tcPr>
          <w:p>
            <w:pPr>
              <w:spacing w:before="0" w:after="0" w:line="240" w:lineRule="auto"/>
            </w:pPr>
            <w:r/>
            <w:r>
              <w:rPr>
                <w:rFonts w:ascii="Arial" w:hAnsi="Arial" w:eastAsia="Noto Sans CJK SC"/>
                <w:b w:val="0"/>
                <w:sz w:val="17"/>
              </w:rPr>
              <w:t>需要区分结构先验与代谢观测约束</w:t>
            </w:r>
          </w:p>
        </w:tc>
      </w:tr>
      <w:tr>
        <w:tc>
          <w:tcPr>
            <w:tcW w:type="dxa" w:w="2550"/>
            <w:vAlign w:val="top"/>
          </w:tcPr>
          <w:p>
            <w:pPr>
              <w:spacing w:before="0" w:after="0" w:line="240" w:lineRule="auto"/>
            </w:pPr>
            <w:r/>
            <w:r>
              <w:rPr>
                <w:rFonts w:ascii="Arial" w:hAnsi="Arial" w:eastAsia="Noto Sans CJK SC"/>
                <w:b w:val="0"/>
                <w:sz w:val="17"/>
              </w:rPr>
              <w:t>结构辅助连续重建</w:t>
            </w:r>
          </w:p>
        </w:tc>
        <w:tc>
          <w:tcPr>
            <w:tcW w:type="dxa" w:w="2550"/>
            <w:vAlign w:val="top"/>
          </w:tcPr>
          <w:p>
            <w:pPr>
              <w:spacing w:before="0" w:after="0" w:line="240" w:lineRule="auto"/>
            </w:pPr>
            <w:r/>
            <w:r>
              <w:rPr>
                <w:rFonts w:ascii="Arial" w:hAnsi="Arial" w:eastAsia="Noto Sans CJK SC"/>
                <w:b w:val="0"/>
                <w:sz w:val="17"/>
              </w:rPr>
              <w:t>CSR-dMRI 2024</w:t>
            </w:r>
          </w:p>
        </w:tc>
        <w:tc>
          <w:tcPr>
            <w:tcW w:type="dxa" w:w="2550"/>
            <w:vAlign w:val="top"/>
          </w:tcPr>
          <w:p>
            <w:pPr>
              <w:spacing w:before="0" w:after="0" w:line="240" w:lineRule="auto"/>
            </w:pPr>
            <w:r/>
            <w:r>
              <w:rPr>
                <w:rFonts w:ascii="Arial" w:hAnsi="Arial" w:eastAsia="Noto Sans CJK SC"/>
                <w:b w:val="0"/>
                <w:sz w:val="17"/>
              </w:rPr>
              <w:t>解剖结构辅助低分辨率医学信号重建</w:t>
            </w:r>
          </w:p>
        </w:tc>
        <w:tc>
          <w:tcPr>
            <w:tcW w:type="dxa" w:w="2550"/>
            <w:vAlign w:val="top"/>
          </w:tcPr>
          <w:p>
            <w:pPr>
              <w:spacing w:before="0" w:after="0" w:line="240" w:lineRule="auto"/>
            </w:pPr>
            <w:r/>
            <w:r>
              <w:rPr>
                <w:rFonts w:ascii="Arial" w:hAnsi="Arial" w:eastAsia="Noto Sans CJK SC"/>
                <w:b w:val="0"/>
                <w:sz w:val="17"/>
              </w:rPr>
              <w:t>必须加入 anti-texture-transfer 约束</w:t>
            </w:r>
          </w:p>
        </w:tc>
      </w:tr>
      <w:tr>
        <w:tc>
          <w:tcPr>
            <w:tcW w:type="dxa" w:w="2550"/>
            <w:vAlign w:val="top"/>
          </w:tcPr>
          <w:p>
            <w:pPr>
              <w:spacing w:before="0" w:after="0" w:line="240" w:lineRule="auto"/>
            </w:pPr>
            <w:r/>
            <w:r>
              <w:rPr>
                <w:rFonts w:ascii="Arial" w:hAnsi="Arial" w:eastAsia="Noto Sans CJK SC"/>
                <w:b w:val="0"/>
                <w:sz w:val="17"/>
              </w:rPr>
              <w:t>医学扩散重建综述</w:t>
            </w:r>
          </w:p>
        </w:tc>
        <w:tc>
          <w:tcPr>
            <w:tcW w:type="dxa" w:w="2550"/>
            <w:vAlign w:val="top"/>
          </w:tcPr>
          <w:p>
            <w:pPr>
              <w:spacing w:before="0" w:after="0" w:line="240" w:lineRule="auto"/>
            </w:pPr>
            <w:r/>
            <w:r>
              <w:rPr>
                <w:rFonts w:ascii="Arial" w:hAnsi="Arial" w:eastAsia="Noto Sans CJK SC"/>
                <w:b w:val="0"/>
                <w:sz w:val="17"/>
              </w:rPr>
              <w:t>Webber et al. 2024</w:t>
            </w:r>
          </w:p>
        </w:tc>
        <w:tc>
          <w:tcPr>
            <w:tcW w:type="dxa" w:w="2550"/>
            <w:vAlign w:val="top"/>
          </w:tcPr>
          <w:p>
            <w:pPr>
              <w:spacing w:before="0" w:after="0" w:line="240" w:lineRule="auto"/>
            </w:pPr>
            <w:r/>
            <w:r>
              <w:rPr>
                <w:rFonts w:ascii="Arial" w:hAnsi="Arial" w:eastAsia="Noto Sans CJK SC"/>
                <w:b w:val="0"/>
                <w:sz w:val="17"/>
              </w:rPr>
              <w:t>扩散先验可用于成像反问题与不确定性估计</w:t>
            </w:r>
          </w:p>
        </w:tc>
        <w:tc>
          <w:tcPr>
            <w:tcW w:type="dxa" w:w="2550"/>
            <w:vAlign w:val="top"/>
          </w:tcPr>
          <w:p>
            <w:pPr>
              <w:spacing w:before="0" w:after="0" w:line="240" w:lineRule="auto"/>
            </w:pPr>
            <w:r/>
            <w:r>
              <w:rPr>
                <w:rFonts w:ascii="Arial" w:hAnsi="Arial" w:eastAsia="Noto Sans CJK SC"/>
                <w:b w:val="0"/>
                <w:sz w:val="17"/>
              </w:rPr>
              <w:t>要结合任务物理，而不是纯图像生成</w:t>
            </w:r>
          </w:p>
        </w:tc>
      </w:tr>
      <w:tr>
        <w:tc>
          <w:tcPr>
            <w:tcW w:type="dxa" w:w="2550"/>
            <w:vAlign w:val="top"/>
          </w:tcPr>
          <w:p>
            <w:pPr>
              <w:spacing w:before="0" w:after="0" w:line="240" w:lineRule="auto"/>
            </w:pPr>
            <w:r/>
            <w:r>
              <w:rPr>
                <w:rFonts w:ascii="Arial" w:hAnsi="Arial" w:eastAsia="Noto Sans CJK SC"/>
                <w:b w:val="0"/>
                <w:sz w:val="17"/>
              </w:rPr>
              <w:t>DMI 方法学</w:t>
            </w:r>
          </w:p>
        </w:tc>
        <w:tc>
          <w:tcPr>
            <w:tcW w:type="dxa" w:w="2550"/>
            <w:vAlign w:val="top"/>
          </w:tcPr>
          <w:p>
            <w:pPr>
              <w:spacing w:before="0" w:after="0" w:line="240" w:lineRule="auto"/>
            </w:pPr>
            <w:r/>
            <w:r>
              <w:rPr>
                <w:rFonts w:ascii="Arial" w:hAnsi="Arial" w:eastAsia="Noto Sans CJK SC"/>
                <w:b w:val="0"/>
                <w:sz w:val="17"/>
              </w:rPr>
              <w:t>DMI review 2024；dynamic DMI validation 2025；whole-brain DMI 2024</w:t>
            </w:r>
          </w:p>
        </w:tc>
        <w:tc>
          <w:tcPr>
            <w:tcW w:type="dxa" w:w="2550"/>
            <w:vAlign w:val="top"/>
          </w:tcPr>
          <w:p>
            <w:pPr>
              <w:spacing w:before="0" w:after="0" w:line="240" w:lineRule="auto"/>
            </w:pPr>
            <w:r/>
            <w:r>
              <w:rPr>
                <w:rFonts w:ascii="Arial" w:hAnsi="Arial" w:eastAsia="Noto Sans CJK SC"/>
                <w:b w:val="0"/>
                <w:sz w:val="17"/>
              </w:rPr>
              <w:t>空间分辨率、SNR、谱拟合、代谢定量是核心</w:t>
            </w:r>
          </w:p>
        </w:tc>
        <w:tc>
          <w:tcPr>
            <w:tcW w:type="dxa" w:w="2550"/>
            <w:vAlign w:val="top"/>
          </w:tcPr>
          <w:p>
            <w:pPr>
              <w:spacing w:before="0" w:after="0" w:line="240" w:lineRule="auto"/>
            </w:pPr>
            <w:r/>
            <w:r>
              <w:rPr>
                <w:rFonts w:ascii="Arial" w:hAnsi="Arial" w:eastAsia="Noto Sans CJK SC"/>
                <w:b w:val="0"/>
                <w:sz w:val="17"/>
              </w:rPr>
              <w:t>指标必须从图像质量延伸到代谢参数一致性</w:t>
            </w:r>
          </w:p>
        </w:tc>
      </w:tr>
    </w:tbl>
    <w:p/>
    <w:p>
      <w:pPr>
        <w:pStyle w:val="Heading1"/>
        <w:spacing w:before="160" w:after="120" w:line="259" w:lineRule="auto"/>
      </w:pPr>
      <w:r/>
      <w:r>
        <w:rPr>
          <w:rFonts w:ascii="Arial" w:hAnsi="Arial" w:eastAsia="Noto Sans CJK SC"/>
          <w:b/>
          <w:color w:val="1F4E79"/>
          <w:sz w:val="32"/>
        </w:rPr>
        <w:t>四、可迁移到本课题的技术路线</w:t>
      </w:r>
    </w:p>
    <w:p>
      <w:pPr>
        <w:pStyle w:val="Heading2"/>
        <w:spacing w:before="120" w:after="120" w:line="259" w:lineRule="auto"/>
      </w:pPr>
      <w:r/>
      <w:r>
        <w:rPr>
          <w:rFonts w:ascii="Arial" w:hAnsi="Arial" w:eastAsia="Noto Sans CJK SC"/>
          <w:b/>
          <w:color w:val="000000"/>
          <w:sz w:val="26"/>
        </w:rPr>
        <w:t>路线 1：结构引导但代谢约束的条件扩散</w:t>
      </w:r>
    </w:p>
    <w:p>
      <w:pPr>
        <w:spacing w:before="0" w:after="80" w:line="259" w:lineRule="auto"/>
        <w:ind w:firstLine="420"/>
      </w:pPr>
      <w:r>
        <w:rPr>
          <w:rFonts w:ascii="Arial" w:hAnsi="Arial" w:eastAsia="Noto Sans CJK SC"/>
          <w:b w:val="0"/>
          <w:sz w:val="21"/>
        </w:rPr>
        <w:t>将结构图像从“额外输入通道”升级为“受控结构先验”。T1/FLAIR 通过结构编码器提取低频组织边界和多尺度结构特征，在 UNet decoder 的少数关键分辨率以 gated cross-attention 或 FiLM 注入。LR-DMI 通过独立代谢编码器进入网络，并在 loss 和采样阶段通过退化一致性约束保持主导地位。</w:t>
      </w:r>
    </w:p>
    <w:p>
      <w:pPr>
        <w:spacing w:before="0" w:after="80" w:line="259" w:lineRule="auto"/>
        <w:ind w:firstLine="420"/>
      </w:pPr>
      <w:r>
        <w:rPr>
          <w:rFonts w:ascii="Arial" w:hAnsi="Arial" w:eastAsia="Noto Sans CJK SC"/>
          <w:b w:val="0"/>
          <w:sz w:val="21"/>
        </w:rPr>
        <w:t>适配价值：风险中等，直接对应论文题目中的“结构引导”；能与现有 T1 cross-attention 兼容；容易做消融实验。</w:t>
      </w:r>
    </w:p>
    <w:p>
      <w:pPr>
        <w:pStyle w:val="Heading2"/>
        <w:spacing w:before="120" w:after="120" w:line="259" w:lineRule="auto"/>
      </w:pPr>
      <w:r/>
      <w:r>
        <w:rPr>
          <w:rFonts w:ascii="Arial" w:hAnsi="Arial" w:eastAsia="Noto Sans CJK SC"/>
          <w:b/>
          <w:color w:val="000000"/>
          <w:sz w:val="26"/>
        </w:rPr>
        <w:t>路线 2：残差式扩散先验</w:t>
      </w:r>
    </w:p>
    <w:p>
      <w:pPr>
        <w:spacing w:before="0" w:after="80" w:line="259" w:lineRule="auto"/>
        <w:ind w:firstLine="420"/>
      </w:pPr>
      <w:r>
        <w:rPr>
          <w:rFonts w:ascii="Arial" w:hAnsi="Arial" w:eastAsia="Noto Sans CJK SC"/>
          <w:b w:val="0"/>
          <w:sz w:val="21"/>
        </w:rPr>
        <w:t>不让扩散模型直接生成完整 HR-DMI，而是预测从 physics-upsampled LR-DMI 到 HR-DMI 的残差，形式为 x_hat = U(y_LR) + r_theta。这样可以降低生成空间自由度，使模型更难凭空生成与 LR 观测无关的代谢热点。Res-SRDiff 等 MRI SR 工作的 residual shifting 思想也支持该方向。[R14]</w:t>
      </w:r>
    </w:p>
    <w:p>
      <w:pPr>
        <w:spacing w:before="0" w:after="80" w:line="259" w:lineRule="auto"/>
        <w:ind w:firstLine="420"/>
      </w:pPr>
      <w:r>
        <w:rPr>
          <w:rFonts w:ascii="Arial" w:hAnsi="Arial" w:eastAsia="Noto Sans CJK SC"/>
          <w:b w:val="0"/>
          <w:sz w:val="21"/>
        </w:rPr>
        <w:t>适配价值：对小样本医学数据友好，能减少 hallucination；缺点是若 LR-DMI 本身严重模糊或存在拟合偏差，残差学习可能受限。</w:t>
      </w:r>
    </w:p>
    <w:p>
      <w:pPr>
        <w:pStyle w:val="Heading2"/>
        <w:spacing w:before="120" w:after="120" w:line="259" w:lineRule="auto"/>
      </w:pPr>
      <w:r/>
      <w:r>
        <w:rPr>
          <w:rFonts w:ascii="Arial" w:hAnsi="Arial" w:eastAsia="Noto Sans CJK SC"/>
          <w:b/>
          <w:color w:val="000000"/>
          <w:sz w:val="26"/>
        </w:rPr>
        <w:t>路线 3：显式退化一致性与物理仿真增强</w:t>
      </w:r>
    </w:p>
    <w:p>
      <w:pPr>
        <w:spacing w:before="0" w:after="80" w:line="259" w:lineRule="auto"/>
        <w:ind w:firstLine="420"/>
      </w:pPr>
      <w:r>
        <w:rPr>
          <w:rFonts w:ascii="Arial" w:hAnsi="Arial" w:eastAsia="Noto Sans CJK SC"/>
          <w:b w:val="0"/>
          <w:sz w:val="21"/>
        </w:rPr>
        <w:t>定义从 HR-DMI 到 LR-DMI 的退化算子 D，包括空间 PSF/低通滤波、k-space 截断、下采样、噪声模型、mask 和可选谱拟合不确定性。训练和推理时加入 L_deg = ||D(x_hat) - y_LR||，使生成的 HR 图经过同样退化后必须回到观测 LR。</w:t>
      </w:r>
    </w:p>
    <w:p>
      <w:pPr>
        <w:spacing w:before="0" w:after="80" w:line="259" w:lineRule="auto"/>
        <w:ind w:firstLine="420"/>
      </w:pPr>
      <w:r>
        <w:rPr>
          <w:rFonts w:ascii="Arial" w:hAnsi="Arial" w:eastAsia="Noto Sans CJK SC"/>
          <w:b w:val="0"/>
          <w:sz w:val="21"/>
        </w:rPr>
        <w:t>适配价值：最能支撑“医学上不虚假”的论点；也是从自然图像 SR 过渡到 DMI SR 的核心差异。风险在于 D 的真实性，如果退化模型不准确，过强约束可能抑制真实高频。</w:t>
      </w:r>
    </w:p>
    <w:p>
      <w:pPr>
        <w:pStyle w:val="Heading2"/>
        <w:spacing w:before="120" w:after="120" w:line="259" w:lineRule="auto"/>
      </w:pPr>
      <w:r/>
      <w:r>
        <w:rPr>
          <w:rFonts w:ascii="Arial" w:hAnsi="Arial" w:eastAsia="Noto Sans CJK SC"/>
          <w:b/>
          <w:color w:val="000000"/>
          <w:sz w:val="26"/>
        </w:rPr>
        <w:t>路线 4：代谢定量一致性 loss 与指标体系</w:t>
      </w:r>
    </w:p>
    <w:p>
      <w:pPr>
        <w:spacing w:before="0" w:after="80" w:line="259" w:lineRule="auto"/>
        <w:ind w:firstLine="420"/>
      </w:pPr>
      <w:r>
        <w:rPr>
          <w:rFonts w:ascii="Arial" w:hAnsi="Arial" w:eastAsia="Noto Sans CJK SC"/>
          <w:b w:val="0"/>
          <w:sz w:val="21"/>
        </w:rPr>
        <w:t>围绕 ROI mean、ROI sum、metabolite ratio、hotspot area、Bland-Altman、degradation residual 等构建训练损失和验证指标。对于 Glc、Lac、Glx、Lipid 等代谢物，类别条件不只用于输入，还应决定定量指标和阈值策略。</w:t>
      </w:r>
    </w:p>
    <w:p>
      <w:pPr>
        <w:spacing w:before="0" w:after="80" w:line="259" w:lineRule="auto"/>
        <w:ind w:firstLine="420"/>
      </w:pPr>
      <w:r>
        <w:rPr>
          <w:rFonts w:ascii="Arial" w:hAnsi="Arial" w:eastAsia="Noto Sans CJK SC"/>
          <w:b w:val="0"/>
          <w:sz w:val="21"/>
        </w:rPr>
        <w:t>适配价值：非常适合硕士论文，因为创新点清晰、医学解释性强、实验可复现。风险是需要设计合理 ROI 或组织分区，且指标要避免对噪声过敏。</w:t>
      </w:r>
    </w:p>
    <w:p>
      <w:pPr>
        <w:pStyle w:val="Heading2"/>
        <w:spacing w:before="120" w:after="120" w:line="259" w:lineRule="auto"/>
      </w:pPr>
      <w:r/>
      <w:r>
        <w:rPr>
          <w:rFonts w:ascii="Arial" w:hAnsi="Arial" w:eastAsia="Noto Sans CJK SC"/>
          <w:b/>
          <w:color w:val="000000"/>
          <w:sz w:val="26"/>
        </w:rPr>
        <w:t>路线 5：不确定性感知 DMI 超分</w:t>
      </w:r>
    </w:p>
    <w:p>
      <w:pPr>
        <w:spacing w:before="0" w:after="80" w:line="259" w:lineRule="auto"/>
        <w:ind w:firstLine="420"/>
      </w:pPr>
      <w:r>
        <w:rPr>
          <w:rFonts w:ascii="Arial" w:hAnsi="Arial" w:eastAsia="Noto Sans CJK SC"/>
          <w:b w:val="0"/>
          <w:sz w:val="21"/>
        </w:rPr>
        <w:t>利用扩散模型天然的随机采样能力，输出多次采样的均值、方差和置信区域。进一步可加入 heteroscedastic uncertainty head，使模型对低 SNR、边界区域、病灶周围或 LR 观测不足区域给出较高不确定性。</w:t>
      </w:r>
    </w:p>
    <w:p>
      <w:pPr>
        <w:spacing w:before="0" w:after="80" w:line="259" w:lineRule="auto"/>
        <w:ind w:firstLine="420"/>
      </w:pPr>
      <w:r>
        <w:rPr>
          <w:rFonts w:ascii="Arial" w:hAnsi="Arial" w:eastAsia="Noto Sans CJK SC"/>
          <w:b w:val="0"/>
          <w:sz w:val="21"/>
        </w:rPr>
        <w:t>适配价值：可以直接回应“如何避免医学虚假生成”的质疑；适合小样本和真实数据不足场景。风险是采样成本增加，且需要校准评估。</w:t>
      </w:r>
    </w:p>
    <w:p>
      <w:pPr>
        <w:pStyle w:val="Heading1"/>
        <w:spacing w:before="160" w:after="120" w:line="259" w:lineRule="auto"/>
      </w:pPr>
      <w:r/>
      <w:r>
        <w:rPr>
          <w:rFonts w:ascii="Arial" w:hAnsi="Arial" w:eastAsia="Noto Sans CJK SC"/>
          <w:b/>
          <w:color w:val="1F4E79"/>
          <w:sz w:val="32"/>
        </w:rPr>
        <w:t>五、提出改进方案</w:t>
      </w:r>
    </w:p>
    <w:p>
      <w:pPr>
        <w:pStyle w:val="Heading2"/>
        <w:spacing w:before="120" w:after="120" w:line="259" w:lineRule="auto"/>
      </w:pPr>
      <w:r/>
      <w:r>
        <w:rPr>
          <w:rFonts w:ascii="Arial" w:hAnsi="Arial" w:eastAsia="Noto Sans CJK SC"/>
          <w:b/>
          <w:color w:val="000000"/>
          <w:sz w:val="26"/>
        </w:rPr>
        <w:t>5.1 三个候选方案 A/B/C</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vAlign w:val="top"/>
            <w:shd w:fill="1F4E79"/>
          </w:tcPr>
          <w:p>
            <w:pPr>
              <w:spacing w:before="0" w:after="0" w:line="240" w:lineRule="auto"/>
            </w:pPr>
            <w:r/>
            <w:r>
              <w:rPr>
                <w:rFonts w:ascii="Arial" w:hAnsi="Arial" w:eastAsia="Noto Sans CJK SC"/>
                <w:b/>
                <w:color w:val="FFFFFF"/>
                <w:sz w:val="17"/>
              </w:rPr>
              <w:t>方案</w:t>
            </w:r>
          </w:p>
        </w:tc>
        <w:tc>
          <w:tcPr>
            <w:tcW w:type="dxa" w:w="2040"/>
            <w:vAlign w:val="top"/>
            <w:shd w:fill="1F4E79"/>
          </w:tcPr>
          <w:p>
            <w:pPr>
              <w:spacing w:before="0" w:after="0" w:line="240" w:lineRule="auto"/>
            </w:pPr>
            <w:r/>
            <w:r>
              <w:rPr>
                <w:rFonts w:ascii="Arial" w:hAnsi="Arial" w:eastAsia="Noto Sans CJK SC"/>
                <w:b/>
                <w:color w:val="FFFFFF"/>
                <w:sz w:val="17"/>
              </w:rPr>
              <w:t>方法定位</w:t>
            </w:r>
          </w:p>
        </w:tc>
        <w:tc>
          <w:tcPr>
            <w:tcW w:type="dxa" w:w="2040"/>
            <w:vAlign w:val="top"/>
            <w:shd w:fill="1F4E79"/>
          </w:tcPr>
          <w:p>
            <w:pPr>
              <w:spacing w:before="0" w:after="0" w:line="240" w:lineRule="auto"/>
            </w:pPr>
            <w:r/>
            <w:r>
              <w:rPr>
                <w:rFonts w:ascii="Arial" w:hAnsi="Arial" w:eastAsia="Noto Sans CJK SC"/>
                <w:b/>
                <w:color w:val="FFFFFF"/>
                <w:sz w:val="17"/>
              </w:rPr>
              <w:t>优点</w:t>
            </w:r>
          </w:p>
        </w:tc>
        <w:tc>
          <w:tcPr>
            <w:tcW w:type="dxa" w:w="2040"/>
            <w:vAlign w:val="top"/>
            <w:shd w:fill="1F4E79"/>
          </w:tcPr>
          <w:p>
            <w:pPr>
              <w:spacing w:before="0" w:after="0" w:line="240" w:lineRule="auto"/>
            </w:pPr>
            <w:r/>
            <w:r>
              <w:rPr>
                <w:rFonts w:ascii="Arial" w:hAnsi="Arial" w:eastAsia="Noto Sans CJK SC"/>
                <w:b/>
                <w:color w:val="FFFFFF"/>
                <w:sz w:val="17"/>
              </w:rPr>
              <w:t>风险</w:t>
            </w:r>
          </w:p>
        </w:tc>
        <w:tc>
          <w:tcPr>
            <w:tcW w:type="dxa" w:w="2040"/>
            <w:vAlign w:val="top"/>
            <w:shd w:fill="1F4E79"/>
          </w:tcPr>
          <w:p>
            <w:pPr>
              <w:spacing w:before="0" w:after="0" w:line="240" w:lineRule="auto"/>
            </w:pPr>
            <w:r/>
            <w:r>
              <w:rPr>
                <w:rFonts w:ascii="Arial" w:hAnsi="Arial" w:eastAsia="Noto Sans CJK SC"/>
                <w:b/>
                <w:color w:val="FFFFFF"/>
                <w:sz w:val="17"/>
              </w:rPr>
              <w:t>建议用途</w:t>
            </w:r>
          </w:p>
        </w:tc>
      </w:tr>
      <w:tr>
        <w:tc>
          <w:tcPr>
            <w:tcW w:type="dxa" w:w="2040"/>
            <w:vAlign w:val="top"/>
          </w:tcPr>
          <w:p>
            <w:pPr>
              <w:spacing w:before="0" w:after="0" w:line="240" w:lineRule="auto"/>
            </w:pPr>
            <w:r/>
            <w:r>
              <w:rPr>
                <w:rFonts w:ascii="Arial" w:hAnsi="Arial" w:eastAsia="Noto Sans CJK SC"/>
                <w:b w:val="0"/>
                <w:sz w:val="17"/>
              </w:rPr>
              <w:t>A：SGQ-DiffDMI</w:t>
            </w:r>
          </w:p>
        </w:tc>
        <w:tc>
          <w:tcPr>
            <w:tcW w:type="dxa" w:w="2040"/>
            <w:vAlign w:val="top"/>
          </w:tcPr>
          <w:p>
            <w:pPr>
              <w:spacing w:before="0" w:after="0" w:line="240" w:lineRule="auto"/>
            </w:pPr>
            <w:r/>
            <w:r>
              <w:rPr>
                <w:rFonts w:ascii="Arial" w:hAnsi="Arial" w:eastAsia="Noto Sans CJK SC"/>
                <w:b w:val="0"/>
                <w:sz w:val="17"/>
              </w:rPr>
              <w:t>结构引导 + 退化一致性 + 定量约束的条件扩散主方案</w:t>
            </w:r>
          </w:p>
        </w:tc>
        <w:tc>
          <w:tcPr>
            <w:tcW w:type="dxa" w:w="2040"/>
            <w:vAlign w:val="top"/>
          </w:tcPr>
          <w:p>
            <w:pPr>
              <w:spacing w:before="0" w:after="0" w:line="240" w:lineRule="auto"/>
            </w:pPr>
            <w:r/>
            <w:r>
              <w:rPr>
                <w:rFonts w:ascii="Arial" w:hAnsi="Arial" w:eastAsia="Noto Sans CJK SC"/>
                <w:b w:val="0"/>
                <w:sz w:val="17"/>
              </w:rPr>
              <w:t>创新点聚焦，能承接现有代码，医学解释性强</w:t>
            </w:r>
          </w:p>
        </w:tc>
        <w:tc>
          <w:tcPr>
            <w:tcW w:type="dxa" w:w="2040"/>
            <w:vAlign w:val="top"/>
          </w:tcPr>
          <w:p>
            <w:pPr>
              <w:spacing w:before="0" w:after="0" w:line="240" w:lineRule="auto"/>
            </w:pPr>
            <w:r/>
            <w:r>
              <w:rPr>
                <w:rFonts w:ascii="Arial" w:hAnsi="Arial" w:eastAsia="Noto Sans CJK SC"/>
                <w:b w:val="0"/>
                <w:sz w:val="17"/>
              </w:rPr>
              <w:t>需要认真设计 loss 权重与消融</w:t>
            </w:r>
          </w:p>
        </w:tc>
        <w:tc>
          <w:tcPr>
            <w:tcW w:type="dxa" w:w="2040"/>
            <w:vAlign w:val="top"/>
          </w:tcPr>
          <w:p>
            <w:pPr>
              <w:spacing w:before="0" w:after="0" w:line="240" w:lineRule="auto"/>
            </w:pPr>
            <w:r/>
            <w:r>
              <w:rPr>
                <w:rFonts w:ascii="Arial" w:hAnsi="Arial" w:eastAsia="Noto Sans CJK SC"/>
                <w:b w:val="0"/>
                <w:sz w:val="17"/>
              </w:rPr>
              <w:t>推荐作为硕士论文主线</w:t>
            </w:r>
          </w:p>
        </w:tc>
      </w:tr>
      <w:tr>
        <w:tc>
          <w:tcPr>
            <w:tcW w:type="dxa" w:w="2040"/>
            <w:vAlign w:val="top"/>
          </w:tcPr>
          <w:p>
            <w:pPr>
              <w:spacing w:before="0" w:after="0" w:line="240" w:lineRule="auto"/>
            </w:pPr>
            <w:r/>
            <w:r>
              <w:rPr>
                <w:rFonts w:ascii="Arial" w:hAnsi="Arial" w:eastAsia="Noto Sans CJK SC"/>
                <w:b w:val="0"/>
                <w:sz w:val="17"/>
              </w:rPr>
              <w:t>B：Efficient Residual Diffusion DMI</w:t>
            </w:r>
          </w:p>
        </w:tc>
        <w:tc>
          <w:tcPr>
            <w:tcW w:type="dxa" w:w="2040"/>
            <w:vAlign w:val="top"/>
          </w:tcPr>
          <w:p>
            <w:pPr>
              <w:spacing w:before="0" w:after="0" w:line="240" w:lineRule="auto"/>
            </w:pPr>
            <w:r/>
            <w:r>
              <w:rPr>
                <w:rFonts w:ascii="Arial" w:hAnsi="Arial" w:eastAsia="Noto Sans CJK SC"/>
                <w:b w:val="0"/>
                <w:sz w:val="17"/>
              </w:rPr>
              <w:t>基于 residual/partial diffusion/DDIM/distillation 的高效采样方案</w:t>
            </w:r>
          </w:p>
        </w:tc>
        <w:tc>
          <w:tcPr>
            <w:tcW w:type="dxa" w:w="2040"/>
            <w:vAlign w:val="top"/>
          </w:tcPr>
          <w:p>
            <w:pPr>
              <w:spacing w:before="0" w:after="0" w:line="240" w:lineRule="auto"/>
            </w:pPr>
            <w:r/>
            <w:r>
              <w:rPr>
                <w:rFonts w:ascii="Arial" w:hAnsi="Arial" w:eastAsia="Noto Sans CJK SC"/>
                <w:b w:val="0"/>
                <w:sz w:val="17"/>
              </w:rPr>
              <w:t>推理快，便于多样本不确定性评估</w:t>
            </w:r>
          </w:p>
        </w:tc>
        <w:tc>
          <w:tcPr>
            <w:tcW w:type="dxa" w:w="2040"/>
            <w:vAlign w:val="top"/>
          </w:tcPr>
          <w:p>
            <w:pPr>
              <w:spacing w:before="0" w:after="0" w:line="240" w:lineRule="auto"/>
            </w:pPr>
            <w:r/>
            <w:r>
              <w:rPr>
                <w:rFonts w:ascii="Arial" w:hAnsi="Arial" w:eastAsia="Noto Sans CJK SC"/>
                <w:b w:val="0"/>
                <w:sz w:val="17"/>
              </w:rPr>
              <w:t>过早追求一步采样可能损害定量可信度</w:t>
            </w:r>
          </w:p>
        </w:tc>
        <w:tc>
          <w:tcPr>
            <w:tcW w:type="dxa" w:w="2040"/>
            <w:vAlign w:val="top"/>
          </w:tcPr>
          <w:p>
            <w:pPr>
              <w:spacing w:before="0" w:after="0" w:line="240" w:lineRule="auto"/>
            </w:pPr>
            <w:r/>
            <w:r>
              <w:rPr>
                <w:rFonts w:ascii="Arial" w:hAnsi="Arial" w:eastAsia="Noto Sans CJK SC"/>
                <w:b w:val="0"/>
                <w:sz w:val="17"/>
              </w:rPr>
              <w:t>作为 A 的加速版或后续工作</w:t>
            </w:r>
          </w:p>
        </w:tc>
      </w:tr>
      <w:tr>
        <w:tc>
          <w:tcPr>
            <w:tcW w:type="dxa" w:w="2040"/>
            <w:vAlign w:val="top"/>
          </w:tcPr>
          <w:p>
            <w:pPr>
              <w:spacing w:before="0" w:after="0" w:line="240" w:lineRule="auto"/>
            </w:pPr>
            <w:r/>
            <w:r>
              <w:rPr>
                <w:rFonts w:ascii="Arial" w:hAnsi="Arial" w:eastAsia="Noto Sans CJK SC"/>
                <w:b w:val="0"/>
                <w:sz w:val="17"/>
              </w:rPr>
              <w:t>C：Anatomy-assisted Implicit DMI SR</w:t>
            </w:r>
          </w:p>
        </w:tc>
        <w:tc>
          <w:tcPr>
            <w:tcW w:type="dxa" w:w="2040"/>
            <w:vAlign w:val="top"/>
          </w:tcPr>
          <w:p>
            <w:pPr>
              <w:spacing w:before="0" w:after="0" w:line="240" w:lineRule="auto"/>
            </w:pPr>
            <w:r/>
            <w:r>
              <w:rPr>
                <w:rFonts w:ascii="Arial" w:hAnsi="Arial" w:eastAsia="Noto Sans CJK SC"/>
                <w:b w:val="0"/>
                <w:sz w:val="17"/>
              </w:rPr>
              <w:t>隐式连续坐标表示 + 解剖结构辅助任意尺度 SR</w:t>
            </w:r>
          </w:p>
        </w:tc>
        <w:tc>
          <w:tcPr>
            <w:tcW w:type="dxa" w:w="2040"/>
            <w:vAlign w:val="top"/>
          </w:tcPr>
          <w:p>
            <w:pPr>
              <w:spacing w:before="0" w:after="0" w:line="240" w:lineRule="auto"/>
            </w:pPr>
            <w:r/>
            <w:r>
              <w:rPr>
                <w:rFonts w:ascii="Arial" w:hAnsi="Arial" w:eastAsia="Noto Sans CJK SC"/>
                <w:b w:val="0"/>
                <w:sz w:val="17"/>
              </w:rPr>
              <w:t>理论新颖，可支持任意分辨率</w:t>
            </w:r>
          </w:p>
        </w:tc>
        <w:tc>
          <w:tcPr>
            <w:tcW w:type="dxa" w:w="2040"/>
            <w:vAlign w:val="top"/>
          </w:tcPr>
          <w:p>
            <w:pPr>
              <w:spacing w:before="0" w:after="0" w:line="240" w:lineRule="auto"/>
            </w:pPr>
            <w:r/>
            <w:r>
              <w:rPr>
                <w:rFonts w:ascii="Arial" w:hAnsi="Arial" w:eastAsia="Noto Sans CJK SC"/>
                <w:b w:val="0"/>
                <w:sz w:val="17"/>
              </w:rPr>
              <w:t>工程复杂，验证链条长，短期风险高</w:t>
            </w:r>
          </w:p>
        </w:tc>
        <w:tc>
          <w:tcPr>
            <w:tcW w:type="dxa" w:w="2040"/>
            <w:vAlign w:val="top"/>
          </w:tcPr>
          <w:p>
            <w:pPr>
              <w:spacing w:before="0" w:after="0" w:line="240" w:lineRule="auto"/>
            </w:pPr>
            <w:r/>
            <w:r>
              <w:rPr>
                <w:rFonts w:ascii="Arial" w:hAnsi="Arial" w:eastAsia="Noto Sans CJK SC"/>
                <w:b w:val="0"/>
                <w:sz w:val="17"/>
              </w:rPr>
              <w:t>作为探索方案或论文展望</w:t>
            </w:r>
          </w:p>
        </w:tc>
      </w:tr>
    </w:tbl>
    <w:p/>
    <w:p>
      <w:pPr>
        <w:spacing w:before="0" w:after="80" w:line="259" w:lineRule="auto"/>
        <w:ind w:firstLine="420"/>
      </w:pPr>
      <w:r>
        <w:rPr>
          <w:rFonts w:ascii="Arial" w:hAnsi="Arial" w:eastAsia="Noto Sans CJK SC"/>
          <w:b/>
          <w:sz w:val="21"/>
        </w:rPr>
        <w:t>最终推荐选择 A：SGQ-DiffDMI。理由是它最符合题目中的“扩散生成先验 + 结构引导 + 医学定量一致性”，又能在当前 SR3 代码基础上递进实现，不需要完全重写为隐式表示或一步扩散系统。</w:t>
      </w:r>
    </w:p>
    <w:p>
      <w:pPr>
        <w:pStyle w:val="Heading2"/>
        <w:spacing w:before="120" w:after="120" w:line="259" w:lineRule="auto"/>
      </w:pPr>
      <w:r/>
      <w:r>
        <w:rPr>
          <w:rFonts w:ascii="Arial" w:hAnsi="Arial" w:eastAsia="Noto Sans CJK SC"/>
          <w:b/>
          <w:color w:val="000000"/>
          <w:sz w:val="26"/>
        </w:rPr>
        <w:t>5.2 推荐方法名称</w:t>
      </w:r>
    </w:p>
    <w:p>
      <w:pPr>
        <w:spacing w:before="0" w:after="80" w:line="259" w:lineRule="auto"/>
      </w:pPr>
      <w:r>
        <w:rPr>
          <w:rFonts w:ascii="Arial" w:hAnsi="Arial" w:eastAsia="Noto Sans CJK SC"/>
          <w:b/>
          <w:sz w:val="21"/>
        </w:rPr>
        <w:t>英文名称：Structure-Guided Quantitative Diffusion Prior Network for DMI Super-Resolution。</w:t>
      </w:r>
    </w:p>
    <w:p>
      <w:pPr>
        <w:spacing w:before="0" w:after="80" w:line="259" w:lineRule="auto"/>
      </w:pPr>
      <w:r>
        <w:rPr>
          <w:rFonts w:ascii="Arial" w:hAnsi="Arial" w:eastAsia="Noto Sans CJK SC"/>
          <w:b/>
          <w:sz w:val="21"/>
        </w:rPr>
        <w:t>建议简称：SGQ-DiffDMI。中文名称：面向氘代谢成像超分辨率的结构引导定量一致性扩散先验网络。</w:t>
      </w:r>
    </w:p>
    <w:p>
      <w:pPr>
        <w:pStyle w:val="Heading2"/>
        <w:spacing w:before="120" w:after="120" w:line="259" w:lineRule="auto"/>
      </w:pPr>
      <w:r/>
      <w:r>
        <w:rPr>
          <w:rFonts w:ascii="Arial" w:hAnsi="Arial" w:eastAsia="Noto Sans CJK SC"/>
          <w:b/>
          <w:color w:val="000000"/>
          <w:sz w:val="26"/>
        </w:rPr>
        <w:t>5.3 核心假设</w:t>
      </w:r>
    </w:p>
    <w:p>
      <w:pPr>
        <w:spacing w:before="0" w:after="80" w:line="259" w:lineRule="auto"/>
        <w:ind w:firstLine="420"/>
      </w:pPr>
      <w:r>
        <w:rPr>
          <w:rFonts w:ascii="Arial" w:hAnsi="Arial" w:eastAsia="Noto Sans CJK SC"/>
          <w:b w:val="0"/>
          <w:sz w:val="21"/>
        </w:rPr>
        <w:t>DMI 超分辨率的高频信息不能被理解为自然图像纹理恢复，而应被理解为“在 LR-DMI 观测、代谢物类别、生理先验和结构边界共同约束下，对 HR 代谢分布后验的估计”。扩散模型提供条件分布建模能力，T1/FLAIR 提供空间结构和组织边界先验，LR-DMI 与退化一致性保证重建结果不偏离真实观测，代谢定量 loss 保证 ROI 和代谢比值不被视觉质量优化破坏。</w:t>
      </w:r>
    </w:p>
    <w:p>
      <w:pPr>
        <w:pStyle w:val="Heading2"/>
        <w:spacing w:before="120" w:after="120" w:line="259" w:lineRule="auto"/>
      </w:pPr>
      <w:r/>
      <w:r>
        <w:rPr>
          <w:rFonts w:ascii="Arial" w:hAnsi="Arial" w:eastAsia="Noto Sans CJK SC"/>
          <w:b/>
          <w:color w:val="000000"/>
          <w:sz w:val="26"/>
        </w:rPr>
        <w:t>5.4 网络结构：文字版结构图</w:t>
      </w:r>
    </w:p>
    <w:p>
      <w:pPr>
        <w:spacing w:before="0" w:after="80" w:line="259" w:lineRule="auto"/>
        <w:ind w:firstLine="420"/>
      </w:pPr>
      <w:r>
        <w:rPr>
          <w:rFonts w:ascii="Arial" w:hAnsi="Arial" w:eastAsia="Noto Sans CJK SC"/>
          <w:b w:val="0"/>
          <w:sz w:val="21"/>
        </w:rPr>
        <w:t>整体结构可以描述为四个分支和一个扩散主干：</w:t>
      </w:r>
    </w:p>
    <w:p>
      <w:pPr>
        <w:spacing w:before="0" w:after="40" w:line="252" w:lineRule="auto"/>
        <w:ind w:left="360" w:hanging="360"/>
      </w:pPr>
      <w:r>
        <w:rPr>
          <w:rFonts w:ascii="Arial" w:hAnsi="Arial" w:eastAsia="Noto Sans CJK SC"/>
          <w:sz w:val="20"/>
        </w:rPr>
        <w:t>1.  LR-DMI 观测分支：输入低分辨率代谢图 y_LR，先经过物理感知上采样 U(y_LR)，再进入 metabolic encoder，输出多尺度代谢条件特征。该分支代表真实观测，是最强条件。</w:t>
      </w:r>
    </w:p>
    <w:p>
      <w:pPr>
        <w:spacing w:before="0" w:after="40" w:line="252" w:lineRule="auto"/>
        <w:ind w:left="360" w:hanging="360"/>
      </w:pPr>
      <w:r>
        <w:rPr>
          <w:rFonts w:ascii="Arial" w:hAnsi="Arial" w:eastAsia="Noto Sans CJK SC"/>
          <w:sz w:val="20"/>
        </w:rPr>
        <w:t>2.  结构模态分支：输入配准后的 T1 与可选 FLAIR，经 structure encoder 提取组织边界、低频结构和多尺度特征。该分支只通过 gated cross-attention 或 FiLM 注入，不直接决定代谢强度。</w:t>
      </w:r>
    </w:p>
    <w:p>
      <w:pPr>
        <w:spacing w:before="0" w:after="40" w:line="252" w:lineRule="auto"/>
        <w:ind w:left="360" w:hanging="360"/>
      </w:pPr>
      <w:r>
        <w:rPr>
          <w:rFonts w:ascii="Arial" w:hAnsi="Arial" w:eastAsia="Noto Sans CJK SC"/>
          <w:sz w:val="20"/>
        </w:rPr>
        <w:t>3.  代谢物类别分支：将 Glc、Lac、Glx、Lipid 等类别从 one-hot spatial map 升级为 metabolite embedding，并通过 adaptive normalization/FiLM 调制 UNet block。这样类别条件不会只依赖空间卷积通道。</w:t>
      </w:r>
    </w:p>
    <w:p>
      <w:pPr>
        <w:spacing w:before="0" w:after="40" w:line="252" w:lineRule="auto"/>
        <w:ind w:left="360" w:hanging="360"/>
      </w:pPr>
      <w:r>
        <w:rPr>
          <w:rFonts w:ascii="Arial" w:hAnsi="Arial" w:eastAsia="Noto Sans CJK SC"/>
          <w:sz w:val="20"/>
        </w:rPr>
        <w:t>4.  不确定性/质量分支：可选输入 LR-DMI SNR map、谱拟合残差或 mask，输出 uncertainty prior；若没有真实 SNR，可由多次采样方差替代。</w:t>
      </w:r>
    </w:p>
    <w:p>
      <w:pPr>
        <w:spacing w:before="0" w:after="40" w:line="252" w:lineRule="auto"/>
        <w:ind w:left="360" w:hanging="360"/>
      </w:pPr>
      <w:r>
        <w:rPr>
          <w:rFonts w:ascii="Arial" w:hAnsi="Arial" w:eastAsia="Noto Sans CJK SC"/>
          <w:sz w:val="20"/>
        </w:rPr>
        <w:t>5.  扩散 UNet 主干：训练阶段仍预测 epsilon 或 v；同时从预测噪声恢复 x0_hat，并对 x0_hat 施加定量一致性、退化一致性和结构防泄漏约束。推荐采用 residual formulation：x0_hat = U(y_LR) + r_hat。</w:t>
      </w:r>
    </w:p>
    <w:p>
      <w:pPr>
        <w:spacing w:before="0" w:after="80" w:line="259" w:lineRule="auto"/>
        <w:ind w:firstLine="420"/>
      </w:pPr>
      <w:r>
        <w:rPr>
          <w:rFonts w:ascii="Arial" w:hAnsi="Arial" w:eastAsia="Noto Sans CJK SC"/>
          <w:b w:val="0"/>
          <w:sz w:val="21"/>
        </w:rPr>
        <w:t>推荐 conditioning 方式：LR-DMI 用独立 encoder + concat/FiLM 进入多尺度 UNet；T1/FLAIR 用 structure encoder + gated cross-attention 进入 decoder 中低分辨率层；metabolite embedding 用 FiLM/adaptive norm 进入全部或部分 ResBlock；mask 不作为普通纹理通道，而是用于 loss、指标和可选 attention gating。</w:t>
      </w:r>
    </w:p>
    <w:p>
      <w:pPr>
        <w:spacing w:before="0" w:after="80" w:line="259" w:lineRule="auto"/>
        <w:ind w:firstLine="420"/>
      </w:pPr>
      <w:r>
        <w:rPr>
          <w:rFonts w:ascii="Arial" w:hAnsi="Arial" w:eastAsia="Noto Sans CJK SC"/>
          <w:b w:val="0"/>
          <w:sz w:val="21"/>
        </w:rPr>
        <w:t>是否预测 HR、残差还是 score/noise：扩散主目标仍预测 noise/score，以保持与 SR3 框架兼容；但最终图像以 residual HR 形式解释，即 x0_hat = U(y_LR) + r_hat。论文中可表述为“diffusion prior learns the conditional residual distribution under anatomical and metabolic constraints”。</w:t>
      </w:r>
    </w:p>
    <w:p>
      <w:pPr>
        <w:pStyle w:val="Heading2"/>
        <w:spacing w:before="120" w:after="120" w:line="259" w:lineRule="auto"/>
      </w:pPr>
      <w:r/>
      <w:r>
        <w:rPr>
          <w:rFonts w:ascii="Arial" w:hAnsi="Arial" w:eastAsia="Noto Sans CJK SC"/>
          <w:b/>
          <w:color w:val="000000"/>
          <w:sz w:val="26"/>
        </w:rPr>
        <w:t>5.5 训练与推理流程</w:t>
      </w:r>
    </w:p>
    <w:p>
      <w:pPr>
        <w:spacing w:before="0" w:after="80" w:line="259" w:lineRule="auto"/>
        <w:ind w:firstLine="420"/>
      </w:pPr>
      <w:r>
        <w:rPr>
          <w:rFonts w:ascii="Arial" w:hAnsi="Arial" w:eastAsia="Noto Sans CJK SC"/>
          <w:b w:val="0"/>
          <w:sz w:val="21"/>
        </w:rPr>
        <w:t>训练建议分三阶段，但不要求一次性全部实现。</w:t>
      </w:r>
    </w:p>
    <w:p>
      <w:pPr>
        <w:spacing w:before="0" w:after="40" w:line="252" w:lineRule="auto"/>
        <w:ind w:left="360" w:hanging="360"/>
      </w:pPr>
      <w:r>
        <w:rPr>
          <w:rFonts w:ascii="Arial" w:hAnsi="Arial" w:eastAsia="Noto Sans CJK SC"/>
          <w:sz w:val="20"/>
        </w:rPr>
        <w:t>1.  阶段 1：确定性残差预热。用较轻量的 SR UNet 或当前 diffusion UNet 的 x0_hat 辅助头学习 U(y_LR) 到 HR 的残差，主要优化 pixel、ROI、degradation 和 frequency loss。目的不是追求最终效果，而是让网络先理解 LR 与 HR 的基本映射。</w:t>
      </w:r>
    </w:p>
    <w:p>
      <w:pPr>
        <w:spacing w:before="0" w:after="40" w:line="252" w:lineRule="auto"/>
        <w:ind w:left="360" w:hanging="360"/>
      </w:pPr>
      <w:r>
        <w:rPr>
          <w:rFonts w:ascii="Arial" w:hAnsi="Arial" w:eastAsia="Noto Sans CJK SC"/>
          <w:sz w:val="20"/>
        </w:rPr>
        <w:t>2.  阶段 2：条件扩散主训练。以 HR-DMI 为 x0，加噪得到 x_t，输入条件 c = {y_LR, T1, FLAIR, metabolite, mask}，预测 epsilon。除 L_diff 外，从 epsilon 恢复 x0_hat，叠加医学定量 loss。使用 condition dropout，使模型不会只依赖 T1 纹理。</w:t>
      </w:r>
    </w:p>
    <w:p>
      <w:pPr>
        <w:spacing w:before="0" w:after="40" w:line="252" w:lineRule="auto"/>
        <w:ind w:left="360" w:hanging="360"/>
      </w:pPr>
      <w:r>
        <w:rPr>
          <w:rFonts w:ascii="Arial" w:hAnsi="Arial" w:eastAsia="Noto Sans CJK SC"/>
          <w:sz w:val="20"/>
        </w:rPr>
        <w:t>3.  阶段 3：可靠性与效率优化。采用 EMA 权重、DDIM 20-50 步采样、多次采样估计 uncertainty。若主方案稳定，再尝试 partial diffusion 或 distillation，将推理步数降到 5-10 步，并验证定量指标是否退化。</w:t>
      </w:r>
    </w:p>
    <w:p>
      <w:pPr>
        <w:spacing w:before="0" w:after="80" w:line="259" w:lineRule="auto"/>
        <w:ind w:firstLine="420"/>
      </w:pPr>
      <w:r>
        <w:rPr>
          <w:rFonts w:ascii="Arial" w:hAnsi="Arial" w:eastAsia="Noto Sans CJK SC"/>
          <w:b w:val="0"/>
          <w:sz w:val="21"/>
        </w:rPr>
        <w:t>推理流程：输入 LR-DMI、T1、FLAIR、metabolite id 与 mask；初始化噪声或从 U(y_LR) 周围初始化；DDIM 采样得到多个 SR 样本；输出均值图作为重建结果，方差图作为不确定性图；同时计算 D(x_hat) 与 y_LR 的一致性残差，标注不可信区域。</w:t>
      </w:r>
    </w:p>
    <w:p>
      <w:pPr>
        <w:pStyle w:val="Heading2"/>
        <w:spacing w:before="120" w:after="120" w:line="259" w:lineRule="auto"/>
      </w:pPr>
      <w:r/>
      <w:r>
        <w:rPr>
          <w:rFonts w:ascii="Arial" w:hAnsi="Arial" w:eastAsia="Noto Sans CJK SC"/>
          <w:b/>
          <w:color w:val="000000"/>
          <w:sz w:val="26"/>
        </w:rPr>
        <w:t>5.6 损失函数设计</w:t>
      </w:r>
    </w:p>
    <w:p>
      <w:pPr>
        <w:spacing w:before="0" w:after="80" w:line="259" w:lineRule="auto"/>
        <w:ind w:firstLine="420"/>
      </w:pPr>
      <w:r>
        <w:rPr>
          <w:rFonts w:ascii="Arial" w:hAnsi="Arial" w:eastAsia="Noto Sans CJK SC"/>
          <w:b w:val="0"/>
          <w:sz w:val="21"/>
        </w:rPr>
        <w:t>总损失建议写为：L = λd Ldiff + λx Lx0 + λroi Lroi + λratio Lratio + λdeg Ldeg + λgrad Lgrad + λfreq Lfreq + λalign Lalign + λunc Lunc。实际训练时不建议一次性打开所有项，应先从 Ldiff + Lx0 + Ldeg + Lroi 开始，再逐步加入其余约束。</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vAlign w:val="top"/>
            <w:shd w:fill="1F4E79"/>
          </w:tcPr>
          <w:p>
            <w:pPr>
              <w:spacing w:before="0" w:after="0" w:line="240" w:lineRule="auto"/>
            </w:pPr>
            <w:r/>
            <w:r>
              <w:rPr>
                <w:rFonts w:ascii="Arial" w:hAnsi="Arial" w:eastAsia="Noto Sans CJK SC"/>
                <w:b/>
                <w:color w:val="FFFFFF"/>
                <w:sz w:val="15"/>
              </w:rPr>
              <w:t>Loss</w:t>
            </w:r>
          </w:p>
        </w:tc>
        <w:tc>
          <w:tcPr>
            <w:tcW w:type="dxa" w:w="2040"/>
            <w:vAlign w:val="top"/>
            <w:shd w:fill="1F4E79"/>
          </w:tcPr>
          <w:p>
            <w:pPr>
              <w:spacing w:before="0" w:after="0" w:line="240" w:lineRule="auto"/>
            </w:pPr>
            <w:r/>
            <w:r>
              <w:rPr>
                <w:rFonts w:ascii="Arial" w:hAnsi="Arial" w:eastAsia="Noto Sans CJK SC"/>
                <w:b/>
                <w:color w:val="FFFFFF"/>
                <w:sz w:val="15"/>
              </w:rPr>
              <w:t>公式</w:t>
            </w:r>
          </w:p>
        </w:tc>
        <w:tc>
          <w:tcPr>
            <w:tcW w:type="dxa" w:w="2040"/>
            <w:vAlign w:val="top"/>
            <w:shd w:fill="1F4E79"/>
          </w:tcPr>
          <w:p>
            <w:pPr>
              <w:spacing w:before="0" w:after="0" w:line="240" w:lineRule="auto"/>
            </w:pPr>
            <w:r/>
            <w:r>
              <w:rPr>
                <w:rFonts w:ascii="Arial" w:hAnsi="Arial" w:eastAsia="Noto Sans CJK SC"/>
                <w:b/>
                <w:color w:val="FFFFFF"/>
                <w:sz w:val="15"/>
              </w:rPr>
              <w:t>作用</w:t>
            </w:r>
          </w:p>
        </w:tc>
        <w:tc>
          <w:tcPr>
            <w:tcW w:type="dxa" w:w="2040"/>
            <w:vAlign w:val="top"/>
            <w:shd w:fill="1F4E79"/>
          </w:tcPr>
          <w:p>
            <w:pPr>
              <w:spacing w:before="0" w:after="0" w:line="240" w:lineRule="auto"/>
            </w:pPr>
            <w:r/>
            <w:r>
              <w:rPr>
                <w:rFonts w:ascii="Arial" w:hAnsi="Arial" w:eastAsia="Noto Sans CJK SC"/>
                <w:b/>
                <w:color w:val="FFFFFF"/>
                <w:sz w:val="15"/>
              </w:rPr>
              <w:t>建议权重</w:t>
            </w:r>
          </w:p>
        </w:tc>
        <w:tc>
          <w:tcPr>
            <w:tcW w:type="dxa" w:w="2040"/>
            <w:vAlign w:val="top"/>
            <w:shd w:fill="1F4E79"/>
          </w:tcPr>
          <w:p>
            <w:pPr>
              <w:spacing w:before="0" w:after="0" w:line="240" w:lineRule="auto"/>
            </w:pPr>
            <w:r/>
            <w:r>
              <w:rPr>
                <w:rFonts w:ascii="Arial" w:hAnsi="Arial" w:eastAsia="Noto Sans CJK SC"/>
                <w:b/>
                <w:color w:val="FFFFFF"/>
                <w:sz w:val="15"/>
              </w:rPr>
              <w:t>风险</w:t>
            </w:r>
          </w:p>
        </w:tc>
      </w:tr>
      <w:tr>
        <w:tc>
          <w:tcPr>
            <w:tcW w:type="dxa" w:w="2040"/>
            <w:vAlign w:val="top"/>
          </w:tcPr>
          <w:p>
            <w:pPr>
              <w:spacing w:before="0" w:after="0" w:line="240" w:lineRule="auto"/>
            </w:pPr>
            <w:r/>
            <w:r>
              <w:rPr>
                <w:rFonts w:ascii="Arial" w:hAnsi="Arial" w:eastAsia="Noto Sans CJK SC"/>
                <w:b w:val="0"/>
                <w:sz w:val="15"/>
              </w:rPr>
              <w:t>Diffusion noise loss</w:t>
            </w:r>
          </w:p>
        </w:tc>
        <w:tc>
          <w:tcPr>
            <w:tcW w:type="dxa" w:w="2040"/>
            <w:vAlign w:val="top"/>
          </w:tcPr>
          <w:p>
            <w:pPr>
              <w:spacing w:before="0" w:after="0" w:line="240" w:lineRule="auto"/>
            </w:pPr>
            <w:r/>
            <w:r>
              <w:rPr>
                <w:rFonts w:ascii="Arial" w:hAnsi="Arial" w:eastAsia="Noto Sans CJK SC"/>
                <w:b w:val="0"/>
                <w:sz w:val="15"/>
              </w:rPr>
              <w:t>Ldiff = E[||epsilon - epsilon_theta(x_t,t,c)||_1 或 L2]</w:t>
            </w:r>
          </w:p>
        </w:tc>
        <w:tc>
          <w:tcPr>
            <w:tcW w:type="dxa" w:w="2040"/>
            <w:vAlign w:val="top"/>
          </w:tcPr>
          <w:p>
            <w:pPr>
              <w:spacing w:before="0" w:after="0" w:line="240" w:lineRule="auto"/>
            </w:pPr>
            <w:r/>
            <w:r>
              <w:rPr>
                <w:rFonts w:ascii="Arial" w:hAnsi="Arial" w:eastAsia="Noto Sans CJK SC"/>
                <w:b w:val="0"/>
                <w:sz w:val="15"/>
              </w:rPr>
              <w:t>保持 SR3/DDPM 训练主目标，学习条件后验去噪</w:t>
            </w:r>
          </w:p>
        </w:tc>
        <w:tc>
          <w:tcPr>
            <w:tcW w:type="dxa" w:w="2040"/>
            <w:vAlign w:val="top"/>
          </w:tcPr>
          <w:p>
            <w:pPr>
              <w:spacing w:before="0" w:after="0" w:line="240" w:lineRule="auto"/>
            </w:pPr>
            <w:r/>
            <w:r>
              <w:rPr>
                <w:rFonts w:ascii="Arial" w:hAnsi="Arial" w:eastAsia="Noto Sans CJK SC"/>
                <w:b w:val="0"/>
                <w:sz w:val="15"/>
              </w:rPr>
              <w:t>1.0</w:t>
            </w:r>
          </w:p>
        </w:tc>
        <w:tc>
          <w:tcPr>
            <w:tcW w:type="dxa" w:w="2040"/>
            <w:vAlign w:val="top"/>
          </w:tcPr>
          <w:p>
            <w:pPr>
              <w:spacing w:before="0" w:after="0" w:line="240" w:lineRule="auto"/>
            </w:pPr>
            <w:r/>
            <w:r>
              <w:rPr>
                <w:rFonts w:ascii="Arial" w:hAnsi="Arial" w:eastAsia="Noto Sans CJK SC"/>
                <w:b w:val="0"/>
                <w:sz w:val="15"/>
              </w:rPr>
              <w:t>只优化噪声可能无法保证代谢定量</w:t>
            </w:r>
          </w:p>
        </w:tc>
      </w:tr>
      <w:tr>
        <w:tc>
          <w:tcPr>
            <w:tcW w:type="dxa" w:w="2040"/>
            <w:vAlign w:val="top"/>
          </w:tcPr>
          <w:p>
            <w:pPr>
              <w:spacing w:before="0" w:after="0" w:line="240" w:lineRule="auto"/>
            </w:pPr>
            <w:r/>
            <w:r>
              <w:rPr>
                <w:rFonts w:ascii="Arial" w:hAnsi="Arial" w:eastAsia="Noto Sans CJK SC"/>
                <w:b w:val="0"/>
                <w:sz w:val="15"/>
              </w:rPr>
              <w:t>Pixel reconstruction loss</w:t>
            </w:r>
          </w:p>
        </w:tc>
        <w:tc>
          <w:tcPr>
            <w:tcW w:type="dxa" w:w="2040"/>
            <w:vAlign w:val="top"/>
          </w:tcPr>
          <w:p>
            <w:pPr>
              <w:spacing w:before="0" w:after="0" w:line="240" w:lineRule="auto"/>
            </w:pPr>
            <w:r/>
            <w:r>
              <w:rPr>
                <w:rFonts w:ascii="Arial" w:hAnsi="Arial" w:eastAsia="Noto Sans CJK SC"/>
                <w:b w:val="0"/>
                <w:sz w:val="15"/>
              </w:rPr>
              <w:t>Lx0 = ||M ⊙ (x0_hat - x0)||_1 / |M|</w:t>
            </w:r>
          </w:p>
        </w:tc>
        <w:tc>
          <w:tcPr>
            <w:tcW w:type="dxa" w:w="2040"/>
            <w:vAlign w:val="top"/>
          </w:tcPr>
          <w:p>
            <w:pPr>
              <w:spacing w:before="0" w:after="0" w:line="240" w:lineRule="auto"/>
            </w:pPr>
            <w:r/>
            <w:r>
              <w:rPr>
                <w:rFonts w:ascii="Arial" w:hAnsi="Arial" w:eastAsia="Noto Sans CJK SC"/>
                <w:b w:val="0"/>
                <w:sz w:val="15"/>
              </w:rPr>
              <w:t>约束最终 HR-DMI 数值，防止只在噪声空间变好</w:t>
            </w:r>
          </w:p>
        </w:tc>
        <w:tc>
          <w:tcPr>
            <w:tcW w:type="dxa" w:w="2040"/>
            <w:vAlign w:val="top"/>
          </w:tcPr>
          <w:p>
            <w:pPr>
              <w:spacing w:before="0" w:after="0" w:line="240" w:lineRule="auto"/>
            </w:pPr>
            <w:r/>
            <w:r>
              <w:rPr>
                <w:rFonts w:ascii="Arial" w:hAnsi="Arial" w:eastAsia="Noto Sans CJK SC"/>
                <w:b w:val="0"/>
                <w:sz w:val="15"/>
              </w:rPr>
              <w:t>0.2-0.5</w:t>
            </w:r>
          </w:p>
        </w:tc>
        <w:tc>
          <w:tcPr>
            <w:tcW w:type="dxa" w:w="2040"/>
            <w:vAlign w:val="top"/>
          </w:tcPr>
          <w:p>
            <w:pPr>
              <w:spacing w:before="0" w:after="0" w:line="240" w:lineRule="auto"/>
            </w:pPr>
            <w:r/>
            <w:r>
              <w:rPr>
                <w:rFonts w:ascii="Arial" w:hAnsi="Arial" w:eastAsia="Noto Sans CJK SC"/>
                <w:b w:val="0"/>
                <w:sz w:val="15"/>
              </w:rPr>
              <w:t>过大可能导致过平滑</w:t>
            </w:r>
          </w:p>
        </w:tc>
      </w:tr>
      <w:tr>
        <w:tc>
          <w:tcPr>
            <w:tcW w:type="dxa" w:w="2040"/>
            <w:vAlign w:val="top"/>
          </w:tcPr>
          <w:p>
            <w:pPr>
              <w:spacing w:before="0" w:after="0" w:line="240" w:lineRule="auto"/>
            </w:pPr>
            <w:r/>
            <w:r>
              <w:rPr>
                <w:rFonts w:ascii="Arial" w:hAnsi="Arial" w:eastAsia="Noto Sans CJK SC"/>
                <w:b w:val="0"/>
                <w:sz w:val="15"/>
              </w:rPr>
              <w:t>ROI metabolic consistency</w:t>
            </w:r>
          </w:p>
        </w:tc>
        <w:tc>
          <w:tcPr>
            <w:tcW w:type="dxa" w:w="2040"/>
            <w:vAlign w:val="top"/>
          </w:tcPr>
          <w:p>
            <w:pPr>
              <w:spacing w:before="0" w:after="0" w:line="240" w:lineRule="auto"/>
            </w:pPr>
            <w:r/>
            <w:r>
              <w:rPr>
                <w:rFonts w:ascii="Arial" w:hAnsi="Arial" w:eastAsia="Noto Sans CJK SC"/>
                <w:b w:val="0"/>
                <w:sz w:val="15"/>
              </w:rPr>
              <w:t>Lroi = Σk |mean_Rk(x0_hat)-mean_Rk(x0)| / (|mean_Rk(x0)|+δ)</w:t>
            </w:r>
          </w:p>
        </w:tc>
        <w:tc>
          <w:tcPr>
            <w:tcW w:type="dxa" w:w="2040"/>
            <w:vAlign w:val="top"/>
          </w:tcPr>
          <w:p>
            <w:pPr>
              <w:spacing w:before="0" w:after="0" w:line="240" w:lineRule="auto"/>
            </w:pPr>
            <w:r/>
            <w:r>
              <w:rPr>
                <w:rFonts w:ascii="Arial" w:hAnsi="Arial" w:eastAsia="Noto Sans CJK SC"/>
                <w:b w:val="0"/>
                <w:sz w:val="15"/>
              </w:rPr>
              <w:t>保证脑区/组织/病灶 ROI 的平均浓度一致</w:t>
            </w:r>
          </w:p>
        </w:tc>
        <w:tc>
          <w:tcPr>
            <w:tcW w:type="dxa" w:w="2040"/>
            <w:vAlign w:val="top"/>
          </w:tcPr>
          <w:p>
            <w:pPr>
              <w:spacing w:before="0" w:after="0" w:line="240" w:lineRule="auto"/>
            </w:pPr>
            <w:r/>
            <w:r>
              <w:rPr>
                <w:rFonts w:ascii="Arial" w:hAnsi="Arial" w:eastAsia="Noto Sans CJK SC"/>
                <w:b w:val="0"/>
                <w:sz w:val="15"/>
              </w:rPr>
              <w:t>0.1-0.5</w:t>
            </w:r>
          </w:p>
        </w:tc>
        <w:tc>
          <w:tcPr>
            <w:tcW w:type="dxa" w:w="2040"/>
            <w:vAlign w:val="top"/>
          </w:tcPr>
          <w:p>
            <w:pPr>
              <w:spacing w:before="0" w:after="0" w:line="240" w:lineRule="auto"/>
            </w:pPr>
            <w:r/>
            <w:r>
              <w:rPr>
                <w:rFonts w:ascii="Arial" w:hAnsi="Arial" w:eastAsia="Noto Sans CJK SC"/>
                <w:b w:val="0"/>
                <w:sz w:val="15"/>
              </w:rPr>
              <w:t>ROI 不准会引入错误监督</w:t>
            </w:r>
          </w:p>
        </w:tc>
      </w:tr>
      <w:tr>
        <w:tc>
          <w:tcPr>
            <w:tcW w:type="dxa" w:w="2040"/>
            <w:vAlign w:val="top"/>
          </w:tcPr>
          <w:p>
            <w:pPr>
              <w:spacing w:before="0" w:after="0" w:line="240" w:lineRule="auto"/>
            </w:pPr>
            <w:r/>
            <w:r>
              <w:rPr>
                <w:rFonts w:ascii="Arial" w:hAnsi="Arial" w:eastAsia="Noto Sans CJK SC"/>
                <w:b w:val="0"/>
                <w:sz w:val="15"/>
              </w:rPr>
              <w:t>Metabolite ratio loss</w:t>
            </w:r>
          </w:p>
        </w:tc>
        <w:tc>
          <w:tcPr>
            <w:tcW w:type="dxa" w:w="2040"/>
            <w:vAlign w:val="top"/>
          </w:tcPr>
          <w:p>
            <w:pPr>
              <w:spacing w:before="0" w:after="0" w:line="240" w:lineRule="auto"/>
            </w:pPr>
            <w:r/>
            <w:r>
              <w:rPr>
                <w:rFonts w:ascii="Arial" w:hAnsi="Arial" w:eastAsia="Noto Sans CJK SC"/>
                <w:b w:val="0"/>
                <w:sz w:val="15"/>
              </w:rPr>
              <w:t>Lratio = Σk |ratio_k(x0_hat)-ratio_k(x0)| / (|ratio_k(x0)|+δ)</w:t>
            </w:r>
          </w:p>
        </w:tc>
        <w:tc>
          <w:tcPr>
            <w:tcW w:type="dxa" w:w="2040"/>
            <w:vAlign w:val="top"/>
          </w:tcPr>
          <w:p>
            <w:pPr>
              <w:spacing w:before="0" w:after="0" w:line="240" w:lineRule="auto"/>
            </w:pPr>
            <w:r/>
            <w:r>
              <w:rPr>
                <w:rFonts w:ascii="Arial" w:hAnsi="Arial" w:eastAsia="Noto Sans CJK SC"/>
                <w:b w:val="0"/>
                <w:sz w:val="15"/>
              </w:rPr>
              <w:t>约束 Lac/Glc、Glx/Glc 等代谢比值</w:t>
            </w:r>
          </w:p>
        </w:tc>
        <w:tc>
          <w:tcPr>
            <w:tcW w:type="dxa" w:w="2040"/>
            <w:vAlign w:val="top"/>
          </w:tcPr>
          <w:p>
            <w:pPr>
              <w:spacing w:before="0" w:after="0" w:line="240" w:lineRule="auto"/>
            </w:pPr>
            <w:r/>
            <w:r>
              <w:rPr>
                <w:rFonts w:ascii="Arial" w:hAnsi="Arial" w:eastAsia="Noto Sans CJK SC"/>
                <w:b w:val="0"/>
                <w:sz w:val="15"/>
              </w:rPr>
              <w:t>0.05-0.2</w:t>
            </w:r>
          </w:p>
        </w:tc>
        <w:tc>
          <w:tcPr>
            <w:tcW w:type="dxa" w:w="2040"/>
            <w:vAlign w:val="top"/>
          </w:tcPr>
          <w:p>
            <w:pPr>
              <w:spacing w:before="0" w:after="0" w:line="240" w:lineRule="auto"/>
            </w:pPr>
            <w:r/>
            <w:r>
              <w:rPr>
                <w:rFonts w:ascii="Arial" w:hAnsi="Arial" w:eastAsia="Noto Sans CJK SC"/>
                <w:b w:val="0"/>
                <w:sz w:val="15"/>
              </w:rPr>
              <w:t>分母很小时需截断或加 δ</w:t>
            </w:r>
          </w:p>
        </w:tc>
      </w:tr>
      <w:tr>
        <w:tc>
          <w:tcPr>
            <w:tcW w:type="dxa" w:w="2040"/>
            <w:vAlign w:val="top"/>
          </w:tcPr>
          <w:p>
            <w:pPr>
              <w:spacing w:before="0" w:after="0" w:line="240" w:lineRule="auto"/>
            </w:pPr>
            <w:r/>
            <w:r>
              <w:rPr>
                <w:rFonts w:ascii="Arial" w:hAnsi="Arial" w:eastAsia="Noto Sans CJK SC"/>
                <w:b w:val="0"/>
                <w:sz w:val="15"/>
              </w:rPr>
              <w:t>Degradation consistency</w:t>
            </w:r>
          </w:p>
        </w:tc>
        <w:tc>
          <w:tcPr>
            <w:tcW w:type="dxa" w:w="2040"/>
            <w:vAlign w:val="top"/>
          </w:tcPr>
          <w:p>
            <w:pPr>
              <w:spacing w:before="0" w:after="0" w:line="240" w:lineRule="auto"/>
            </w:pPr>
            <w:r/>
            <w:r>
              <w:rPr>
                <w:rFonts w:ascii="Arial" w:hAnsi="Arial" w:eastAsia="Noto Sans CJK SC"/>
                <w:b w:val="0"/>
                <w:sz w:val="15"/>
              </w:rPr>
              <w:t>Ldeg = ||D(x0_hat)-y_LR||_1</w:t>
            </w:r>
          </w:p>
        </w:tc>
        <w:tc>
          <w:tcPr>
            <w:tcW w:type="dxa" w:w="2040"/>
            <w:vAlign w:val="top"/>
          </w:tcPr>
          <w:p>
            <w:pPr>
              <w:spacing w:before="0" w:after="0" w:line="240" w:lineRule="auto"/>
            </w:pPr>
            <w:r/>
            <w:r>
              <w:rPr>
                <w:rFonts w:ascii="Arial" w:hAnsi="Arial" w:eastAsia="Noto Sans CJK SC"/>
                <w:b w:val="0"/>
                <w:sz w:val="15"/>
              </w:rPr>
              <w:t>确保 SR 退化回 LR 后与真实观测一致</w:t>
            </w:r>
          </w:p>
        </w:tc>
        <w:tc>
          <w:tcPr>
            <w:tcW w:type="dxa" w:w="2040"/>
            <w:vAlign w:val="top"/>
          </w:tcPr>
          <w:p>
            <w:pPr>
              <w:spacing w:before="0" w:after="0" w:line="240" w:lineRule="auto"/>
            </w:pPr>
            <w:r/>
            <w:r>
              <w:rPr>
                <w:rFonts w:ascii="Arial" w:hAnsi="Arial" w:eastAsia="Noto Sans CJK SC"/>
                <w:b w:val="0"/>
                <w:sz w:val="15"/>
              </w:rPr>
              <w:t>0.2-1.0</w:t>
            </w:r>
          </w:p>
        </w:tc>
        <w:tc>
          <w:tcPr>
            <w:tcW w:type="dxa" w:w="2040"/>
            <w:vAlign w:val="top"/>
          </w:tcPr>
          <w:p>
            <w:pPr>
              <w:spacing w:before="0" w:after="0" w:line="240" w:lineRule="auto"/>
            </w:pPr>
            <w:r/>
            <w:r>
              <w:rPr>
                <w:rFonts w:ascii="Arial" w:hAnsi="Arial" w:eastAsia="Noto Sans CJK SC"/>
                <w:b w:val="0"/>
                <w:sz w:val="15"/>
              </w:rPr>
              <w:t>D 不准确时过强约束会抑制真实细节</w:t>
            </w:r>
          </w:p>
        </w:tc>
      </w:tr>
      <w:tr>
        <w:tc>
          <w:tcPr>
            <w:tcW w:type="dxa" w:w="2040"/>
            <w:vAlign w:val="top"/>
          </w:tcPr>
          <w:p>
            <w:pPr>
              <w:spacing w:before="0" w:after="0" w:line="240" w:lineRule="auto"/>
            </w:pPr>
            <w:r/>
            <w:r>
              <w:rPr>
                <w:rFonts w:ascii="Arial" w:hAnsi="Arial" w:eastAsia="Noto Sans CJK SC"/>
                <w:b w:val="0"/>
                <w:sz w:val="15"/>
              </w:rPr>
              <w:t>Gradient/edge loss</w:t>
            </w:r>
          </w:p>
        </w:tc>
        <w:tc>
          <w:tcPr>
            <w:tcW w:type="dxa" w:w="2040"/>
            <w:vAlign w:val="top"/>
          </w:tcPr>
          <w:p>
            <w:pPr>
              <w:spacing w:before="0" w:after="0" w:line="240" w:lineRule="auto"/>
            </w:pPr>
            <w:r/>
            <w:r>
              <w:rPr>
                <w:rFonts w:ascii="Arial" w:hAnsi="Arial" w:eastAsia="Noto Sans CJK SC"/>
                <w:b w:val="0"/>
                <w:sz w:val="15"/>
              </w:rPr>
              <w:t>Lgrad = ||M ⊙ w_s ⊙ (∇x0_hat-∇x0)||_1</w:t>
            </w:r>
          </w:p>
        </w:tc>
        <w:tc>
          <w:tcPr>
            <w:tcW w:type="dxa" w:w="2040"/>
            <w:vAlign w:val="top"/>
          </w:tcPr>
          <w:p>
            <w:pPr>
              <w:spacing w:before="0" w:after="0" w:line="240" w:lineRule="auto"/>
            </w:pPr>
            <w:r/>
            <w:r>
              <w:rPr>
                <w:rFonts w:ascii="Arial" w:hAnsi="Arial" w:eastAsia="Noto Sans CJK SC"/>
                <w:b w:val="0"/>
                <w:sz w:val="15"/>
              </w:rPr>
              <w:t>改善边界和局部变化，但由代谢标签监督</w:t>
            </w:r>
          </w:p>
        </w:tc>
        <w:tc>
          <w:tcPr>
            <w:tcW w:type="dxa" w:w="2040"/>
            <w:vAlign w:val="top"/>
          </w:tcPr>
          <w:p>
            <w:pPr>
              <w:spacing w:before="0" w:after="0" w:line="240" w:lineRule="auto"/>
            </w:pPr>
            <w:r/>
            <w:r>
              <w:rPr>
                <w:rFonts w:ascii="Arial" w:hAnsi="Arial" w:eastAsia="Noto Sans CJK SC"/>
                <w:b w:val="0"/>
                <w:sz w:val="15"/>
              </w:rPr>
              <w:t>0.05-0.2</w:t>
            </w:r>
          </w:p>
        </w:tc>
        <w:tc>
          <w:tcPr>
            <w:tcW w:type="dxa" w:w="2040"/>
            <w:vAlign w:val="top"/>
          </w:tcPr>
          <w:p>
            <w:pPr>
              <w:spacing w:before="0" w:after="0" w:line="240" w:lineRule="auto"/>
            </w:pPr>
            <w:r/>
            <w:r>
              <w:rPr>
                <w:rFonts w:ascii="Arial" w:hAnsi="Arial" w:eastAsia="Noto Sans CJK SC"/>
                <w:b w:val="0"/>
                <w:sz w:val="15"/>
              </w:rPr>
              <w:t>不能让 T1 edge 直接替代 DMI edge</w:t>
            </w:r>
          </w:p>
        </w:tc>
      </w:tr>
      <w:tr>
        <w:tc>
          <w:tcPr>
            <w:tcW w:type="dxa" w:w="2040"/>
            <w:vAlign w:val="top"/>
          </w:tcPr>
          <w:p>
            <w:pPr>
              <w:spacing w:before="0" w:after="0" w:line="240" w:lineRule="auto"/>
            </w:pPr>
            <w:r/>
            <w:r>
              <w:rPr>
                <w:rFonts w:ascii="Arial" w:hAnsi="Arial" w:eastAsia="Noto Sans CJK SC"/>
                <w:b w:val="0"/>
                <w:sz w:val="15"/>
              </w:rPr>
              <w:t>Frequency-domain loss</w:t>
            </w:r>
          </w:p>
        </w:tc>
        <w:tc>
          <w:tcPr>
            <w:tcW w:type="dxa" w:w="2040"/>
            <w:vAlign w:val="top"/>
          </w:tcPr>
          <w:p>
            <w:pPr>
              <w:spacing w:before="0" w:after="0" w:line="240" w:lineRule="auto"/>
            </w:pPr>
            <w:r/>
            <w:r>
              <w:rPr>
                <w:rFonts w:ascii="Arial" w:hAnsi="Arial" w:eastAsia="Noto Sans CJK SC"/>
                <w:b w:val="0"/>
                <w:sz w:val="15"/>
              </w:rPr>
              <w:t>Lfreq = ||Wf ⊙ (|FFT(x0_hat)|-|FFT(x0)|)||_1</w:t>
            </w:r>
          </w:p>
        </w:tc>
        <w:tc>
          <w:tcPr>
            <w:tcW w:type="dxa" w:w="2040"/>
            <w:vAlign w:val="top"/>
          </w:tcPr>
          <w:p>
            <w:pPr>
              <w:spacing w:before="0" w:after="0" w:line="240" w:lineRule="auto"/>
            </w:pPr>
            <w:r/>
            <w:r>
              <w:rPr>
                <w:rFonts w:ascii="Arial" w:hAnsi="Arial" w:eastAsia="Noto Sans CJK SC"/>
                <w:b w:val="0"/>
                <w:sz w:val="15"/>
              </w:rPr>
              <w:t>约束频谱能量和分辨率特征，可与 FRC 对齐</w:t>
            </w:r>
          </w:p>
        </w:tc>
        <w:tc>
          <w:tcPr>
            <w:tcW w:type="dxa" w:w="2040"/>
            <w:vAlign w:val="top"/>
          </w:tcPr>
          <w:p>
            <w:pPr>
              <w:spacing w:before="0" w:after="0" w:line="240" w:lineRule="auto"/>
            </w:pPr>
            <w:r/>
            <w:r>
              <w:rPr>
                <w:rFonts w:ascii="Arial" w:hAnsi="Arial" w:eastAsia="Noto Sans CJK SC"/>
                <w:b w:val="0"/>
                <w:sz w:val="15"/>
              </w:rPr>
              <w:t>0.02-0.1</w:t>
            </w:r>
          </w:p>
        </w:tc>
        <w:tc>
          <w:tcPr>
            <w:tcW w:type="dxa" w:w="2040"/>
            <w:vAlign w:val="top"/>
          </w:tcPr>
          <w:p>
            <w:pPr>
              <w:spacing w:before="0" w:after="0" w:line="240" w:lineRule="auto"/>
            </w:pPr>
            <w:r/>
            <w:r>
              <w:rPr>
                <w:rFonts w:ascii="Arial" w:hAnsi="Arial" w:eastAsia="Noto Sans CJK SC"/>
                <w:b w:val="0"/>
                <w:sz w:val="15"/>
              </w:rPr>
              <w:t>过强会鼓励虚假高频</w:t>
            </w:r>
          </w:p>
        </w:tc>
      </w:tr>
      <w:tr>
        <w:tc>
          <w:tcPr>
            <w:tcW w:type="dxa" w:w="2040"/>
            <w:vAlign w:val="top"/>
          </w:tcPr>
          <w:p>
            <w:pPr>
              <w:spacing w:before="0" w:after="0" w:line="240" w:lineRule="auto"/>
            </w:pPr>
            <w:r/>
            <w:r>
              <w:rPr>
                <w:rFonts w:ascii="Arial" w:hAnsi="Arial" w:eastAsia="Noto Sans CJK SC"/>
                <w:b w:val="0"/>
                <w:sz w:val="15"/>
              </w:rPr>
              <w:t>Anatomy-DMI anti-leakage</w:t>
            </w:r>
          </w:p>
        </w:tc>
        <w:tc>
          <w:tcPr>
            <w:tcW w:type="dxa" w:w="2040"/>
            <w:vAlign w:val="top"/>
          </w:tcPr>
          <w:p>
            <w:pPr>
              <w:spacing w:before="0" w:after="0" w:line="240" w:lineRule="auto"/>
            </w:pPr>
            <w:r/>
            <w:r>
              <w:rPr>
                <w:rFonts w:ascii="Arial" w:hAnsi="Arial" w:eastAsia="Noto Sans CJK SC"/>
                <w:b w:val="0"/>
                <w:sz w:val="15"/>
              </w:rPr>
              <w:t>Lalign = ||(1-P_y) ⊙ E_T1 ⊙ |∇x0_hat|||_1</w:t>
            </w:r>
          </w:p>
        </w:tc>
        <w:tc>
          <w:tcPr>
            <w:tcW w:type="dxa" w:w="2040"/>
            <w:vAlign w:val="top"/>
          </w:tcPr>
          <w:p>
            <w:pPr>
              <w:spacing w:before="0" w:after="0" w:line="240" w:lineRule="auto"/>
            </w:pPr>
            <w:r/>
            <w:r>
              <w:rPr>
                <w:rFonts w:ascii="Arial" w:hAnsi="Arial" w:eastAsia="Noto Sans CJK SC"/>
                <w:b w:val="0"/>
                <w:sz w:val="15"/>
              </w:rPr>
              <w:t>在 LR 代谢支持不足处抑制由 T1 边缘诱导的伪代谢边界</w:t>
            </w:r>
          </w:p>
        </w:tc>
        <w:tc>
          <w:tcPr>
            <w:tcW w:type="dxa" w:w="2040"/>
            <w:vAlign w:val="top"/>
          </w:tcPr>
          <w:p>
            <w:pPr>
              <w:spacing w:before="0" w:after="0" w:line="240" w:lineRule="auto"/>
            </w:pPr>
            <w:r/>
            <w:r>
              <w:rPr>
                <w:rFonts w:ascii="Arial" w:hAnsi="Arial" w:eastAsia="Noto Sans CJK SC"/>
                <w:b w:val="0"/>
                <w:sz w:val="15"/>
              </w:rPr>
              <w:t>0.05-0.15</w:t>
            </w:r>
          </w:p>
        </w:tc>
        <w:tc>
          <w:tcPr>
            <w:tcW w:type="dxa" w:w="2040"/>
            <w:vAlign w:val="top"/>
          </w:tcPr>
          <w:p>
            <w:pPr>
              <w:spacing w:before="0" w:after="0" w:line="240" w:lineRule="auto"/>
            </w:pPr>
            <w:r/>
            <w:r>
              <w:rPr>
                <w:rFonts w:ascii="Arial" w:hAnsi="Arial" w:eastAsia="Noto Sans CJK SC"/>
                <w:b w:val="0"/>
                <w:sz w:val="15"/>
              </w:rPr>
              <w:t>P_y 设计不当会抑制真实小病灶/热点</w:t>
            </w:r>
          </w:p>
        </w:tc>
      </w:tr>
      <w:tr>
        <w:tc>
          <w:tcPr>
            <w:tcW w:type="dxa" w:w="2040"/>
            <w:vAlign w:val="top"/>
          </w:tcPr>
          <w:p>
            <w:pPr>
              <w:spacing w:before="0" w:after="0" w:line="240" w:lineRule="auto"/>
            </w:pPr>
            <w:r/>
            <w:r>
              <w:rPr>
                <w:rFonts w:ascii="Arial" w:hAnsi="Arial" w:eastAsia="Noto Sans CJK SC"/>
                <w:b w:val="0"/>
                <w:sz w:val="15"/>
              </w:rPr>
              <w:t>Uncertainty regularization</w:t>
            </w:r>
          </w:p>
        </w:tc>
        <w:tc>
          <w:tcPr>
            <w:tcW w:type="dxa" w:w="2040"/>
            <w:vAlign w:val="top"/>
          </w:tcPr>
          <w:p>
            <w:pPr>
              <w:spacing w:before="0" w:after="0" w:line="240" w:lineRule="auto"/>
            </w:pPr>
            <w:r/>
            <w:r>
              <w:rPr>
                <w:rFonts w:ascii="Arial" w:hAnsi="Arial" w:eastAsia="Noto Sans CJK SC"/>
                <w:b w:val="0"/>
                <w:sz w:val="15"/>
              </w:rPr>
              <w:t>Lunc = Σ(|e|exp(-s)+s) 或 calibration loss</w:t>
            </w:r>
          </w:p>
        </w:tc>
        <w:tc>
          <w:tcPr>
            <w:tcW w:type="dxa" w:w="2040"/>
            <w:vAlign w:val="top"/>
          </w:tcPr>
          <w:p>
            <w:pPr>
              <w:spacing w:before="0" w:after="0" w:line="240" w:lineRule="auto"/>
            </w:pPr>
            <w:r/>
            <w:r>
              <w:rPr>
                <w:rFonts w:ascii="Arial" w:hAnsi="Arial" w:eastAsia="Noto Sans CJK SC"/>
                <w:b w:val="0"/>
                <w:sz w:val="15"/>
              </w:rPr>
              <w:t>让模型对低 SNR/边界/观测不足区域输出高不确定性</w:t>
            </w:r>
          </w:p>
        </w:tc>
        <w:tc>
          <w:tcPr>
            <w:tcW w:type="dxa" w:w="2040"/>
            <w:vAlign w:val="top"/>
          </w:tcPr>
          <w:p>
            <w:pPr>
              <w:spacing w:before="0" w:after="0" w:line="240" w:lineRule="auto"/>
            </w:pPr>
            <w:r/>
            <w:r>
              <w:rPr>
                <w:rFonts w:ascii="Arial" w:hAnsi="Arial" w:eastAsia="Noto Sans CJK SC"/>
                <w:b w:val="0"/>
                <w:sz w:val="15"/>
              </w:rPr>
              <w:t>0.01-0.05</w:t>
            </w:r>
          </w:p>
        </w:tc>
        <w:tc>
          <w:tcPr>
            <w:tcW w:type="dxa" w:w="2040"/>
            <w:vAlign w:val="top"/>
          </w:tcPr>
          <w:p>
            <w:pPr>
              <w:spacing w:before="0" w:after="0" w:line="240" w:lineRule="auto"/>
            </w:pPr>
            <w:r/>
            <w:r>
              <w:rPr>
                <w:rFonts w:ascii="Arial" w:hAnsi="Arial" w:eastAsia="Noto Sans CJK SC"/>
                <w:b w:val="0"/>
                <w:sz w:val="15"/>
              </w:rPr>
              <w:t>模型可能通过增大不确定性逃避误差</w:t>
            </w:r>
          </w:p>
        </w:tc>
      </w:tr>
    </w:tbl>
    <w:p/>
    <w:p>
      <w:pPr>
        <w:pStyle w:val="Heading2"/>
        <w:spacing w:before="120" w:after="120" w:line="259" w:lineRule="auto"/>
      </w:pPr>
      <w:r/>
      <w:r>
        <w:rPr>
          <w:rFonts w:ascii="Arial" w:hAnsi="Arial" w:eastAsia="Noto Sans CJK SC"/>
          <w:b/>
          <w:color w:val="000000"/>
          <w:sz w:val="26"/>
        </w:rPr>
        <w:t>5.7 医学合理性约束</w:t>
      </w:r>
    </w:p>
    <w:p>
      <w:pPr>
        <w:spacing w:before="0" w:after="80" w:line="259" w:lineRule="auto"/>
        <w:ind w:firstLine="420"/>
      </w:pPr>
      <w:r>
        <w:rPr>
          <w:rFonts w:ascii="Arial" w:hAnsi="Arial" w:eastAsia="Noto Sans CJK SC"/>
          <w:b w:val="0"/>
          <w:sz w:val="21"/>
        </w:rPr>
        <w:t>1）避免生成不存在的代谢热点。推荐用三层约束：第一，Ldeg 要求 SR 退化后回到 LR-DMI；第二，hotspot false positive penalty 惩罚在 LR 支持不足区域产生超过阈值的热点；第三，多次扩散采样若热点位置不稳定，应在输出中标为高不确定区域，而不是作为可信发现。</w:t>
      </w:r>
    </w:p>
    <w:p>
      <w:pPr>
        <w:spacing w:before="0" w:after="80" w:line="259" w:lineRule="auto"/>
        <w:ind w:firstLine="420"/>
      </w:pPr>
      <w:r>
        <w:rPr>
          <w:rFonts w:ascii="Arial" w:hAnsi="Arial" w:eastAsia="Noto Sans CJK SC"/>
          <w:b w:val="0"/>
          <w:sz w:val="21"/>
        </w:rPr>
        <w:t>2）保证浓度或代谢比值的定量一致。除了像素误差，应报告 ROI mean bias、ROI integral bias、metabolite ratio error 和 Bland-Altman 分析。若有动态 DMI 数据，还可进一步评估代谢动力学参数的一致性，而不只比较静态图像。</w:t>
      </w:r>
    </w:p>
    <w:p>
      <w:pPr>
        <w:spacing w:before="0" w:after="80" w:line="259" w:lineRule="auto"/>
        <w:ind w:firstLine="420"/>
      </w:pPr>
      <w:r>
        <w:rPr>
          <w:rFonts w:ascii="Arial" w:hAnsi="Arial" w:eastAsia="Noto Sans CJK SC"/>
          <w:b w:val="0"/>
          <w:sz w:val="21"/>
        </w:rPr>
        <w:t>3）防止 MRI 纹理迁移到 DMI。结构分支应采用门控注入、低频/边缘摘要、condition dropout 和 anti-leakage loss。一个关键消融实验是：只给 T1/FLAIR、不提供 LR-DMI 时，模型不应生成可信代谢图；给错配 T1 时，重建定量不应显著优于无结构模型。</w:t>
      </w:r>
    </w:p>
    <w:p>
      <w:pPr>
        <w:spacing w:before="0" w:after="80" w:line="259" w:lineRule="auto"/>
        <w:ind w:firstLine="420"/>
      </w:pPr>
      <w:r>
        <w:rPr>
          <w:rFonts w:ascii="Arial" w:hAnsi="Arial" w:eastAsia="Noto Sans CJK SC"/>
          <w:b w:val="0"/>
          <w:sz w:val="21"/>
        </w:rPr>
        <w:t>4）处理低信噪比与小样本。推荐用 physics-aware degradation augmentation、噪声水平随机化、谱拟合残差/SNR map、患者级交叉验证、EMA、GroupNorm/InstanceNorm、小 batch 稳定训练和合成到真实的分层评估。结构分支不要过大，否则容易在小样本上记忆解剖纹理。</w:t>
      </w:r>
    </w:p>
    <w:p>
      <w:pPr>
        <w:spacing w:before="0" w:after="80" w:line="259" w:lineRule="auto"/>
        <w:ind w:firstLine="420"/>
      </w:pPr>
      <w:r>
        <w:rPr>
          <w:rFonts w:ascii="Arial" w:hAnsi="Arial" w:eastAsia="Noto Sans CJK SC"/>
          <w:b w:val="0"/>
          <w:sz w:val="21"/>
        </w:rPr>
        <w:t>5）解释可信区域与不可信区域。最终系统应输出 SR-DMI、uncertainty map、D(x_hat)-y_LR residual map 和 mask/ROI 指标表。论文中应明确：高不确定区域不是模型失败的遮掩，而是对低 SNR、边界模糊或观测不足区域的风险提示。</w:t>
      </w:r>
    </w:p>
    <w:p>
      <w:pPr>
        <w:pStyle w:val="Heading2"/>
        <w:spacing w:before="120" w:after="120" w:line="259" w:lineRule="auto"/>
      </w:pPr>
      <w:r/>
      <w:r>
        <w:rPr>
          <w:rFonts w:ascii="Arial" w:hAnsi="Arial" w:eastAsia="Noto Sans CJK SC"/>
          <w:b/>
          <w:color w:val="000000"/>
          <w:sz w:val="26"/>
        </w:rPr>
        <w:t>5.8 与现有 baseline 的区别</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top"/>
            <w:shd w:fill="1F4E79"/>
          </w:tcPr>
          <w:p>
            <w:pPr>
              <w:spacing w:before="0" w:after="0" w:line="240" w:lineRule="auto"/>
            </w:pPr>
            <w:r/>
            <w:r>
              <w:rPr>
                <w:rFonts w:ascii="Arial" w:hAnsi="Arial" w:eastAsia="Noto Sans CJK SC"/>
                <w:b/>
                <w:color w:val="FFFFFF"/>
                <w:sz w:val="17"/>
              </w:rPr>
              <w:t>方法</w:t>
            </w:r>
          </w:p>
        </w:tc>
        <w:tc>
          <w:tcPr>
            <w:tcW w:type="dxa" w:w="2550"/>
            <w:vAlign w:val="top"/>
            <w:shd w:fill="1F4E79"/>
          </w:tcPr>
          <w:p>
            <w:pPr>
              <w:spacing w:before="0" w:after="0" w:line="240" w:lineRule="auto"/>
            </w:pPr>
            <w:r/>
            <w:r>
              <w:rPr>
                <w:rFonts w:ascii="Arial" w:hAnsi="Arial" w:eastAsia="Noto Sans CJK SC"/>
                <w:b/>
                <w:color w:val="FFFFFF"/>
                <w:sz w:val="17"/>
              </w:rPr>
              <w:t>核心机制</w:t>
            </w:r>
          </w:p>
        </w:tc>
        <w:tc>
          <w:tcPr>
            <w:tcW w:type="dxa" w:w="2550"/>
            <w:vAlign w:val="top"/>
            <w:shd w:fill="1F4E79"/>
          </w:tcPr>
          <w:p>
            <w:pPr>
              <w:spacing w:before="0" w:after="0" w:line="240" w:lineRule="auto"/>
            </w:pPr>
            <w:r/>
            <w:r>
              <w:rPr>
                <w:rFonts w:ascii="Arial" w:hAnsi="Arial" w:eastAsia="Noto Sans CJK SC"/>
                <w:b/>
                <w:color w:val="FFFFFF"/>
                <w:sz w:val="17"/>
              </w:rPr>
              <w:t>局限</w:t>
            </w:r>
          </w:p>
        </w:tc>
        <w:tc>
          <w:tcPr>
            <w:tcW w:type="dxa" w:w="2550"/>
            <w:vAlign w:val="top"/>
            <w:shd w:fill="1F4E79"/>
          </w:tcPr>
          <w:p>
            <w:pPr>
              <w:spacing w:before="0" w:after="0" w:line="240" w:lineRule="auto"/>
            </w:pPr>
            <w:r/>
            <w:r>
              <w:rPr>
                <w:rFonts w:ascii="Arial" w:hAnsi="Arial" w:eastAsia="Noto Sans CJK SC"/>
                <w:b/>
                <w:color w:val="FFFFFF"/>
                <w:sz w:val="17"/>
              </w:rPr>
              <w:t>SGQ-DiffDMI 的区别</w:t>
            </w:r>
          </w:p>
        </w:tc>
      </w:tr>
      <w:tr>
        <w:tc>
          <w:tcPr>
            <w:tcW w:type="dxa" w:w="2550"/>
            <w:vAlign w:val="top"/>
          </w:tcPr>
          <w:p>
            <w:pPr>
              <w:spacing w:before="0" w:after="0" w:line="240" w:lineRule="auto"/>
            </w:pPr>
            <w:r/>
            <w:r>
              <w:rPr>
                <w:rFonts w:ascii="Arial" w:hAnsi="Arial" w:eastAsia="Noto Sans CJK SC"/>
                <w:b w:val="0"/>
                <w:sz w:val="17"/>
              </w:rPr>
              <w:t>Bicubic/传统插值</w:t>
            </w:r>
          </w:p>
        </w:tc>
        <w:tc>
          <w:tcPr>
            <w:tcW w:type="dxa" w:w="2550"/>
            <w:vAlign w:val="top"/>
          </w:tcPr>
          <w:p>
            <w:pPr>
              <w:spacing w:before="0" w:after="0" w:line="240" w:lineRule="auto"/>
            </w:pPr>
            <w:r/>
            <w:r>
              <w:rPr>
                <w:rFonts w:ascii="Arial" w:hAnsi="Arial" w:eastAsia="Noto Sans CJK SC"/>
                <w:b w:val="0"/>
                <w:sz w:val="17"/>
              </w:rPr>
              <w:t>仅空间上采样</w:t>
            </w:r>
          </w:p>
        </w:tc>
        <w:tc>
          <w:tcPr>
            <w:tcW w:type="dxa" w:w="2550"/>
            <w:vAlign w:val="top"/>
          </w:tcPr>
          <w:p>
            <w:pPr>
              <w:spacing w:before="0" w:after="0" w:line="240" w:lineRule="auto"/>
            </w:pPr>
            <w:r/>
            <w:r>
              <w:rPr>
                <w:rFonts w:ascii="Arial" w:hAnsi="Arial" w:eastAsia="Noto Sans CJK SC"/>
                <w:b w:val="0"/>
                <w:sz w:val="17"/>
              </w:rPr>
              <w:t>无学习能力，无结构/代谢先验</w:t>
            </w:r>
          </w:p>
        </w:tc>
        <w:tc>
          <w:tcPr>
            <w:tcW w:type="dxa" w:w="2550"/>
            <w:vAlign w:val="top"/>
          </w:tcPr>
          <w:p>
            <w:pPr>
              <w:spacing w:before="0" w:after="0" w:line="240" w:lineRule="auto"/>
            </w:pPr>
            <w:r/>
            <w:r>
              <w:rPr>
                <w:rFonts w:ascii="Arial" w:hAnsi="Arial" w:eastAsia="Noto Sans CJK SC"/>
                <w:b w:val="0"/>
                <w:sz w:val="17"/>
              </w:rPr>
              <w:t>使用扩散条件后验与医学约束</w:t>
            </w:r>
          </w:p>
        </w:tc>
      </w:tr>
      <w:tr>
        <w:tc>
          <w:tcPr>
            <w:tcW w:type="dxa" w:w="2550"/>
            <w:vAlign w:val="top"/>
          </w:tcPr>
          <w:p>
            <w:pPr>
              <w:spacing w:before="0" w:after="0" w:line="240" w:lineRule="auto"/>
            </w:pPr>
            <w:r/>
            <w:r>
              <w:rPr>
                <w:rFonts w:ascii="Arial" w:hAnsi="Arial" w:eastAsia="Noto Sans CJK SC"/>
                <w:b w:val="0"/>
                <w:sz w:val="17"/>
              </w:rPr>
              <w:t>普通 UNet SR</w:t>
            </w:r>
          </w:p>
        </w:tc>
        <w:tc>
          <w:tcPr>
            <w:tcW w:type="dxa" w:w="2550"/>
            <w:vAlign w:val="top"/>
          </w:tcPr>
          <w:p>
            <w:pPr>
              <w:spacing w:before="0" w:after="0" w:line="240" w:lineRule="auto"/>
            </w:pPr>
            <w:r/>
            <w:r>
              <w:rPr>
                <w:rFonts w:ascii="Arial" w:hAnsi="Arial" w:eastAsia="Noto Sans CJK SC"/>
                <w:b w:val="0"/>
                <w:sz w:val="17"/>
              </w:rPr>
              <w:t>确定性 LR-&gt;HR 映射</w:t>
            </w:r>
          </w:p>
        </w:tc>
        <w:tc>
          <w:tcPr>
            <w:tcW w:type="dxa" w:w="2550"/>
            <w:vAlign w:val="top"/>
          </w:tcPr>
          <w:p>
            <w:pPr>
              <w:spacing w:before="0" w:after="0" w:line="240" w:lineRule="auto"/>
            </w:pPr>
            <w:r/>
            <w:r>
              <w:rPr>
                <w:rFonts w:ascii="Arial" w:hAnsi="Arial" w:eastAsia="Noto Sans CJK SC"/>
                <w:b w:val="0"/>
                <w:sz w:val="17"/>
              </w:rPr>
              <w:t>难表达不确定性，易过平滑</w:t>
            </w:r>
          </w:p>
        </w:tc>
        <w:tc>
          <w:tcPr>
            <w:tcW w:type="dxa" w:w="2550"/>
            <w:vAlign w:val="top"/>
          </w:tcPr>
          <w:p>
            <w:pPr>
              <w:spacing w:before="0" w:after="0" w:line="240" w:lineRule="auto"/>
            </w:pPr>
            <w:r/>
            <w:r>
              <w:rPr>
                <w:rFonts w:ascii="Arial" w:hAnsi="Arial" w:eastAsia="Noto Sans CJK SC"/>
                <w:b w:val="0"/>
                <w:sz w:val="17"/>
              </w:rPr>
              <w:t>扩散采样可估计后验分布和不确定性</w:t>
            </w:r>
          </w:p>
        </w:tc>
      </w:tr>
      <w:tr>
        <w:tc>
          <w:tcPr>
            <w:tcW w:type="dxa" w:w="2550"/>
            <w:vAlign w:val="top"/>
          </w:tcPr>
          <w:p>
            <w:pPr>
              <w:spacing w:before="0" w:after="0" w:line="240" w:lineRule="auto"/>
            </w:pPr>
            <w:r/>
            <w:r>
              <w:rPr>
                <w:rFonts w:ascii="Arial" w:hAnsi="Arial" w:eastAsia="Noto Sans CJK SC"/>
                <w:b w:val="0"/>
                <w:sz w:val="17"/>
              </w:rPr>
              <w:t>原始 SR3</w:t>
            </w:r>
          </w:p>
        </w:tc>
        <w:tc>
          <w:tcPr>
            <w:tcW w:type="dxa" w:w="2550"/>
            <w:vAlign w:val="top"/>
          </w:tcPr>
          <w:p>
            <w:pPr>
              <w:spacing w:before="0" w:after="0" w:line="240" w:lineRule="auto"/>
            </w:pPr>
            <w:r/>
            <w:r>
              <w:rPr>
                <w:rFonts w:ascii="Arial" w:hAnsi="Arial" w:eastAsia="Noto Sans CJK SC"/>
                <w:b w:val="0"/>
                <w:sz w:val="17"/>
              </w:rPr>
              <w:t>条件扩散自然图像 SR</w:t>
            </w:r>
          </w:p>
        </w:tc>
        <w:tc>
          <w:tcPr>
            <w:tcW w:type="dxa" w:w="2550"/>
            <w:vAlign w:val="top"/>
          </w:tcPr>
          <w:p>
            <w:pPr>
              <w:spacing w:before="0" w:after="0" w:line="240" w:lineRule="auto"/>
            </w:pPr>
            <w:r/>
            <w:r>
              <w:rPr>
                <w:rFonts w:ascii="Arial" w:hAnsi="Arial" w:eastAsia="Noto Sans CJK SC"/>
                <w:b w:val="0"/>
                <w:sz w:val="17"/>
              </w:rPr>
              <w:t>偏视觉质量，退化和 loss 不适配 DMI</w:t>
            </w:r>
          </w:p>
        </w:tc>
        <w:tc>
          <w:tcPr>
            <w:tcW w:type="dxa" w:w="2550"/>
            <w:vAlign w:val="top"/>
          </w:tcPr>
          <w:p>
            <w:pPr>
              <w:spacing w:before="0" w:after="0" w:line="240" w:lineRule="auto"/>
            </w:pPr>
            <w:r/>
            <w:r>
              <w:rPr>
                <w:rFonts w:ascii="Arial" w:hAnsi="Arial" w:eastAsia="Noto Sans CJK SC"/>
                <w:b w:val="0"/>
                <w:sz w:val="17"/>
              </w:rPr>
              <w:t>引入结构门控、退化一致性和代谢定量 loss</w:t>
            </w:r>
          </w:p>
        </w:tc>
      </w:tr>
      <w:tr>
        <w:tc>
          <w:tcPr>
            <w:tcW w:type="dxa" w:w="2550"/>
            <w:vAlign w:val="top"/>
          </w:tcPr>
          <w:p>
            <w:pPr>
              <w:spacing w:before="0" w:after="0" w:line="240" w:lineRule="auto"/>
            </w:pPr>
            <w:r/>
            <w:r>
              <w:rPr>
                <w:rFonts w:ascii="Arial" w:hAnsi="Arial" w:eastAsia="Noto Sans CJK SC"/>
                <w:b w:val="0"/>
                <w:sz w:val="17"/>
              </w:rPr>
              <w:t>当前 MRSI-SR3</w:t>
            </w:r>
          </w:p>
        </w:tc>
        <w:tc>
          <w:tcPr>
            <w:tcW w:type="dxa" w:w="2550"/>
            <w:vAlign w:val="top"/>
          </w:tcPr>
          <w:p>
            <w:pPr>
              <w:spacing w:before="0" w:after="0" w:line="240" w:lineRule="auto"/>
            </w:pPr>
            <w:r/>
            <w:r>
              <w:rPr>
                <w:rFonts w:ascii="Arial" w:hAnsi="Arial" w:eastAsia="Noto Sans CJK SC"/>
                <w:b w:val="0"/>
                <w:sz w:val="17"/>
              </w:rPr>
              <w:t>多条件 concat + T1 cross-attention + mask/freq</w:t>
            </w:r>
          </w:p>
        </w:tc>
        <w:tc>
          <w:tcPr>
            <w:tcW w:type="dxa" w:w="2550"/>
            <w:vAlign w:val="top"/>
          </w:tcPr>
          <w:p>
            <w:pPr>
              <w:spacing w:before="0" w:after="0" w:line="240" w:lineRule="auto"/>
            </w:pPr>
            <w:r/>
            <w:r>
              <w:rPr>
                <w:rFonts w:ascii="Arial" w:hAnsi="Arial" w:eastAsia="Noto Sans CJK SC"/>
                <w:b w:val="0"/>
                <w:sz w:val="17"/>
              </w:rPr>
              <w:t>条件语义、定量约束和防幻觉机制不足</w:t>
            </w:r>
          </w:p>
        </w:tc>
        <w:tc>
          <w:tcPr>
            <w:tcW w:type="dxa" w:w="2550"/>
            <w:vAlign w:val="top"/>
          </w:tcPr>
          <w:p>
            <w:pPr>
              <w:spacing w:before="0" w:after="0" w:line="240" w:lineRule="auto"/>
            </w:pPr>
            <w:r/>
            <w:r>
              <w:rPr>
                <w:rFonts w:ascii="Arial" w:hAnsi="Arial" w:eastAsia="Noto Sans CJK SC"/>
                <w:b w:val="0"/>
                <w:sz w:val="17"/>
              </w:rPr>
              <w:t>将 LR-DMI 设为观测约束，T1 设为受控结构先验，显式优化 ROI/ratio/deg/uncertainty</w:t>
            </w:r>
          </w:p>
        </w:tc>
      </w:tr>
      <w:tr>
        <w:tc>
          <w:tcPr>
            <w:tcW w:type="dxa" w:w="2550"/>
            <w:vAlign w:val="top"/>
          </w:tcPr>
          <w:p>
            <w:pPr>
              <w:spacing w:before="0" w:after="0" w:line="240" w:lineRule="auto"/>
            </w:pPr>
            <w:r/>
            <w:r>
              <w:rPr>
                <w:rFonts w:ascii="Arial" w:hAnsi="Arial" w:eastAsia="Noto Sans CJK SC"/>
                <w:b w:val="0"/>
                <w:sz w:val="17"/>
              </w:rPr>
              <w:t>MRI SR diffusion</w:t>
            </w:r>
          </w:p>
        </w:tc>
        <w:tc>
          <w:tcPr>
            <w:tcW w:type="dxa" w:w="2550"/>
            <w:vAlign w:val="top"/>
          </w:tcPr>
          <w:p>
            <w:pPr>
              <w:spacing w:before="0" w:after="0" w:line="240" w:lineRule="auto"/>
            </w:pPr>
            <w:r/>
            <w:r>
              <w:rPr>
                <w:rFonts w:ascii="Arial" w:hAnsi="Arial" w:eastAsia="Noto Sans CJK SC"/>
                <w:b w:val="0"/>
                <w:sz w:val="17"/>
              </w:rPr>
              <w:t>恢复解剖图像细节</w:t>
            </w:r>
          </w:p>
        </w:tc>
        <w:tc>
          <w:tcPr>
            <w:tcW w:type="dxa" w:w="2550"/>
            <w:vAlign w:val="top"/>
          </w:tcPr>
          <w:p>
            <w:pPr>
              <w:spacing w:before="0" w:after="0" w:line="240" w:lineRule="auto"/>
            </w:pPr>
            <w:r/>
            <w:r>
              <w:rPr>
                <w:rFonts w:ascii="Arial" w:hAnsi="Arial" w:eastAsia="Noto Sans CJK SC"/>
                <w:b w:val="0"/>
                <w:sz w:val="17"/>
              </w:rPr>
              <w:t>目标与 DMI 代谢图不同</w:t>
            </w:r>
          </w:p>
        </w:tc>
        <w:tc>
          <w:tcPr>
            <w:tcW w:type="dxa" w:w="2550"/>
            <w:vAlign w:val="top"/>
          </w:tcPr>
          <w:p>
            <w:pPr>
              <w:spacing w:before="0" w:after="0" w:line="240" w:lineRule="auto"/>
            </w:pPr>
            <w:r/>
            <w:r>
              <w:rPr>
                <w:rFonts w:ascii="Arial" w:hAnsi="Arial" w:eastAsia="Noto Sans CJK SC"/>
                <w:b w:val="0"/>
                <w:sz w:val="17"/>
              </w:rPr>
              <w:t>只迁移扩散/残差/多模态框架，不迁移 MRI 纹理假设</w:t>
            </w:r>
          </w:p>
        </w:tc>
      </w:tr>
    </w:tbl>
    <w:p/>
    <w:p>
      <w:pPr>
        <w:pStyle w:val="Heading2"/>
        <w:spacing w:before="120" w:after="120" w:line="259" w:lineRule="auto"/>
      </w:pPr>
      <w:r/>
      <w:r>
        <w:rPr>
          <w:rFonts w:ascii="Arial" w:hAnsi="Arial" w:eastAsia="Noto Sans CJK SC"/>
          <w:b/>
          <w:color w:val="000000"/>
          <w:sz w:val="26"/>
        </w:rPr>
        <w:t>5.9 预期创新点与可能失败点</w:t>
      </w:r>
    </w:p>
    <w:p>
      <w:pPr>
        <w:spacing w:before="0" w:after="80" w:line="259" w:lineRule="auto"/>
      </w:pPr>
      <w:r>
        <w:rPr>
          <w:rFonts w:ascii="Arial" w:hAnsi="Arial" w:eastAsia="Noto Sans CJK SC"/>
          <w:b/>
          <w:sz w:val="21"/>
        </w:rPr>
        <w:t>预期创新点：</w:t>
      </w:r>
    </w:p>
    <w:p>
      <w:pPr>
        <w:pStyle w:val="ListBullet"/>
        <w:spacing w:before="0" w:after="40" w:line="252" w:lineRule="auto"/>
      </w:pPr>
      <w:r>
        <w:rPr>
          <w:rFonts w:ascii="Arial" w:hAnsi="Arial" w:eastAsia="Noto Sans CJK SC"/>
          <w:sz w:val="20"/>
        </w:rPr>
        <w:t>提出结构引导但代谢约束的 DMI 超分辨率扩散框架，把 T1/FLAIR 从普通拼接条件改为受控结构先验。</w:t>
      </w:r>
    </w:p>
    <w:p>
      <w:pPr>
        <w:pStyle w:val="ListBullet"/>
        <w:spacing w:before="0" w:after="40" w:line="252" w:lineRule="auto"/>
      </w:pPr>
      <w:r>
        <w:rPr>
          <w:rFonts w:ascii="Arial" w:hAnsi="Arial" w:eastAsia="Noto Sans CJK SC"/>
          <w:sz w:val="20"/>
        </w:rPr>
        <w:t>将 LR-DMI 退化一致性和 ROI/代谢比值定量一致性写入训练目标，而不是只在验证阶段报告 PSNR/SSIM。</w:t>
      </w:r>
    </w:p>
    <w:p>
      <w:pPr>
        <w:pStyle w:val="ListBullet"/>
        <w:spacing w:before="0" w:after="40" w:line="252" w:lineRule="auto"/>
      </w:pPr>
      <w:r>
        <w:rPr>
          <w:rFonts w:ascii="Arial" w:hAnsi="Arial" w:eastAsia="Noto Sans CJK SC"/>
          <w:sz w:val="20"/>
        </w:rPr>
        <w:t>用扩散多样本或不确定性分支输出可信区域，回应医学生成模型 hallucination 风险。</w:t>
      </w:r>
    </w:p>
    <w:p>
      <w:pPr>
        <w:pStyle w:val="ListBullet"/>
        <w:spacing w:before="0" w:after="40" w:line="252" w:lineRule="auto"/>
      </w:pPr>
      <w:r>
        <w:rPr>
          <w:rFonts w:ascii="Arial" w:hAnsi="Arial" w:eastAsia="Noto Sans CJK SC"/>
          <w:sz w:val="20"/>
        </w:rPr>
        <w:t>形成适合 DMI/MRSI 的评价体系：图像质量 + 频域分辨率 + 代谢定量 + 不确定性校准。</w:t>
      </w:r>
    </w:p>
    <w:p>
      <w:pPr>
        <w:spacing w:before="0" w:after="80" w:line="259" w:lineRule="auto"/>
      </w:pPr>
      <w:r>
        <w:rPr>
          <w:rFonts w:ascii="Arial" w:hAnsi="Arial" w:eastAsia="Noto Sans CJK SC"/>
          <w:b/>
          <w:sz w:val="21"/>
        </w:rPr>
        <w:t>可能失败点与规避策略：</w:t>
      </w:r>
    </w:p>
    <w:p>
      <w:pPr>
        <w:pStyle w:val="ListBullet"/>
        <w:spacing w:before="0" w:after="40" w:line="252" w:lineRule="auto"/>
      </w:pPr>
      <w:r>
        <w:rPr>
          <w:rFonts w:ascii="Arial" w:hAnsi="Arial" w:eastAsia="Noto Sans CJK SC"/>
          <w:sz w:val="20"/>
        </w:rPr>
        <w:t>退化算子 D 不准确：先从简单 PSF/低通/下采样开始，逐步加入真实采集因素；不要让 Ldeg 权重一开始过大。</w:t>
      </w:r>
    </w:p>
    <w:p>
      <w:pPr>
        <w:pStyle w:val="ListBullet"/>
        <w:spacing w:before="0" w:after="40" w:line="252" w:lineRule="auto"/>
      </w:pPr>
      <w:r>
        <w:rPr>
          <w:rFonts w:ascii="Arial" w:hAnsi="Arial" w:eastAsia="Noto Sans CJK SC"/>
          <w:sz w:val="20"/>
        </w:rPr>
        <w:t>结构分支过强导致 MRI 纹理泄漏：使用 gated cross-attention、condition dropout、错配 T1 消融和 anti-leakage loss。</w:t>
      </w:r>
    </w:p>
    <w:p>
      <w:pPr>
        <w:pStyle w:val="ListBullet"/>
        <w:spacing w:before="0" w:after="40" w:line="252" w:lineRule="auto"/>
      </w:pPr>
      <w:r>
        <w:rPr>
          <w:rFonts w:ascii="Arial" w:hAnsi="Arial" w:eastAsia="Noto Sans CJK SC"/>
          <w:sz w:val="20"/>
        </w:rPr>
        <w:t>loss 项过多导致训练不稳定：按阶段逐步加入，先保证 Ldiff + Lx0 + Ldeg + Lroi 收敛。</w:t>
      </w:r>
    </w:p>
    <w:p>
      <w:pPr>
        <w:pStyle w:val="ListBullet"/>
        <w:spacing w:before="0" w:after="40" w:line="252" w:lineRule="auto"/>
      </w:pPr>
      <w:r>
        <w:rPr>
          <w:rFonts w:ascii="Arial" w:hAnsi="Arial" w:eastAsia="Noto Sans CJK SC"/>
          <w:sz w:val="20"/>
        </w:rPr>
        <w:t>小样本导致过拟合：患者级 split、参数化仿真增强、EMA、轻量结构分支和跨代谢物共享主干。</w:t>
      </w:r>
    </w:p>
    <w:p>
      <w:pPr>
        <w:pStyle w:val="ListBullet"/>
        <w:spacing w:before="0" w:after="40" w:line="252" w:lineRule="auto"/>
      </w:pPr>
      <w:r>
        <w:rPr>
          <w:rFonts w:ascii="Arial" w:hAnsi="Arial" w:eastAsia="Noto Sans CJK SC"/>
          <w:sz w:val="20"/>
        </w:rPr>
        <w:t>定量指标与视觉指标冲突：以 DMI 医学目标为主，PSNR/SSIM 仅作为辅助；论文中明确视觉锐化不等于医学有效。</w:t>
      </w:r>
    </w:p>
    <w:p>
      <w:pPr>
        <w:pStyle w:val="Heading2"/>
        <w:spacing w:before="120" w:after="120" w:line="259" w:lineRule="auto"/>
      </w:pPr>
      <w:r/>
      <w:r>
        <w:rPr>
          <w:rFonts w:ascii="Arial" w:hAnsi="Arial" w:eastAsia="Noto Sans CJK SC"/>
          <w:b/>
          <w:color w:val="000000"/>
          <w:sz w:val="26"/>
        </w:rPr>
        <w:t>5.10 推荐实验矩阵</w:t>
      </w:r>
    </w:p>
    <w:p>
      <w:pPr>
        <w:spacing w:before="0" w:after="80" w:line="259" w:lineRule="auto"/>
        <w:ind w:firstLine="420"/>
      </w:pPr>
      <w:r>
        <w:rPr>
          <w:rFonts w:ascii="Arial" w:hAnsi="Arial" w:eastAsia="Noto Sans CJK SC"/>
          <w:b w:val="0"/>
          <w:sz w:val="21"/>
        </w:rPr>
        <w:t>为保证论文说服力，建议实验不追求过多模型，而是围绕关键假设设计可解释消融。</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top"/>
            <w:shd w:fill="1F4E79"/>
          </w:tcPr>
          <w:p>
            <w:pPr>
              <w:spacing w:before="0" w:after="0" w:line="240" w:lineRule="auto"/>
            </w:pPr>
            <w:r/>
            <w:r>
              <w:rPr>
                <w:rFonts w:ascii="Arial" w:hAnsi="Arial" w:eastAsia="Noto Sans CJK SC"/>
                <w:b/>
                <w:color w:val="FFFFFF"/>
                <w:sz w:val="16"/>
              </w:rPr>
              <w:t>实验组</w:t>
            </w:r>
          </w:p>
        </w:tc>
        <w:tc>
          <w:tcPr>
            <w:tcW w:type="dxa" w:w="3400"/>
            <w:vAlign w:val="top"/>
            <w:shd w:fill="1F4E79"/>
          </w:tcPr>
          <w:p>
            <w:pPr>
              <w:spacing w:before="0" w:after="0" w:line="240" w:lineRule="auto"/>
            </w:pPr>
            <w:r/>
            <w:r>
              <w:rPr>
                <w:rFonts w:ascii="Arial" w:hAnsi="Arial" w:eastAsia="Noto Sans CJK SC"/>
                <w:b/>
                <w:color w:val="FFFFFF"/>
                <w:sz w:val="16"/>
              </w:rPr>
              <w:t>目的</w:t>
            </w:r>
          </w:p>
        </w:tc>
        <w:tc>
          <w:tcPr>
            <w:tcW w:type="dxa" w:w="3400"/>
            <w:vAlign w:val="top"/>
            <w:shd w:fill="1F4E79"/>
          </w:tcPr>
          <w:p>
            <w:pPr>
              <w:spacing w:before="0" w:after="0" w:line="240" w:lineRule="auto"/>
            </w:pPr>
            <w:r/>
            <w:r>
              <w:rPr>
                <w:rFonts w:ascii="Arial" w:hAnsi="Arial" w:eastAsia="Noto Sans CJK SC"/>
                <w:b/>
                <w:color w:val="FFFFFF"/>
                <w:sz w:val="16"/>
              </w:rPr>
              <w:t>关键比较指标</w:t>
            </w:r>
          </w:p>
        </w:tc>
      </w:tr>
      <w:tr>
        <w:tc>
          <w:tcPr>
            <w:tcW w:type="dxa" w:w="3400"/>
            <w:vAlign w:val="top"/>
          </w:tcPr>
          <w:p>
            <w:pPr>
              <w:spacing w:before="0" w:after="0" w:line="240" w:lineRule="auto"/>
            </w:pPr>
            <w:r/>
            <w:r>
              <w:rPr>
                <w:rFonts w:ascii="Arial" w:hAnsi="Arial" w:eastAsia="Noto Sans CJK SC"/>
                <w:b w:val="0"/>
                <w:sz w:val="16"/>
              </w:rPr>
              <w:t>Baseline 1：Bicubic/physics upsample</w:t>
            </w:r>
          </w:p>
        </w:tc>
        <w:tc>
          <w:tcPr>
            <w:tcW w:type="dxa" w:w="3400"/>
            <w:vAlign w:val="top"/>
          </w:tcPr>
          <w:p>
            <w:pPr>
              <w:spacing w:before="0" w:after="0" w:line="240" w:lineRule="auto"/>
            </w:pPr>
            <w:r/>
            <w:r>
              <w:rPr>
                <w:rFonts w:ascii="Arial" w:hAnsi="Arial" w:eastAsia="Noto Sans CJK SC"/>
                <w:b w:val="0"/>
                <w:sz w:val="16"/>
              </w:rPr>
              <w:t>确认学习方法相对传统上采样的增益</w:t>
            </w:r>
          </w:p>
        </w:tc>
        <w:tc>
          <w:tcPr>
            <w:tcW w:type="dxa" w:w="3400"/>
            <w:vAlign w:val="top"/>
          </w:tcPr>
          <w:p>
            <w:pPr>
              <w:spacing w:before="0" w:after="0" w:line="240" w:lineRule="auto"/>
            </w:pPr>
            <w:r/>
            <w:r>
              <w:rPr>
                <w:rFonts w:ascii="Arial" w:hAnsi="Arial" w:eastAsia="Noto Sans CJK SC"/>
                <w:b w:val="0"/>
                <w:sz w:val="16"/>
              </w:rPr>
              <w:t>PSNR、SSIM、FRC、ROI bias</w:t>
            </w:r>
          </w:p>
        </w:tc>
      </w:tr>
      <w:tr>
        <w:tc>
          <w:tcPr>
            <w:tcW w:type="dxa" w:w="3400"/>
            <w:vAlign w:val="top"/>
          </w:tcPr>
          <w:p>
            <w:pPr>
              <w:spacing w:before="0" w:after="0" w:line="240" w:lineRule="auto"/>
            </w:pPr>
            <w:r/>
            <w:r>
              <w:rPr>
                <w:rFonts w:ascii="Arial" w:hAnsi="Arial" w:eastAsia="Noto Sans CJK SC"/>
                <w:b w:val="0"/>
                <w:sz w:val="16"/>
              </w:rPr>
              <w:t>Baseline 2：普通 UNet SR</w:t>
            </w:r>
          </w:p>
        </w:tc>
        <w:tc>
          <w:tcPr>
            <w:tcW w:type="dxa" w:w="3400"/>
            <w:vAlign w:val="top"/>
          </w:tcPr>
          <w:p>
            <w:pPr>
              <w:spacing w:before="0" w:after="0" w:line="240" w:lineRule="auto"/>
            </w:pPr>
            <w:r/>
            <w:r>
              <w:rPr>
                <w:rFonts w:ascii="Arial" w:hAnsi="Arial" w:eastAsia="Noto Sans CJK SC"/>
                <w:b w:val="0"/>
                <w:sz w:val="16"/>
              </w:rPr>
              <w:t>比较确定性 SR 与扩散后验建模</w:t>
            </w:r>
          </w:p>
        </w:tc>
        <w:tc>
          <w:tcPr>
            <w:tcW w:type="dxa" w:w="3400"/>
            <w:vAlign w:val="top"/>
          </w:tcPr>
          <w:p>
            <w:pPr>
              <w:spacing w:before="0" w:after="0" w:line="240" w:lineRule="auto"/>
            </w:pPr>
            <w:r/>
            <w:r>
              <w:rPr>
                <w:rFonts w:ascii="Arial" w:hAnsi="Arial" w:eastAsia="Noto Sans CJK SC"/>
                <w:b w:val="0"/>
                <w:sz w:val="16"/>
              </w:rPr>
              <w:t>ROI bias、HFEN、uncertainty 无法评估</w:t>
            </w:r>
          </w:p>
        </w:tc>
      </w:tr>
      <w:tr>
        <w:tc>
          <w:tcPr>
            <w:tcW w:type="dxa" w:w="3400"/>
            <w:vAlign w:val="top"/>
          </w:tcPr>
          <w:p>
            <w:pPr>
              <w:spacing w:before="0" w:after="0" w:line="240" w:lineRule="auto"/>
            </w:pPr>
            <w:r/>
            <w:r>
              <w:rPr>
                <w:rFonts w:ascii="Arial" w:hAnsi="Arial" w:eastAsia="Noto Sans CJK SC"/>
                <w:b w:val="0"/>
                <w:sz w:val="16"/>
              </w:rPr>
              <w:t>Baseline 3：当前 MRSI-SR3</w:t>
            </w:r>
          </w:p>
        </w:tc>
        <w:tc>
          <w:tcPr>
            <w:tcW w:type="dxa" w:w="3400"/>
            <w:vAlign w:val="top"/>
          </w:tcPr>
          <w:p>
            <w:pPr>
              <w:spacing w:before="0" w:after="0" w:line="240" w:lineRule="auto"/>
            </w:pPr>
            <w:r/>
            <w:r>
              <w:rPr>
                <w:rFonts w:ascii="Arial" w:hAnsi="Arial" w:eastAsia="Noto Sans CJK SC"/>
                <w:b w:val="0"/>
                <w:sz w:val="16"/>
              </w:rPr>
              <w:t>作为直接代码基线</w:t>
            </w:r>
          </w:p>
        </w:tc>
        <w:tc>
          <w:tcPr>
            <w:tcW w:type="dxa" w:w="3400"/>
            <w:vAlign w:val="top"/>
          </w:tcPr>
          <w:p>
            <w:pPr>
              <w:spacing w:before="0" w:after="0" w:line="240" w:lineRule="auto"/>
            </w:pPr>
            <w:r/>
            <w:r>
              <w:rPr>
                <w:rFonts w:ascii="Arial" w:hAnsi="Arial" w:eastAsia="Noto Sans CJK SC"/>
                <w:b w:val="0"/>
                <w:sz w:val="16"/>
              </w:rPr>
              <w:t>全指标</w:t>
            </w:r>
          </w:p>
        </w:tc>
      </w:tr>
      <w:tr>
        <w:tc>
          <w:tcPr>
            <w:tcW w:type="dxa" w:w="3400"/>
            <w:vAlign w:val="top"/>
          </w:tcPr>
          <w:p>
            <w:pPr>
              <w:spacing w:before="0" w:after="0" w:line="240" w:lineRule="auto"/>
            </w:pPr>
            <w:r/>
            <w:r>
              <w:rPr>
                <w:rFonts w:ascii="Arial" w:hAnsi="Arial" w:eastAsia="Noto Sans CJK SC"/>
                <w:b w:val="0"/>
                <w:sz w:val="16"/>
              </w:rPr>
              <w:t>Ablation：无 T1/FLAIR</w:t>
            </w:r>
          </w:p>
        </w:tc>
        <w:tc>
          <w:tcPr>
            <w:tcW w:type="dxa" w:w="3400"/>
            <w:vAlign w:val="top"/>
          </w:tcPr>
          <w:p>
            <w:pPr>
              <w:spacing w:before="0" w:after="0" w:line="240" w:lineRule="auto"/>
            </w:pPr>
            <w:r/>
            <w:r>
              <w:rPr>
                <w:rFonts w:ascii="Arial" w:hAnsi="Arial" w:eastAsia="Noto Sans CJK SC"/>
                <w:b w:val="0"/>
                <w:sz w:val="16"/>
              </w:rPr>
              <w:t>验证结构引导贡献</w:t>
            </w:r>
          </w:p>
        </w:tc>
        <w:tc>
          <w:tcPr>
            <w:tcW w:type="dxa" w:w="3400"/>
            <w:vAlign w:val="top"/>
          </w:tcPr>
          <w:p>
            <w:pPr>
              <w:spacing w:before="0" w:after="0" w:line="240" w:lineRule="auto"/>
            </w:pPr>
            <w:r/>
            <w:r>
              <w:rPr>
                <w:rFonts w:ascii="Arial" w:hAnsi="Arial" w:eastAsia="Noto Sans CJK SC"/>
                <w:b w:val="0"/>
                <w:sz w:val="16"/>
              </w:rPr>
              <w:t>边界 HFEN、ROI bias、false hotspot</w:t>
            </w:r>
          </w:p>
        </w:tc>
      </w:tr>
      <w:tr>
        <w:tc>
          <w:tcPr>
            <w:tcW w:type="dxa" w:w="3400"/>
            <w:vAlign w:val="top"/>
          </w:tcPr>
          <w:p>
            <w:pPr>
              <w:spacing w:before="0" w:after="0" w:line="240" w:lineRule="auto"/>
            </w:pPr>
            <w:r/>
            <w:r>
              <w:rPr>
                <w:rFonts w:ascii="Arial" w:hAnsi="Arial" w:eastAsia="Noto Sans CJK SC"/>
                <w:b w:val="0"/>
                <w:sz w:val="16"/>
              </w:rPr>
              <w:t>Ablation：无 Ldeg</w:t>
            </w:r>
          </w:p>
        </w:tc>
        <w:tc>
          <w:tcPr>
            <w:tcW w:type="dxa" w:w="3400"/>
            <w:vAlign w:val="top"/>
          </w:tcPr>
          <w:p>
            <w:pPr>
              <w:spacing w:before="0" w:after="0" w:line="240" w:lineRule="auto"/>
            </w:pPr>
            <w:r/>
            <w:r>
              <w:rPr>
                <w:rFonts w:ascii="Arial" w:hAnsi="Arial" w:eastAsia="Noto Sans CJK SC"/>
                <w:b w:val="0"/>
                <w:sz w:val="16"/>
              </w:rPr>
              <w:t>验证 LR 观测一致性</w:t>
            </w:r>
          </w:p>
        </w:tc>
        <w:tc>
          <w:tcPr>
            <w:tcW w:type="dxa" w:w="3400"/>
            <w:vAlign w:val="top"/>
          </w:tcPr>
          <w:p>
            <w:pPr>
              <w:spacing w:before="0" w:after="0" w:line="240" w:lineRule="auto"/>
            </w:pPr>
            <w:r/>
            <w:r>
              <w:rPr>
                <w:rFonts w:ascii="Arial" w:hAnsi="Arial" w:eastAsia="Noto Sans CJK SC"/>
                <w:b w:val="0"/>
                <w:sz w:val="16"/>
              </w:rPr>
              <w:t>D(x_hat)-y_LR residual、hotspot false positive</w:t>
            </w:r>
          </w:p>
        </w:tc>
      </w:tr>
      <w:tr>
        <w:tc>
          <w:tcPr>
            <w:tcW w:type="dxa" w:w="3400"/>
            <w:vAlign w:val="top"/>
          </w:tcPr>
          <w:p>
            <w:pPr>
              <w:spacing w:before="0" w:after="0" w:line="240" w:lineRule="auto"/>
            </w:pPr>
            <w:r/>
            <w:r>
              <w:rPr>
                <w:rFonts w:ascii="Arial" w:hAnsi="Arial" w:eastAsia="Noto Sans CJK SC"/>
                <w:b w:val="0"/>
                <w:sz w:val="16"/>
              </w:rPr>
              <w:t>Ablation：无 ROI/ratio loss</w:t>
            </w:r>
          </w:p>
        </w:tc>
        <w:tc>
          <w:tcPr>
            <w:tcW w:type="dxa" w:w="3400"/>
            <w:vAlign w:val="top"/>
          </w:tcPr>
          <w:p>
            <w:pPr>
              <w:spacing w:before="0" w:after="0" w:line="240" w:lineRule="auto"/>
            </w:pPr>
            <w:r/>
            <w:r>
              <w:rPr>
                <w:rFonts w:ascii="Arial" w:hAnsi="Arial" w:eastAsia="Noto Sans CJK SC"/>
                <w:b w:val="0"/>
                <w:sz w:val="16"/>
              </w:rPr>
              <w:t>验证医学定量约束</w:t>
            </w:r>
          </w:p>
        </w:tc>
        <w:tc>
          <w:tcPr>
            <w:tcW w:type="dxa" w:w="3400"/>
            <w:vAlign w:val="top"/>
          </w:tcPr>
          <w:p>
            <w:pPr>
              <w:spacing w:before="0" w:after="0" w:line="240" w:lineRule="auto"/>
            </w:pPr>
            <w:r/>
            <w:r>
              <w:rPr>
                <w:rFonts w:ascii="Arial" w:hAnsi="Arial" w:eastAsia="Noto Sans CJK SC"/>
                <w:b w:val="0"/>
                <w:sz w:val="16"/>
              </w:rPr>
              <w:t>ROI mean/sum bias、ratio error</w:t>
            </w:r>
          </w:p>
        </w:tc>
      </w:tr>
      <w:tr>
        <w:tc>
          <w:tcPr>
            <w:tcW w:type="dxa" w:w="3400"/>
            <w:vAlign w:val="top"/>
          </w:tcPr>
          <w:p>
            <w:pPr>
              <w:spacing w:before="0" w:after="0" w:line="240" w:lineRule="auto"/>
            </w:pPr>
            <w:r/>
            <w:r>
              <w:rPr>
                <w:rFonts w:ascii="Arial" w:hAnsi="Arial" w:eastAsia="Noto Sans CJK SC"/>
                <w:b w:val="0"/>
                <w:sz w:val="16"/>
              </w:rPr>
              <w:t>Ablation：错配 T1</w:t>
            </w:r>
          </w:p>
        </w:tc>
        <w:tc>
          <w:tcPr>
            <w:tcW w:type="dxa" w:w="3400"/>
            <w:vAlign w:val="top"/>
          </w:tcPr>
          <w:p>
            <w:pPr>
              <w:spacing w:before="0" w:after="0" w:line="240" w:lineRule="auto"/>
            </w:pPr>
            <w:r/>
            <w:r>
              <w:rPr>
                <w:rFonts w:ascii="Arial" w:hAnsi="Arial" w:eastAsia="Noto Sans CJK SC"/>
                <w:b w:val="0"/>
                <w:sz w:val="16"/>
              </w:rPr>
              <w:t>验证模型是否过度依赖结构纹理</w:t>
            </w:r>
          </w:p>
        </w:tc>
        <w:tc>
          <w:tcPr>
            <w:tcW w:type="dxa" w:w="3400"/>
            <w:vAlign w:val="top"/>
          </w:tcPr>
          <w:p>
            <w:pPr>
              <w:spacing w:before="0" w:after="0" w:line="240" w:lineRule="auto"/>
            </w:pPr>
            <w:r/>
            <w:r>
              <w:rPr>
                <w:rFonts w:ascii="Arial" w:hAnsi="Arial" w:eastAsia="Noto Sans CJK SC"/>
                <w:b w:val="0"/>
                <w:sz w:val="16"/>
              </w:rPr>
              <w:t>定量退化幅度、false boundary</w:t>
            </w:r>
          </w:p>
        </w:tc>
      </w:tr>
      <w:tr>
        <w:tc>
          <w:tcPr>
            <w:tcW w:type="dxa" w:w="3400"/>
            <w:vAlign w:val="top"/>
          </w:tcPr>
          <w:p>
            <w:pPr>
              <w:spacing w:before="0" w:after="0" w:line="240" w:lineRule="auto"/>
            </w:pPr>
            <w:r/>
            <w:r>
              <w:rPr>
                <w:rFonts w:ascii="Arial" w:hAnsi="Arial" w:eastAsia="Noto Sans CJK SC"/>
                <w:b w:val="0"/>
                <w:sz w:val="16"/>
              </w:rPr>
              <w:t>Uncertainty study</w:t>
            </w:r>
          </w:p>
        </w:tc>
        <w:tc>
          <w:tcPr>
            <w:tcW w:type="dxa" w:w="3400"/>
            <w:vAlign w:val="top"/>
          </w:tcPr>
          <w:p>
            <w:pPr>
              <w:spacing w:before="0" w:after="0" w:line="240" w:lineRule="auto"/>
            </w:pPr>
            <w:r/>
            <w:r>
              <w:rPr>
                <w:rFonts w:ascii="Arial" w:hAnsi="Arial" w:eastAsia="Noto Sans CJK SC"/>
                <w:b w:val="0"/>
                <w:sz w:val="16"/>
              </w:rPr>
              <w:t>验证可信区域可解释性</w:t>
            </w:r>
          </w:p>
        </w:tc>
        <w:tc>
          <w:tcPr>
            <w:tcW w:type="dxa" w:w="3400"/>
            <w:vAlign w:val="top"/>
          </w:tcPr>
          <w:p>
            <w:pPr>
              <w:spacing w:before="0" w:after="0" w:line="240" w:lineRule="auto"/>
            </w:pPr>
            <w:r/>
            <w:r>
              <w:rPr>
                <w:rFonts w:ascii="Arial" w:hAnsi="Arial" w:eastAsia="Noto Sans CJK SC"/>
                <w:b w:val="0"/>
                <w:sz w:val="16"/>
              </w:rPr>
              <w:t>采样方差-error 相关、calibration curve</w:t>
            </w:r>
          </w:p>
        </w:tc>
      </w:tr>
    </w:tbl>
    <w:p/>
    <w:p>
      <w:pPr>
        <w:pStyle w:val="Heading1"/>
        <w:spacing w:before="160" w:after="120" w:line="259" w:lineRule="auto"/>
      </w:pPr>
      <w:r/>
      <w:r>
        <w:rPr>
          <w:rFonts w:ascii="Arial" w:hAnsi="Arial" w:eastAsia="Noto Sans CJK SC"/>
          <w:b/>
          <w:color w:val="1F4E79"/>
          <w:sz w:val="32"/>
        </w:rPr>
        <w:t>参考文献与资料来源</w:t>
      </w:r>
    </w:p>
    <w:p>
      <w:pPr>
        <w:spacing w:before="0" w:after="40" w:line="240" w:lineRule="auto"/>
      </w:pPr>
      <w:r>
        <w:rPr>
          <w:rFonts w:ascii="Arial" w:hAnsi="Arial" w:eastAsia="Noto Sans CJK SC"/>
          <w:sz w:val="16"/>
        </w:rPr>
        <w:t>[R01] McFly-byte/SR3 GitHub repository, README and file tree, accessed 2026-04-28. https://github.com/McFly-byte/SR3</w:t>
      </w:r>
    </w:p>
    <w:p>
      <w:pPr>
        <w:spacing w:before="0" w:after="40" w:line="240" w:lineRule="auto"/>
      </w:pPr>
      <w:r>
        <w:rPr>
          <w:rFonts w:ascii="Arial" w:hAnsi="Arial" w:eastAsia="Noto Sans CJK SC"/>
          <w:sz w:val="16"/>
        </w:rPr>
        <w:t>[R02] McFly-byte/SR3, data/MRSI_SR3_dataset.py, accessed 2026-04-28. https://github.com/McFly-byte/SR3/blob/master/data/MRSI_SR3_dataset.py</w:t>
      </w:r>
    </w:p>
    <w:p>
      <w:pPr>
        <w:spacing w:before="0" w:after="40" w:line="240" w:lineRule="auto"/>
      </w:pPr>
      <w:r>
        <w:rPr>
          <w:rFonts w:ascii="Arial" w:hAnsi="Arial" w:eastAsia="Noto Sans CJK SC"/>
          <w:sz w:val="16"/>
        </w:rPr>
        <w:t>[R03] McFly-byte/SR3, data/__init__.py, accessed 2026-04-28. https://github.com/McFly-byte/SR3/blob/master/data/__init__.py</w:t>
      </w:r>
    </w:p>
    <w:p>
      <w:pPr>
        <w:spacing w:before="0" w:after="40" w:line="240" w:lineRule="auto"/>
      </w:pPr>
      <w:r>
        <w:rPr>
          <w:rFonts w:ascii="Arial" w:hAnsi="Arial" w:eastAsia="Noto Sans CJK SC"/>
          <w:sz w:val="16"/>
        </w:rPr>
        <w:t>[R04] McFly-byte/SR3, model/networks.py, accessed 2026-04-28. https://github.com/McFly-byte/SR3/blob/master/model/networks.py</w:t>
      </w:r>
    </w:p>
    <w:p>
      <w:pPr>
        <w:spacing w:before="0" w:after="40" w:line="240" w:lineRule="auto"/>
      </w:pPr>
      <w:r>
        <w:rPr>
          <w:rFonts w:ascii="Arial" w:hAnsi="Arial" w:eastAsia="Noto Sans CJK SC"/>
          <w:sz w:val="16"/>
        </w:rPr>
        <w:t>[R05] McFly-byte/SR3, model/sr3_modules/diffusion.py, accessed 2026-04-28. https://github.com/McFly-byte/SR3/blob/master/model/sr3_modules/diffusion.py</w:t>
      </w:r>
    </w:p>
    <w:p>
      <w:pPr>
        <w:spacing w:before="0" w:after="40" w:line="240" w:lineRule="auto"/>
      </w:pPr>
      <w:r>
        <w:rPr>
          <w:rFonts w:ascii="Arial" w:hAnsi="Arial" w:eastAsia="Noto Sans CJK SC"/>
          <w:sz w:val="16"/>
        </w:rPr>
        <w:t>[R06] McFly-byte/SR3, model/sr3_modules/unet.py, accessed 2026-04-28. https://github.com/McFly-byte/SR3/blob/master/model/sr3_modules/unet.py</w:t>
      </w:r>
    </w:p>
    <w:p>
      <w:pPr>
        <w:spacing w:before="0" w:after="40" w:line="240" w:lineRule="auto"/>
      </w:pPr>
      <w:r>
        <w:rPr>
          <w:rFonts w:ascii="Arial" w:hAnsi="Arial" w:eastAsia="Noto Sans CJK SC"/>
          <w:sz w:val="16"/>
        </w:rPr>
        <w:t>[R07] McFly-byte/SR3, model/model.py, accessed 2026-04-28. https://github.com/McFly-byte/SR3/blob/master/model/model.py</w:t>
      </w:r>
    </w:p>
    <w:p>
      <w:pPr>
        <w:spacing w:before="0" w:after="40" w:line="240" w:lineRule="auto"/>
      </w:pPr>
      <w:r>
        <w:rPr>
          <w:rFonts w:ascii="Arial" w:hAnsi="Arial" w:eastAsia="Noto Sans CJK SC"/>
          <w:sz w:val="16"/>
        </w:rPr>
        <w:t>[R08] Pan F. et al. Advances and prospects in deuterium metabolic imaging (DMI): a systematic review. European Radiology Experimental, 2024. https://link.springer.com/article/10.1186/s41747-024-00464-y</w:t>
      </w:r>
    </w:p>
    <w:p>
      <w:pPr>
        <w:spacing w:before="0" w:after="40" w:line="240" w:lineRule="auto"/>
      </w:pPr>
      <w:r>
        <w:rPr>
          <w:rFonts w:ascii="Arial" w:hAnsi="Arial" w:eastAsia="Noto Sans CJK SC"/>
          <w:sz w:val="16"/>
        </w:rPr>
        <w:t>[R09] de Graaf R. A. et al. Lipid removal in deuterium metabolic imaging. Magnetic Resonance, 2024. https://mr.copernicus.org/articles/5/21/2024/mr-5-21-2024.pdf</w:t>
      </w:r>
    </w:p>
    <w:p>
      <w:pPr>
        <w:spacing w:before="0" w:after="40" w:line="240" w:lineRule="auto"/>
      </w:pPr>
      <w:r>
        <w:rPr>
          <w:rFonts w:ascii="Arial" w:hAnsi="Arial" w:eastAsia="Noto Sans CJK SC"/>
          <w:sz w:val="16"/>
        </w:rPr>
        <w:t>[R10] Mathy C. S. et al. Validation of Dynamic Deuterium Metabolic Imaging. 2025. https://pmc.ncbi.nlm.nih.gov/articles/PMC12695439/</w:t>
      </w:r>
    </w:p>
    <w:p>
      <w:pPr>
        <w:spacing w:before="0" w:after="40" w:line="240" w:lineRule="auto"/>
      </w:pPr>
      <w:r>
        <w:rPr>
          <w:rFonts w:ascii="Arial" w:hAnsi="Arial" w:eastAsia="Noto Sans CJK SC"/>
          <w:sz w:val="16"/>
        </w:rPr>
        <w:t>[R11] Wang Y. et al. SinSR: Diffusion-Based Image Super-Resolution in a Single Step. CVPR, 2024. https://openaccess.thecvf.com/content/CVPR2024/papers/Wang_SinSR_Diffusion-Based_Image_Super-Resolution_in_a_Single_Step_CVPR_2024_paper.pdf</w:t>
      </w:r>
    </w:p>
    <w:p>
      <w:pPr>
        <w:spacing w:before="0" w:after="40" w:line="240" w:lineRule="auto"/>
      </w:pPr>
      <w:r>
        <w:rPr>
          <w:rFonts w:ascii="Arial" w:hAnsi="Arial" w:eastAsia="Noto Sans CJK SC"/>
          <w:sz w:val="16"/>
        </w:rPr>
        <w:t>[R12] Dong L. et al. TSD-SR: One-Step Diffusion with Target Score Distillation for Real-World Image Super-Resolution. CVPR, 2025. https://openaccess.thecvf.com/content/CVPR2025/papers/Dong_TSD-SR_One-Step_Diffusion_with_Target_Score_Distillation_for_Real-World_Image_CVPR_2025_paper.pdf</w:t>
      </w:r>
    </w:p>
    <w:p>
      <w:pPr>
        <w:spacing w:before="0" w:after="40" w:line="240" w:lineRule="auto"/>
      </w:pPr>
      <w:r>
        <w:rPr>
          <w:rFonts w:ascii="Arial" w:hAnsi="Arial" w:eastAsia="Noto Sans CJK SC"/>
          <w:sz w:val="16"/>
        </w:rPr>
        <w:t>[R13] Yue Z. et al. Arbitrary-steps Image Super-resolution via Diffusion Inversion. CVPR, 2025. https://openaccess.thecvf.com/content/CVPR2025/papers/Yue_Arbitrary-steps_Image_Super-resolution_via_Diffusion_Inversion_CVPR_2025_paper.pdf</w:t>
      </w:r>
    </w:p>
    <w:p>
      <w:pPr>
        <w:spacing w:before="0" w:after="40" w:line="240" w:lineRule="auto"/>
      </w:pPr>
      <w:r>
        <w:rPr>
          <w:rFonts w:ascii="Arial" w:hAnsi="Arial" w:eastAsia="Noto Sans CJK SC"/>
          <w:sz w:val="16"/>
        </w:rPr>
        <w:t>[R14] Safari M. et al. Res-SRDiff: MRI super-resolution reconstruction using an efficient diffusion probabilistic model with residual shifting. 2025. https://pmc.ncbi.nlm.nih.gov/articles/PMC12167925/</w:t>
      </w:r>
    </w:p>
    <w:p>
      <w:pPr>
        <w:spacing w:before="0" w:after="40" w:line="240" w:lineRule="auto"/>
      </w:pPr>
      <w:r>
        <w:rPr>
          <w:rFonts w:ascii="Arial" w:hAnsi="Arial" w:eastAsia="Noto Sans CJK SC"/>
          <w:sz w:val="16"/>
        </w:rPr>
        <w:t>[R15] Zhao K. et al. MRI Super-Resolution with Partial Diffusion Models. 2025. https://pmc.ncbi.nlm.nih.gov/articles/PMC11913589/</w:t>
      </w:r>
    </w:p>
    <w:p>
      <w:pPr>
        <w:spacing w:before="0" w:after="40" w:line="240" w:lineRule="auto"/>
      </w:pPr>
      <w:r>
        <w:rPr>
          <w:rFonts w:ascii="Arial" w:hAnsi="Arial" w:eastAsia="Noto Sans CJK SC"/>
          <w:sz w:val="16"/>
        </w:rPr>
        <w:t>[R16] Liu L. et al. IM-Diff: Implicit Multi-Contrast Diffusion Model for Arbitrary Scale MRI Super-Resolution. 2025. https://pubmed.ncbi.nlm.nih.gov/40042948/</w:t>
      </w:r>
    </w:p>
    <w:p>
      <w:pPr>
        <w:spacing w:before="0" w:after="40" w:line="240" w:lineRule="auto"/>
      </w:pPr>
      <w:r>
        <w:rPr>
          <w:rFonts w:ascii="Arial" w:hAnsi="Arial" w:eastAsia="Noto Sans CJK SC"/>
          <w:sz w:val="16"/>
        </w:rPr>
        <w:t>[R17] Continuous Super-resolution of Diffusion MRI Using Anatomical Structure-assisted Implicit Neural Representation. MICCAI proceedings, 2024. https://dl.acm.org/doi/10.1007/978-3-031-73284-3_12</w:t>
      </w:r>
    </w:p>
    <w:p>
      <w:pPr>
        <w:spacing w:before="0" w:after="40" w:line="240" w:lineRule="auto"/>
      </w:pPr>
      <w:r>
        <w:rPr>
          <w:rFonts w:ascii="Arial" w:hAnsi="Arial" w:eastAsia="Noto Sans CJK SC"/>
          <w:sz w:val="16"/>
        </w:rPr>
        <w:t>[R18] Webber G. et al. Diffusion models for medical image reconstruction. BJR Artificial Intelligence, 2024. https://academic.oup.com/bjrai/article/1/1/ubae013/7745314</w:t>
      </w:r>
    </w:p>
    <w:p>
      <w:pPr>
        <w:spacing w:before="0" w:after="40" w:line="240" w:lineRule="auto"/>
      </w:pPr>
      <w:r>
        <w:rPr>
          <w:rFonts w:ascii="Arial" w:hAnsi="Arial" w:eastAsia="Noto Sans CJK SC"/>
          <w:sz w:val="16"/>
        </w:rPr>
        <w:t>[R19] Amoros A. et al. Evaluating Super-Resolution Models in Biomedical Imaging. 2025. https://pmc.ncbi.nlm.nih.gov/articles/PMC12027580/</w:t>
      </w:r>
    </w:p>
    <w:p>
      <w:pPr>
        <w:spacing w:before="0" w:after="40" w:line="240" w:lineRule="auto"/>
      </w:pPr>
      <w:r>
        <w:rPr>
          <w:rFonts w:ascii="Arial" w:hAnsi="Arial" w:eastAsia="Noto Sans CJK SC"/>
          <w:sz w:val="16"/>
        </w:rPr>
        <w:t>[R20] Dong Y. et al. PRECISE-DMI: Deuterium Metabolic Imaging using Projections onto Convex Sets Enhanced Reconstruction. arXiv, 2023; adjacent reference, to be rechecked for peer-reviewed status. https://arxiv.org/abs/2309.04100</w:t>
      </w:r>
    </w:p>
    <w:p>
      <w:pPr>
        <w:spacing w:before="0" w:after="40" w:line="240" w:lineRule="auto"/>
      </w:pPr>
      <w:r>
        <w:rPr>
          <w:rFonts w:ascii="Arial" w:hAnsi="Arial" w:eastAsia="Noto Sans CJK SC"/>
          <w:sz w:val="16"/>
        </w:rPr>
        <w:t>[R21] Niess F. et al. Whole-brain deuterium metabolic imaging at 7 T using concentric ring trajectories. 2024. https://ora.ox.ac.uk/objects/uuid%3A37059e1e-efdc-47ab-bea9-5efc224ac383/files/rth83m050p</w:t>
      </w:r>
    </w:p>
    <w:p>
      <w:pPr>
        <w:spacing w:before="0" w:after="40" w:line="240" w:lineRule="auto"/>
      </w:pPr>
      <w:r>
        <w:rPr>
          <w:rFonts w:ascii="Arial" w:hAnsi="Arial" w:eastAsia="Noto Sans CJK SC"/>
          <w:sz w:val="16"/>
        </w:rPr>
        <w:t>[R22] Osburg L. et al. Supervised autoencoder for fast spectral-temporal fitting in deuterium metabolic imaging. NeuroImage, 2025. https://www.sciencedirect.com/science/article/pii/S1053811925006354</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color w:val="646464"/>
        <w:sz w:val="16"/>
      </w:rPr>
      <w:t>DMI SR3 项目诊断与优化方案报告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