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34"/>
          <w:szCs w:val="34"/>
        </w:rPr>
        <w:t xml:space="preserve">COMMODITY DERIVATIVES PEER ANALYSIS</w:t>
      </w:r>
    </w:p>
    <w:p>
      <w:pPr>
        <w:spacing w:before="0" w:after="60"/>
      </w:pPr>
      <w:r>
        <w:rPr>
          <w:rFonts w:ascii="Arial" w:cs="Arial" w:eastAsia="Arial" w:hAnsi="Arial"/>
          <w:color w:val="4472C4"/>
          <w:sz w:val="26"/>
          <w:szCs w:val="26"/>
        </w:rPr>
        <w:t xml:space="preserve">Refinery Margin Hedging — 15 Global Peers</w:t>
      </w:r>
    </w:p>
    <w:p>
      <w:pPr>
        <w:spacing w:before="0" w:after="60"/>
      </w:pPr>
      <w:r>
        <w:rPr>
          <w:rFonts w:ascii="Arial" w:cs="Arial" w:eastAsia="Arial" w:hAnsi="Arial"/>
          <w:color w:val="808080"/>
          <w:sz w:val="20"/>
          <w:szCs w:val="20"/>
        </w:rPr>
        <w:t xml:space="preserve">BNP Paribas Commodity Derivatives Solutions  |  March 2025  |  Confidential</w:t>
      </w:r>
    </w:p>
    <w:p>
      <w:pPr>
        <w:pBdr>
          <w:bottom w:val="single" w:color="1F3864" w:sz="8" w:space="6"/>
        </w:pBdr>
        <w:spacing w:before="0" w:after="320"/>
      </w:pPr>
      <w:r>
        <w:rPr>
          <w:rFonts w:ascii="Arial" w:cs="Arial" w:eastAsia="Arial" w:hAnsi="Arial"/>
          <w:i/>
          <w:iCs/>
          <w:color w:val="808080"/>
          <w:sz w:val="20"/>
          <w:szCs w:val="20"/>
        </w:rPr>
        <w:t xml:space="preserve">Prepared in connection with Repsol client engagement</w:t>
      </w:r>
    </w:p>
    <w:p>
      <w:pPr>
        <w:pBdr>
          <w:bottom w:val="single" w:color="1F3864" w:sz="4" w:space="4"/>
        </w:pBdr>
        <w:spacing w:before="280" w:after="120"/>
      </w:pPr>
      <w:r>
        <w:rPr>
          <w:rFonts w:ascii="Arial" w:cs="Arial" w:eastAsia="Arial" w:hAnsi="Arial"/>
          <w:b/>
          <w:bCs/>
          <w:color w:val="1F3864"/>
          <w:sz w:val="26"/>
          <w:szCs w:val="26"/>
        </w:rPr>
        <w:t xml:space="preserve">EXECUTIVE SUMMARY</w:t>
      </w:r>
    </w:p>
    <w:p>
      <w:pPr>
        <w:spacing w:before="0" w:after="160" w:line="276"/>
        <w:jc w:val="both"/>
      </w:pPr>
      <w:r>
        <w:rPr>
          <w:rFonts w:ascii="Arial" w:cs="Arial" w:eastAsia="Arial" w:hAnsi="Arial"/>
          <w:b w:val="false"/>
          <w:bCs w:val="false"/>
          <w:sz w:val="22"/>
          <w:szCs w:val="22"/>
        </w:rPr>
        <w:t xml:space="preserve">This note synthesises the commodity derivatives and hedging practices of </w:t>
      </w:r>
      <w:r>
        <w:rPr>
          <w:rFonts w:ascii="Arial" w:cs="Arial" w:eastAsia="Arial" w:hAnsi="Arial"/>
          <w:b/>
          <w:bCs/>
          <w:sz w:val="22"/>
          <w:szCs w:val="22"/>
        </w:rPr>
        <w:t xml:space="preserve">15 global oil majors and independent refiners</w:t>
      </w:r>
      <w:r>
        <w:rPr>
          <w:rFonts w:ascii="Arial" w:cs="Arial" w:eastAsia="Arial" w:hAnsi="Arial"/>
          <w:b w:val="false"/>
          <w:bCs w:val="false"/>
          <w:sz w:val="22"/>
          <w:szCs w:val="22"/>
        </w:rPr>
        <w:t xml:space="preserve"> as disclosed in their 2024 annual reports, drawing on notes to consolidated financial statements prepared under IFRS 9 (European and Asian peers) and US GAAP (US independents). The peer universe spans integrated majors (TotalEnergies, Shell, BP, Eni, Chevron), European mid-caps (OMV, PKN ORLEN, Galp, OMV Petrom), US downstream specialists (Valero, Phillips 66), and non-Western large-caps (Reliance Industries, Sinopec, SK Innovation). Combined, the group represents over </w:t>
      </w:r>
      <w:r>
        <w:rPr>
          <w:rFonts w:ascii="Arial" w:cs="Arial" w:eastAsia="Arial" w:hAnsi="Arial"/>
          <w:b/>
          <w:bCs/>
          <w:sz w:val="22"/>
          <w:szCs w:val="22"/>
        </w:rPr>
        <w:t xml:space="preserve">$1.9 trillion in annual revenues</w:t>
      </w:r>
      <w:r>
        <w:rPr>
          <w:rFonts w:ascii="Arial" w:cs="Arial" w:eastAsia="Arial" w:hAnsi="Arial"/>
          <w:b w:val="false"/>
          <w:bCs w:val="false"/>
          <w:sz w:val="22"/>
          <w:szCs w:val="22"/>
        </w:rPr>
        <w:t xml:space="preserve"> and more than $1.3 trillion in market capitalisation at end-2024.</w:t>
      </w:r>
    </w:p>
    <w:p>
      <w:pPr>
        <w:spacing w:before="0" w:after="160" w:line="276"/>
        <w:jc w:val="both"/>
      </w:pPr>
      <w:r>
        <w:rPr>
          <w:rFonts w:ascii="Arial" w:cs="Arial" w:eastAsia="Arial" w:hAnsi="Arial"/>
          <w:b w:val="false"/>
          <w:bCs w:val="false"/>
          <w:sz w:val="22"/>
          <w:szCs w:val="22"/>
        </w:rPr>
        <w:t xml:space="preserve">Three structurally distinct hedging models emerge from this analysis. The choice of model reflects each company's degree of upstream-downstream integration, balance sheet size, regulatory environment, and risk culture. </w:t>
      </w:r>
      <w:r>
        <w:rPr>
          <w:rFonts w:ascii="Arial" w:cs="Arial" w:eastAsia="Arial" w:hAnsi="Arial"/>
          <w:b/>
          <w:bCs/>
          <w:sz w:val="22"/>
          <w:szCs w:val="22"/>
        </w:rPr>
        <w:t xml:space="preserve">Repsol's profile — a European integrated refiner with significant downstream exposure and EU ETS obligations — maps most closely onto a hybrid of the second and first models</w:t>
      </w:r>
      <w:r>
        <w:rPr>
          <w:rFonts w:ascii="Arial" w:cs="Arial" w:eastAsia="Arial" w:hAnsi="Arial"/>
          <w:b w:val="false"/>
          <w:bCs w:val="false"/>
          <w:sz w:val="22"/>
          <w:szCs w:val="22"/>
        </w:rPr>
        <w:t xml:space="preserve">, making the hedging architectures of OMV, Eni, and TotalEnergies the most instructive benchmarks.</w:t>
      </w:r>
    </w:p>
    <w:p>
      <w:pPr>
        <w:pBdr>
          <w:bottom w:val="single" w:color="1F3864" w:sz="4" w:space="4"/>
        </w:pBdr>
        <w:spacing w:before="280" w:after="120"/>
      </w:pPr>
      <w:r>
        <w:rPr>
          <w:rFonts w:ascii="Arial" w:cs="Arial" w:eastAsia="Arial" w:hAnsi="Arial"/>
          <w:b/>
          <w:bCs/>
          <w:color w:val="1F3864"/>
          <w:sz w:val="26"/>
          <w:szCs w:val="26"/>
        </w:rPr>
        <w:t xml:space="preserve">MODEL 1 — THE INTEGRATED MAJOR: STRUCTURAL HEDGE PLUS FINANCIAL OVERLAY</w:t>
      </w:r>
    </w:p>
    <w:p>
      <w:pPr>
        <w:spacing w:before="0" w:after="160" w:line="276"/>
        <w:jc w:val="both"/>
      </w:pPr>
      <w:r>
        <w:rPr>
          <w:rFonts w:ascii="Arial" w:cs="Arial" w:eastAsia="Arial" w:hAnsi="Arial"/>
          <w:b w:val="false"/>
          <w:bCs w:val="false"/>
          <w:sz w:val="22"/>
          <w:szCs w:val="22"/>
        </w:rPr>
        <w:t xml:space="preserve">TotalEnergies ($195.6bn revenue, ~$125bn market cap), Shell ($284bn, ~$210bn), BP ($194.6bn, ~$88bn), Eni (€91bn, ~€45bn), and Chevron ($193bn, ~$275bn) </w:t>
      </w:r>
      <w:r>
        <w:rPr>
          <w:rFonts w:ascii="Arial" w:cs="Arial" w:eastAsia="Arial" w:hAnsi="Arial"/>
          <w:b/>
          <w:bCs/>
          <w:sz w:val="22"/>
          <w:szCs w:val="22"/>
        </w:rPr>
        <w:t xml:space="preserve">rely first and foremost on vertical integration as their primary risk mitigant</w:t>
      </w:r>
      <w:r>
        <w:rPr>
          <w:rFonts w:ascii="Arial" w:cs="Arial" w:eastAsia="Arial" w:hAnsi="Arial"/>
          <w:b w:val="false"/>
          <w:bCs w:val="false"/>
          <w:sz w:val="22"/>
          <w:szCs w:val="22"/>
        </w:rPr>
        <w:t xml:space="preserve">. Upstream crude production and downstream refining/retail naturally offset each other across the oil price cycle: when refining margins compress under high crude prices, upstream earnings expand, and vice versa. This structural hedge reduces — but does not eliminate — the need for financial derivatives.</w:t>
      </w:r>
    </w:p>
    <w:p>
      <w:pPr>
        <w:spacing w:before="0" w:after="160" w:line="276"/>
        <w:jc w:val="both"/>
      </w:pPr>
      <w:r>
        <w:rPr>
          <w:rFonts w:ascii="Arial" w:cs="Arial" w:eastAsia="Arial" w:hAnsi="Arial"/>
          <w:b w:val="false"/>
          <w:bCs w:val="false"/>
          <w:sz w:val="22"/>
          <w:szCs w:val="22"/>
        </w:rPr>
        <w:t xml:space="preserve">Layered on top, each of these companies runs a formalised financial hedging programme under IFRS 9 cash flow hedge accounting. </w:t>
      </w:r>
      <w:r>
        <w:rPr>
          <w:rFonts w:ascii="Arial" w:cs="Arial" w:eastAsia="Arial" w:hAnsi="Arial"/>
          <w:b/>
          <w:bCs/>
          <w:sz w:val="22"/>
          <w:szCs w:val="22"/>
        </w:rPr>
        <w:t xml:space="preserve">Crude oil, refined products, natural gas, and LNG are the dominant hedged commodities</w:t>
      </w:r>
      <w:r>
        <w:rPr>
          <w:rFonts w:ascii="Arial" w:cs="Arial" w:eastAsia="Arial" w:hAnsi="Arial"/>
          <w:b w:val="false"/>
          <w:bCs w:val="false"/>
          <w:sz w:val="22"/>
          <w:szCs w:val="22"/>
        </w:rPr>
        <w:t xml:space="preserve">, with instruments ranging from OTC swaps and forwards to exchange-traded futures (ICE Brent, NYMEX WTI, Henry Hub). TotalEnergies and Shell disclose the largest gross notional exposures among European peers — Shell's Note 26 reports $10.0bn in derivative assets and $9.6bn in derivative liabilities at December 31, 2024 — reflecting both the scale of their trading operations and the breadth of their hedge portfolios.</w:t>
      </w:r>
    </w:p>
    <w:p>
      <w:pPr>
        <w:spacing w:before="0" w:after="160" w:line="276"/>
        <w:jc w:val="both"/>
      </w:pPr>
      <w:r>
        <w:rPr>
          <w:rFonts w:ascii="Arial" w:cs="Arial" w:eastAsia="Arial" w:hAnsi="Arial"/>
          <w:b w:val="false"/>
          <w:bCs w:val="false"/>
          <w:sz w:val="22"/>
          <w:szCs w:val="22"/>
        </w:rPr>
        <w:t xml:space="preserve">EU ETS compliance is handled systematically by all European members of this group. </w:t>
      </w:r>
      <w:r>
        <w:rPr>
          <w:rFonts w:ascii="Arial" w:cs="Arial" w:eastAsia="Arial" w:hAnsi="Arial"/>
          <w:b/>
          <w:bCs/>
          <w:sz w:val="22"/>
          <w:szCs w:val="22"/>
        </w:rPr>
        <w:t xml:space="preserve">CO₂ forwards are traded OTC on the secondary market</w:t>
      </w:r>
      <w:r>
        <w:rPr>
          <w:rFonts w:ascii="Arial" w:cs="Arial" w:eastAsia="Arial" w:hAnsi="Arial"/>
          <w:b w:val="false"/>
          <w:bCs w:val="false"/>
          <w:sz w:val="22"/>
          <w:szCs w:val="22"/>
        </w:rPr>
        <w:t xml:space="preserve">, typically without hedge accounting designation (held at fair value through P&amp;L), and the associated costs are embedded in refining and chemicals segment results. BP's 2024 strategic reset — increasing upstream investment to ~$10bn/year while selectively scaling back low-carbon commitments — has not materially altered its derivatives framework, though its reduced balance sheet (~$85bn market cap versus $125bn for TotalEnergies) implies tighter hedging constraints going forward.</w:t>
      </w:r>
    </w:p>
    <w:p>
      <w:pPr>
        <w:spacing w:before="0" w:after="160" w:line="276"/>
        <w:jc w:val="both"/>
      </w:pPr>
      <w:r>
        <w:rPr>
          <w:rFonts w:ascii="Arial" w:cs="Arial" w:eastAsia="Arial" w:hAnsi="Arial"/>
          <w:b w:val="false"/>
          <w:bCs w:val="false"/>
          <w:sz w:val="22"/>
          <w:szCs w:val="22"/>
        </w:rPr>
        <w:t xml:space="preserve">Eni's "satellite model" — partial IPOs of Enilive (biofuels, ~25–30% to KKR) and Plenitude (renewables + retail, ~10% to EIP) — introduces a layer of subsidiaries with distinct commodity exposures (biofeedstock prices, power prices) that are hedged at entity level. This structural innovation is worth monitoring as it may represent a future template for partially deconsolidating commodity risk.</w:t>
      </w:r>
    </w:p>
    <w:p>
      <w:pPr>
        <w:pBdr>
          <w:bottom w:val="single" w:color="1F3864" w:sz="4" w:space="4"/>
        </w:pBdr>
        <w:spacing w:before="280" w:after="120"/>
      </w:pPr>
      <w:r>
        <w:rPr>
          <w:rFonts w:ascii="Arial" w:cs="Arial" w:eastAsia="Arial" w:hAnsi="Arial"/>
          <w:b/>
          <w:bCs/>
          <w:color w:val="1F3864"/>
          <w:sz w:val="26"/>
          <w:szCs w:val="26"/>
        </w:rPr>
        <w:t xml:space="preserve">MODEL 2 — THE DISCIPLINED DOWNSTREAM: ACTIVE MARGIN HEDGING AND CLEAN CCS REPORTING</w:t>
      </w:r>
    </w:p>
    <w:p>
      <w:pPr>
        <w:spacing w:before="0" w:after="160" w:line="276"/>
        <w:jc w:val="both"/>
      </w:pPr>
      <w:r>
        <w:rPr>
          <w:rFonts w:ascii="Arial" w:cs="Arial" w:eastAsia="Arial" w:hAnsi="Arial"/>
          <w:b w:val="false"/>
          <w:bCs w:val="false"/>
          <w:sz w:val="22"/>
          <w:szCs w:val="22"/>
        </w:rPr>
        <w:t xml:space="preserve">Valero ($130bn revenue, ~$44bn market cap), Phillips 66 ($143bn, ~$47bn), OMV (€34bn, ~€13.5bn), OMV Petrom (€7.2bn, ~€8.9bn), and PKN ORLEN (PLN 297bn, ~€13bn) share a common challenge: </w:t>
      </w:r>
      <w:r>
        <w:rPr>
          <w:rFonts w:ascii="Arial" w:cs="Arial" w:eastAsia="Arial" w:hAnsi="Arial"/>
          <w:b/>
          <w:bCs/>
          <w:sz w:val="22"/>
          <w:szCs w:val="22"/>
        </w:rPr>
        <w:t xml:space="preserve">without meaningful upstream production to offset, they carry full exposure to refining margin volatility</w:t>
      </w:r>
      <w:r>
        <w:rPr>
          <w:rFonts w:ascii="Arial" w:cs="Arial" w:eastAsia="Arial" w:hAnsi="Arial"/>
          <w:b w:val="false"/>
          <w:bCs w:val="false"/>
          <w:sz w:val="22"/>
          <w:szCs w:val="22"/>
        </w:rPr>
        <w:t xml:space="preserve">. Their hedging frameworks are accordingly more active and financially intensive than those of the integrated majors.</w:t>
      </w:r>
    </w:p>
    <w:p>
      <w:pPr>
        <w:spacing w:before="0" w:after="160" w:line="276"/>
        <w:jc w:val="both"/>
      </w:pPr>
      <w:r>
        <w:rPr>
          <w:rFonts w:ascii="Arial" w:cs="Arial" w:eastAsia="Arial" w:hAnsi="Arial"/>
          <w:b w:val="false"/>
          <w:bCs w:val="false"/>
          <w:sz w:val="22"/>
          <w:szCs w:val="22"/>
        </w:rPr>
        <w:t xml:space="preserve">The US independents — Valero and Phillips 66 — operate under US GAAP and manage commodity risk primarily through exchange-traded futures on NYMEX and ICE. </w:t>
      </w:r>
      <w:r>
        <w:rPr>
          <w:rFonts w:ascii="Arial" w:cs="Arial" w:eastAsia="Arial" w:hAnsi="Arial"/>
          <w:b/>
          <w:bCs/>
          <w:sz w:val="22"/>
          <w:szCs w:val="22"/>
        </w:rPr>
        <w:t xml:space="preserve">Crack spread hedging (3-2-1 or 2-1-1 structures on crude/gasoline/distillate) is the core instrument</w:t>
      </w:r>
      <w:r>
        <w:rPr>
          <w:rFonts w:ascii="Arial" w:cs="Arial" w:eastAsia="Arial" w:hAnsi="Arial"/>
          <w:b w:val="false"/>
          <w:bCs w:val="false"/>
          <w:sz w:val="22"/>
          <w:szCs w:val="22"/>
        </w:rPr>
        <w:t xml:space="preserve">, supplemented by feedstock-specific hedges on NGLs (Phillips 66 Midstream segment) and biofeedstocks (Valero Diamond Green Diesel, ~1.2bn gallons/yr renewable diesel). Valero uniquely discloses active management of </w:t>
      </w:r>
      <w:r>
        <w:rPr>
          <w:rFonts w:ascii="Arial" w:cs="Arial" w:eastAsia="Arial" w:hAnsi="Arial"/>
          <w:b/>
          <w:bCs/>
          <w:sz w:val="22"/>
          <w:szCs w:val="22"/>
        </w:rPr>
        <w:t xml:space="preserve">regulatory compliance instruments</w:t>
      </w:r>
      <w:r>
        <w:rPr>
          <w:rFonts w:ascii="Arial" w:cs="Arial" w:eastAsia="Arial" w:hAnsi="Arial"/>
          <w:b w:val="false"/>
          <w:bCs w:val="false"/>
          <w:sz w:val="22"/>
          <w:szCs w:val="22"/>
        </w:rPr>
        <w:t xml:space="preserve"> — RINs (Renewable Identification Numbers under the US RFS), LCFS credits in California, and EU ETS allowances for its UK and Canadian refining assets — reflecting the growing financial weight of carbon compliance in refining economics.</w:t>
      </w:r>
    </w:p>
    <w:p>
      <w:pPr>
        <w:spacing w:before="0" w:after="160" w:line="276"/>
        <w:jc w:val="both"/>
      </w:pPr>
      <w:r>
        <w:rPr>
          <w:rFonts w:ascii="Arial" w:cs="Arial" w:eastAsia="Arial" w:hAnsi="Arial"/>
          <w:b w:val="false"/>
          <w:bCs w:val="false"/>
          <w:sz w:val="22"/>
          <w:szCs w:val="22"/>
        </w:rPr>
        <w:t xml:space="preserve">The European downstream players — OMV, OMV Petrom, and PKN ORLEN — apply </w:t>
      </w:r>
      <w:r>
        <w:rPr>
          <w:rFonts w:ascii="Arial" w:cs="Arial" w:eastAsia="Arial" w:hAnsi="Arial"/>
          <w:b/>
          <w:bCs/>
          <w:sz w:val="22"/>
          <w:szCs w:val="22"/>
        </w:rPr>
        <w:t xml:space="preserve">IFRS 9 cash flow hedge accounting to forecast purchases and sales of crude and products</w:t>
      </w:r>
      <w:r>
        <w:rPr>
          <w:rFonts w:ascii="Arial" w:cs="Arial" w:eastAsia="Arial" w:hAnsi="Arial"/>
          <w:b w:val="false"/>
          <w:bCs w:val="false"/>
          <w:sz w:val="22"/>
          <w:szCs w:val="22"/>
        </w:rPr>
        <w:t xml:space="preserve">, with hedging reserves flowing through OCI before reclassification to the income statement upon physical delivery. OMV and OMV Petrom both classify hedging fair value movements as "special items" excluded from their Clean CCS Operating Result, a methodology designed to insulate reported operating performance from mark-to-market volatility and facilitate like-for-like margin analysis. PKN ORLEN disclosed a PLN -1.6bn derivative settlement impact and a PLN -2.3bn hedging reserve movement in equity for 2024 — the largest in absolute terms among European mid-caps — reflecting both its scale post-LOTOS/PGNiG mergers and the volatility of European energy markets that year.</w:t>
      </w:r>
    </w:p>
    <w:p>
      <w:pPr>
        <w:spacing w:before="0" w:after="160" w:line="276"/>
        <w:jc w:val="both"/>
      </w:pPr>
      <w:r>
        <w:rPr>
          <w:rFonts w:ascii="Arial" w:cs="Arial" w:eastAsia="Arial" w:hAnsi="Arial"/>
          <w:b w:val="false"/>
          <w:bCs w:val="false"/>
          <w:sz w:val="22"/>
          <w:szCs w:val="22"/>
        </w:rPr>
        <w:t xml:space="preserve">EU ETS compliance cost is material for all three: OMV Petrom has operated within the EU ETS since Romania's accession in 2007, and PKN ORLEN trades CO₂ futures on ICE Exchange. </w:t>
      </w:r>
      <w:r>
        <w:rPr>
          <w:rFonts w:ascii="Arial" w:cs="Arial" w:eastAsia="Arial" w:hAnsi="Arial"/>
          <w:b/>
          <w:bCs/>
          <w:sz w:val="22"/>
          <w:szCs w:val="22"/>
        </w:rPr>
        <w:t xml:space="preserve">None of these players apply hedge accounting to CO₂ positions</w:t>
      </w:r>
      <w:r>
        <w:rPr>
          <w:rFonts w:ascii="Arial" w:cs="Arial" w:eastAsia="Arial" w:hAnsi="Arial"/>
          <w:b w:val="false"/>
          <w:bCs w:val="false"/>
          <w:sz w:val="22"/>
          <w:szCs w:val="22"/>
        </w:rPr>
        <w:t xml:space="preserve">, consistent with the practice observed across the full peer set.</w:t>
      </w:r>
    </w:p>
    <w:p>
      <w:pPr>
        <w:spacing w:before="0" w:after="160" w:line="276"/>
        <w:jc w:val="both"/>
      </w:pPr>
      <w:r>
        <w:rPr>
          <w:rFonts w:ascii="Arial" w:cs="Arial" w:eastAsia="Arial" w:hAnsi="Arial"/>
          <w:b w:val="false"/>
          <w:bCs w:val="false"/>
          <w:sz w:val="22"/>
          <w:szCs w:val="22"/>
        </w:rPr>
        <w:t xml:space="preserve">Galp (€22bn revenue, ~€10.5bn market cap) occupies an intermediate position in this model: as operator of Portugal's sole refinery (Sines) with growing upstream production in Brazil (Bacalhau) and Namibia (Mopane), it is transitioning toward greater integration. Its current hedging programme, disclosed in Notes 19–21 of the 2024 Integrated Report, reflects a downstream-centric approach with selective upstream commodity hedges as production ramps.</w:t>
      </w:r>
    </w:p>
    <w:p>
      <w:pPr>
        <w:pBdr>
          <w:bottom w:val="single" w:color="1F3864" w:sz="4" w:space="4"/>
        </w:pBdr>
        <w:spacing w:before="280" w:after="120"/>
      </w:pPr>
      <w:r>
        <w:rPr>
          <w:rFonts w:ascii="Arial" w:cs="Arial" w:eastAsia="Arial" w:hAnsi="Arial"/>
          <w:b/>
          <w:bCs/>
          <w:color w:val="1F3864"/>
          <w:sz w:val="26"/>
          <w:szCs w:val="26"/>
        </w:rPr>
        <w:t xml:space="preserve">MODEL 3 — THE OPERATIONAL NATURAL HEDGER: SCALE, INTEGRATION, LIMITED FINANCIAL DISCLOSURE</w:t>
      </w:r>
    </w:p>
    <w:p>
      <w:pPr>
        <w:spacing w:before="0" w:after="160" w:line="276"/>
        <w:jc w:val="both"/>
      </w:pPr>
      <w:r>
        <w:rPr>
          <w:rFonts w:ascii="Arial" w:cs="Arial" w:eastAsia="Arial" w:hAnsi="Arial"/>
          <w:b w:val="false"/>
          <w:bCs w:val="false"/>
          <w:sz w:val="22"/>
          <w:szCs w:val="22"/>
        </w:rPr>
        <w:t xml:space="preserve">Reliance Industries (FY2025 revenue ~$125bn, ~$205bn market cap), Sinopec (RMB 3,075bn ~$424bn, ~$95bn market cap), and SK Innovation (KRW 74.7T ~$54bn, ~$9bn market cap) represent a fundamentally different philosophy: </w:t>
      </w:r>
      <w:r>
        <w:rPr>
          <w:rFonts w:ascii="Arial" w:cs="Arial" w:eastAsia="Arial" w:hAnsi="Arial"/>
          <w:b/>
          <w:bCs/>
          <w:sz w:val="22"/>
          <w:szCs w:val="22"/>
        </w:rPr>
        <w:t xml:space="preserve">operational scale and integration substitute for formalised financial hedging</w:t>
      </w:r>
      <w:r>
        <w:rPr>
          <w:rFonts w:ascii="Arial" w:cs="Arial" w:eastAsia="Arial" w:hAnsi="Arial"/>
          <w:b w:val="false"/>
          <w:bCs w:val="false"/>
          <w:sz w:val="22"/>
          <w:szCs w:val="22"/>
        </w:rPr>
        <w:t xml:space="preserve">. These companies process more crude per day than most Western peers — Reliance's Jamnagar complex (~1.4 Mbbl/d) is the world's largest single-location refinery; Sinopec processed 252.3 million tonnes of crude in 2024 — and their ability to flex feedstock sourcing, product slate, and cargo timing through centralised trading arms (Unipec for Sinopec, SK Trading International for SK Innovation) provides a form of operational hedge that is difficult to replicate financially.</w:t>
      </w:r>
    </w:p>
    <w:p>
      <w:pPr>
        <w:spacing w:before="0" w:after="160" w:line="276"/>
        <w:jc w:val="both"/>
      </w:pPr>
      <w:r>
        <w:rPr>
          <w:rFonts w:ascii="Arial" w:cs="Arial" w:eastAsia="Arial" w:hAnsi="Arial"/>
          <w:b w:val="false"/>
          <w:bCs w:val="false"/>
          <w:sz w:val="22"/>
          <w:szCs w:val="22"/>
        </w:rPr>
        <w:t xml:space="preserve">Reliance's treasury operates as a </w:t>
      </w:r>
      <w:r>
        <w:rPr>
          <w:rFonts w:ascii="Arial" w:cs="Arial" w:eastAsia="Arial" w:hAnsi="Arial"/>
          <w:b/>
          <w:bCs/>
          <w:sz w:val="22"/>
          <w:szCs w:val="22"/>
        </w:rPr>
        <w:t xml:space="preserve">natural FX hedger</w:t>
      </w:r>
      <w:r>
        <w:rPr>
          <w:rFonts w:ascii="Arial" w:cs="Arial" w:eastAsia="Arial" w:hAnsi="Arial"/>
          <w:b w:val="false"/>
          <w:bCs w:val="false"/>
          <w:sz w:val="22"/>
          <w:szCs w:val="22"/>
        </w:rPr>
        <w:t xml:space="preserve">: since both crude purchases and product exports are denominated in USD, the INR exposure is structurally offset at the consolidated level. Residual FX risk is managed through Ind AS 109 cash flow hedges (USD/INR forwards, options, currency swaps), but commodity derivatives are deployed tactically rather than systematically — a marked contrast to European peers. Interest rate management covers approximately ₹3.25 lakh crore of debt (~50% USD-denominated), with swaps qualifying for hedge accounting on select tranches.</w:t>
      </w:r>
    </w:p>
    <w:p>
      <w:pPr>
        <w:spacing w:before="0" w:after="160" w:line="276"/>
        <w:jc w:val="both"/>
      </w:pPr>
      <w:r>
        <w:rPr>
          <w:rFonts w:ascii="Arial" w:cs="Arial" w:eastAsia="Arial" w:hAnsi="Arial"/>
          <w:b w:val="false"/>
          <w:bCs w:val="false"/>
          <w:sz w:val="22"/>
          <w:szCs w:val="22"/>
        </w:rPr>
        <w:t xml:space="preserve">Sinopec presents the most striking financial derivatives data in the peer set: its derivative financial instruments swung from a </w:t>
      </w:r>
      <w:r>
        <w:rPr>
          <w:rFonts w:ascii="Arial" w:cs="Arial" w:eastAsia="Arial" w:hAnsi="Arial"/>
          <w:b/>
          <w:bCs/>
          <w:sz w:val="22"/>
          <w:szCs w:val="22"/>
        </w:rPr>
        <w:t xml:space="preserve">RMB 6,969mn asset at end-2023 to a RMB 858mn liability at end-2024</w:t>
      </w:r>
      <w:r>
        <w:rPr>
          <w:rFonts w:ascii="Arial" w:cs="Arial" w:eastAsia="Arial" w:hAnsi="Arial"/>
          <w:b w:val="false"/>
          <w:bCs w:val="false"/>
          <w:sz w:val="22"/>
          <w:szCs w:val="22"/>
        </w:rPr>
        <w:t xml:space="preserve">, a RMB 7,827mn reversal, while investment income attributable to hedging performance surged +173% to RMB 15,889mn. These figures reflect the enormous scale of Sinopec's commodity trading through Unipec (~4 Mbbl/d) rather than a conservative hedging programme, and illustrate how "hedging" at this scale blurs into proprietary trading. China's domestic ETS (CETS) is in early development and CO₂ disclosure remains minimal compared to EU peers.</w:t>
      </w:r>
    </w:p>
    <w:p>
      <w:pPr>
        <w:spacing w:before="0" w:after="160" w:line="276"/>
        <w:jc w:val="both"/>
      </w:pPr>
      <w:r>
        <w:rPr>
          <w:rFonts w:ascii="Arial" w:cs="Arial" w:eastAsia="Arial" w:hAnsi="Arial"/>
          <w:b w:val="false"/>
          <w:bCs w:val="false"/>
          <w:sz w:val="22"/>
          <w:szCs w:val="22"/>
        </w:rPr>
        <w:t xml:space="preserve">SK Innovation, restructured in November 2024 through the merger with SK E&amp;S (LNG + power), now carries material gas price exposure through its Caldita-Barossa LNG project in Australia (~1.3 Mtpa from H2 2025, JKM/TTF price reference). </w:t>
      </w:r>
      <w:r>
        <w:rPr>
          <w:rFonts w:ascii="Arial" w:cs="Arial" w:eastAsia="Arial" w:hAnsi="Arial"/>
          <w:b/>
          <w:bCs/>
          <w:sz w:val="22"/>
          <w:szCs w:val="22"/>
        </w:rPr>
        <w:t xml:space="preserve">Inventory effects are the dominant P&amp;L driver</w:t>
      </w:r>
      <w:r>
        <w:rPr>
          <w:rFonts w:ascii="Arial" w:cs="Arial" w:eastAsia="Arial" w:hAnsi="Arial"/>
          <w:b w:val="false"/>
          <w:bCs w:val="false"/>
          <w:sz w:val="22"/>
          <w:szCs w:val="22"/>
        </w:rPr>
        <w:t xml:space="preserve"> in SK Innovation's results — positive in Q4 2024, negative in Q2–Q3 2024 — reflecting the absence of systematic margin hedging and the direct translation of crude and product price movements into reported earnings.</w:t>
      </w:r>
    </w:p>
    <w:p>
      <w:pPr>
        <w:pBdr>
          <w:bottom w:val="single" w:color="1F3864" w:sz="4" w:space="4"/>
        </w:pBdr>
        <w:spacing w:before="280" w:after="120"/>
      </w:pPr>
      <w:r>
        <w:rPr>
          <w:rFonts w:ascii="Arial" w:cs="Arial" w:eastAsia="Arial" w:hAnsi="Arial"/>
          <w:b/>
          <w:bCs/>
          <w:color w:val="1F3864"/>
          <w:sz w:val="26"/>
          <w:szCs w:val="26"/>
        </w:rPr>
        <w:t xml:space="preserve">IMPLICATIONS FOR REPSOL</w:t>
      </w:r>
    </w:p>
    <w:p>
      <w:pPr>
        <w:spacing w:before="0" w:after="160" w:line="276"/>
        <w:jc w:val="both"/>
      </w:pPr>
      <w:r>
        <w:rPr>
          <w:rFonts w:ascii="Arial" w:cs="Arial" w:eastAsia="Arial" w:hAnsi="Arial"/>
          <w:b w:val="false"/>
          <w:bCs w:val="false"/>
          <w:sz w:val="22"/>
          <w:szCs w:val="22"/>
        </w:rPr>
        <w:t xml:space="preserve">Repsol's hedging architecture should be benchmarked primarily against </w:t>
      </w:r>
      <w:r>
        <w:rPr>
          <w:rFonts w:ascii="Arial" w:cs="Arial" w:eastAsia="Arial" w:hAnsi="Arial"/>
          <w:b/>
          <w:bCs/>
          <w:sz w:val="22"/>
          <w:szCs w:val="22"/>
        </w:rPr>
        <w:t xml:space="preserve">OMV, Eni, and TotalEnergies</w:t>
      </w:r>
      <w:r>
        <w:rPr>
          <w:rFonts w:ascii="Arial" w:cs="Arial" w:eastAsia="Arial" w:hAnsi="Arial"/>
          <w:b w:val="false"/>
          <w:bCs w:val="false"/>
          <w:sz w:val="22"/>
          <w:szCs w:val="22"/>
        </w:rPr>
        <w:t xml:space="preserve"> — European integrated companies with refining exposure, EU ETS obligations, and IFRS 9 cash flow hedge programmes covering crude, products, and gas. The following observations from the peer analysis are most directly actionable:</w:t>
      </w:r>
    </w:p>
    <w:p>
      <w:pPr>
        <w:spacing w:before="0" w:after="160" w:line="276"/>
        <w:jc w:val="both"/>
      </w:pPr>
      <w:r>
        <w:rPr>
          <w:rFonts w:ascii="Arial" w:cs="Arial" w:eastAsia="Arial" w:hAnsi="Arial"/>
          <w:b w:val="false"/>
          <w:bCs w:val="false"/>
          <w:sz w:val="22"/>
          <w:szCs w:val="22"/>
        </w:rPr>
        <w:t xml:space="preserve">First, </w:t>
      </w:r>
      <w:r>
        <w:rPr>
          <w:rFonts w:ascii="Arial" w:cs="Arial" w:eastAsia="Arial" w:hAnsi="Arial"/>
          <w:b/>
          <w:bCs/>
          <w:sz w:val="22"/>
          <w:szCs w:val="22"/>
        </w:rPr>
        <w:t xml:space="preserve">crack spread hedging remains underpenetrated among European integrateds relative to US pure-play refiners</w:t>
      </w:r>
      <w:r>
        <w:rPr>
          <w:rFonts w:ascii="Arial" w:cs="Arial" w:eastAsia="Arial" w:hAnsi="Arial"/>
          <w:b w:val="false"/>
          <w:bCs w:val="false"/>
          <w:sz w:val="22"/>
          <w:szCs w:val="22"/>
        </w:rPr>
        <w:t xml:space="preserve">. Valero and Phillips 66 demonstrate that systematic 3-2-1 or 2-1-1 crack spread overlays — using exchange-traded futures and OTC swaps — can meaningfully stabilise refining margin contributions quarter-to-quarter. European peers have historically relied more on inventory management and the natural hedge of integration, but as upstream production profiles become less certain (BP's reset, Eni's satellite disposals), the case for dedicated margin hedging instruments strengthens.</w:t>
      </w:r>
    </w:p>
    <w:p>
      <w:pPr>
        <w:spacing w:before="0" w:after="160" w:line="276"/>
        <w:jc w:val="both"/>
      </w:pPr>
      <w:r>
        <w:rPr>
          <w:rFonts w:ascii="Arial" w:cs="Arial" w:eastAsia="Arial" w:hAnsi="Arial"/>
          <w:b w:val="false"/>
          <w:bCs w:val="false"/>
          <w:sz w:val="22"/>
          <w:szCs w:val="22"/>
        </w:rPr>
        <w:t xml:space="preserve">Second, </w:t>
      </w:r>
      <w:r>
        <w:rPr>
          <w:rFonts w:ascii="Arial" w:cs="Arial" w:eastAsia="Arial" w:hAnsi="Arial"/>
          <w:b/>
          <w:bCs/>
          <w:sz w:val="22"/>
          <w:szCs w:val="22"/>
        </w:rPr>
        <w:t xml:space="preserve">CO₂ cost is increasingly a structuring opportunity, not just a compliance cost</w:t>
      </w:r>
      <w:r>
        <w:rPr>
          <w:rFonts w:ascii="Arial" w:cs="Arial" w:eastAsia="Arial" w:hAnsi="Arial"/>
          <w:b w:val="false"/>
          <w:bCs w:val="false"/>
          <w:sz w:val="22"/>
          <w:szCs w:val="22"/>
        </w:rPr>
        <w:t xml:space="preserve">. The peer set universally avoids hedge accounting on ETS positions (held at FVTPL), but several — notably PKN ORLEN and OMV — engage in active forward purchasing strategies on ICE to smooth annual CO₂ cost. As EU carbon prices remain elevated and Phase IV of the ETS tightens allocations through 2030, structured solutions (collars, calendar spreads, allowance prepurchase facilities) represent a natural extension of BNP Paribas's commodity derivatives mandate.</w:t>
      </w:r>
    </w:p>
    <w:p>
      <w:pPr>
        <w:spacing w:before="0" w:after="160" w:line="276"/>
        <w:jc w:val="both"/>
      </w:pPr>
      <w:r>
        <w:rPr>
          <w:rFonts w:ascii="Arial" w:cs="Arial" w:eastAsia="Arial" w:hAnsi="Arial"/>
          <w:b w:val="false"/>
          <w:bCs w:val="false"/>
          <w:sz w:val="22"/>
          <w:szCs w:val="22"/>
        </w:rPr>
        <w:t xml:space="preserve">Third, </w:t>
      </w:r>
      <w:r>
        <w:rPr>
          <w:rFonts w:ascii="Arial" w:cs="Arial" w:eastAsia="Arial" w:hAnsi="Arial"/>
          <w:b/>
          <w:bCs/>
          <w:sz w:val="22"/>
          <w:szCs w:val="22"/>
        </w:rPr>
        <w:t xml:space="preserve">the CCS/Clean CCS reporting framework adopted by OMV and OMV Petrom — and variants thereof at Shell and BP — illustrates the CFO-level demand for hedging instruments that stabilise reported operating results</w:t>
      </w:r>
      <w:r>
        <w:rPr>
          <w:rFonts w:ascii="Arial" w:cs="Arial" w:eastAsia="Arial" w:hAnsi="Arial"/>
          <w:b w:val="false"/>
          <w:bCs w:val="false"/>
          <w:sz w:val="22"/>
          <w:szCs w:val="22"/>
        </w:rPr>
        <w:t xml:space="preserve"> rather than merely economic cash flows. Structures that qualify for IFRS 9 hedge accounting (OCI treatment, effectiveness testing, documentation requirements) are materially more valuable to European downstream clients than economically equivalent instruments that do not, and should be positioned accordingly in solution design.</w:t>
      </w:r>
    </w:p>
    <w:p>
      <w:pPr>
        <w:pBdr>
          <w:top w:val="single" w:color="CCCCCC" w:sz="4" w:space="4"/>
        </w:pBdr>
        <w:spacing w:before="400" w:after="100"/>
      </w:pPr>
      <w:r>
        <w:rPr>
          <w:rFonts w:ascii="Arial" w:cs="Arial" w:eastAsia="Arial" w:hAnsi="Arial"/>
          <w:i/>
          <w:iCs/>
          <w:color w:val="999999"/>
          <w:sz w:val="18"/>
          <w:szCs w:val="18"/>
        </w:rPr>
        <w:t xml:space="preserve">BNP Paribas — Commodity Derivatives Solutions — EMEA  |  Confidential. For institutional client use only. Not for distribution.</w:t>
      </w:r>
    </w:p>
    <w:sectPr>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2026-03-09T12:58:34.515Z</dcterms:created>
  <dcterms:modified xsi:type="dcterms:W3CDTF">2026-03-09T12:58:34.516Z</dcterms:modified>
</cp:coreProperties>
</file>

<file path=docProps/custom.xml><?xml version="1.0" encoding="utf-8"?>
<Properties xmlns="http://schemas.openxmlformats.org/officeDocument/2006/custom-properties" xmlns:vt="http://schemas.openxmlformats.org/officeDocument/2006/docPropsVTypes"/>
</file>