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2" w:lineRule="exact" w:before="26"/>
        <w:ind w:left="6415" w:right="3524" w:hanging="1356"/>
        <w:jc w:val="left"/>
        <w:rPr>
          <w:sz w:val="35"/>
        </w:rPr>
      </w:pPr>
      <w:r>
        <w:rPr/>
        <w:drawing>
          <wp:anchor distT="0" distB="0" distL="0" distR="0" allowOverlap="1" layoutInCell="1" locked="0" behindDoc="0" simplePos="0" relativeHeight="1048">
            <wp:simplePos x="0" y="0"/>
            <wp:positionH relativeFrom="page">
              <wp:posOffset>1406645</wp:posOffset>
            </wp:positionH>
            <wp:positionV relativeFrom="paragraph">
              <wp:posOffset>-5835</wp:posOffset>
            </wp:positionV>
            <wp:extent cx="1118616" cy="89153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18616" cy="89153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602.279968pt;margin-top:119.300499pt;width:144.4pt;height:40.8pt;mso-position-horizontal-relative:page;mso-position-vertical-relative:paragraph;z-index:107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06"/>
                    <w:gridCol w:w="1538"/>
                  </w:tblGrid>
                  <w:tr>
                    <w:trPr>
                      <w:trHeight w:val="219" w:hRule="exact"/>
                    </w:trPr>
                    <w:tc>
                      <w:tcPr>
                        <w:tcW w:w="1306" w:type="dxa"/>
                        <w:tcBorders>
                          <w:bottom w:val="nil"/>
                        </w:tcBorders>
                        <w:shd w:val="clear" w:color="auto" w:fill="0065CC"/>
                      </w:tcPr>
                      <w:p>
                        <w:pPr>
                          <w:pStyle w:val="TableParagraph"/>
                          <w:rPr>
                            <w:sz w:val="16"/>
                          </w:rPr>
                        </w:pPr>
                        <w:r>
                          <w:rPr>
                            <w:color w:val="FFFFFF"/>
                            <w:sz w:val="16"/>
                          </w:rPr>
                          <w:t>Terms</w:t>
                        </w:r>
                      </w:p>
                    </w:tc>
                    <w:tc>
                      <w:tcPr>
                        <w:tcW w:w="1538" w:type="dxa"/>
                        <w:tcBorders>
                          <w:bottom w:val="nil"/>
                        </w:tcBorders>
                      </w:tcPr>
                      <w:p>
                        <w:pPr>
                          <w:pStyle w:val="TableParagraph"/>
                          <w:ind w:right="404"/>
                          <w:rPr>
                            <w:sz w:val="16"/>
                          </w:rPr>
                        </w:pPr>
                        <w:r>
                          <w:rPr>
                            <w:sz w:val="16"/>
                          </w:rPr>
                          <w:t>Net 30</w:t>
                        </w:r>
                      </w:p>
                    </w:tc>
                  </w:tr>
                  <w:tr>
                    <w:trPr>
                      <w:trHeight w:val="193" w:hRule="exact"/>
                    </w:trPr>
                    <w:tc>
                      <w:tcPr>
                        <w:tcW w:w="1306" w:type="dxa"/>
                        <w:tcBorders>
                          <w:top w:val="nil"/>
                          <w:bottom w:val="nil"/>
                        </w:tcBorders>
                        <w:shd w:val="clear" w:color="auto" w:fill="0065CC"/>
                      </w:tcPr>
                      <w:p>
                        <w:pPr>
                          <w:pStyle w:val="TableParagraph"/>
                          <w:spacing w:line="182" w:lineRule="exact"/>
                          <w:rPr>
                            <w:sz w:val="16"/>
                          </w:rPr>
                        </w:pPr>
                        <w:r>
                          <w:rPr>
                            <w:color w:val="FFFFFF"/>
                            <w:w w:val="105"/>
                            <w:sz w:val="16"/>
                          </w:rPr>
                          <w:t>Quote Date</w:t>
                        </w:r>
                      </w:p>
                    </w:tc>
                    <w:tc>
                      <w:tcPr>
                        <w:tcW w:w="1538" w:type="dxa"/>
                        <w:tcBorders>
                          <w:top w:val="nil"/>
                          <w:bottom w:val="nil"/>
                        </w:tcBorders>
                      </w:tcPr>
                      <w:p>
                        <w:pPr>
                          <w:pStyle w:val="TableParagraph"/>
                          <w:spacing w:line="182" w:lineRule="exact"/>
                          <w:ind w:right="404"/>
                          <w:rPr>
                            <w:sz w:val="16"/>
                          </w:rPr>
                        </w:pPr>
                        <w:r>
                          <w:rPr>
                            <w:sz w:val="16"/>
                          </w:rPr>
                          <w:t>08/17/16</w:t>
                        </w:r>
                      </w:p>
                    </w:tc>
                  </w:tr>
                  <w:tr>
                    <w:trPr>
                      <w:trHeight w:val="197" w:hRule="exact"/>
                    </w:trPr>
                    <w:tc>
                      <w:tcPr>
                        <w:tcW w:w="1306" w:type="dxa"/>
                        <w:tcBorders>
                          <w:top w:val="nil"/>
                          <w:bottom w:val="nil"/>
                        </w:tcBorders>
                        <w:shd w:val="clear" w:color="auto" w:fill="0065CC"/>
                      </w:tcPr>
                      <w:p>
                        <w:pPr>
                          <w:pStyle w:val="TableParagraph"/>
                          <w:spacing w:line="178" w:lineRule="exact"/>
                          <w:rPr>
                            <w:sz w:val="16"/>
                          </w:rPr>
                        </w:pPr>
                        <w:r>
                          <w:rPr>
                            <w:color w:val="FFFFFF"/>
                            <w:w w:val="105"/>
                            <w:sz w:val="16"/>
                          </w:rPr>
                          <w:t>Ship Method</w:t>
                        </w:r>
                      </w:p>
                    </w:tc>
                    <w:tc>
                      <w:tcPr>
                        <w:tcW w:w="1538" w:type="dxa"/>
                        <w:tcBorders>
                          <w:top w:val="nil"/>
                          <w:bottom w:val="nil"/>
                        </w:tcBorders>
                      </w:tcPr>
                      <w:p>
                        <w:pPr>
                          <w:pStyle w:val="TableParagraph"/>
                          <w:spacing w:line="185" w:lineRule="exact"/>
                          <w:ind w:right="404"/>
                          <w:rPr>
                            <w:sz w:val="16"/>
                          </w:rPr>
                        </w:pPr>
                        <w:r>
                          <w:rPr>
                            <w:sz w:val="16"/>
                          </w:rPr>
                          <w:t>Electronic</w:t>
                        </w:r>
                      </w:p>
                    </w:tc>
                  </w:tr>
                  <w:tr>
                    <w:trPr>
                      <w:trHeight w:val="178" w:hRule="exact"/>
                    </w:trPr>
                    <w:tc>
                      <w:tcPr>
                        <w:tcW w:w="1306" w:type="dxa"/>
                        <w:tcBorders>
                          <w:top w:val="nil"/>
                        </w:tcBorders>
                        <w:shd w:val="clear" w:color="auto" w:fill="0065CC"/>
                      </w:tcPr>
                      <w:p>
                        <w:pPr>
                          <w:pStyle w:val="TableParagraph"/>
                          <w:spacing w:line="178" w:lineRule="exact"/>
                          <w:rPr>
                            <w:sz w:val="16"/>
                          </w:rPr>
                        </w:pPr>
                        <w:r>
                          <w:rPr>
                            <w:color w:val="FFFFFF"/>
                            <w:w w:val="105"/>
                            <w:sz w:val="16"/>
                          </w:rPr>
                          <w:t>Quote Expires</w:t>
                        </w:r>
                      </w:p>
                    </w:tc>
                    <w:tc>
                      <w:tcPr>
                        <w:tcW w:w="1538" w:type="dxa"/>
                        <w:tcBorders>
                          <w:top w:val="nil"/>
                        </w:tcBorders>
                      </w:tcPr>
                      <w:p>
                        <w:pPr>
                          <w:pStyle w:val="TableParagraph"/>
                          <w:spacing w:line="185" w:lineRule="exact"/>
                          <w:ind w:right="404"/>
                          <w:rPr>
                            <w:sz w:val="16"/>
                          </w:rPr>
                        </w:pPr>
                        <w:r>
                          <w:rPr>
                            <w:sz w:val="16"/>
                          </w:rPr>
                          <w:t>08/30/16</w:t>
                        </w:r>
                      </w:p>
                    </w:tc>
                  </w:tr>
                </w:tbl>
                <w:p>
                  <w:pPr>
                    <w:pStyle w:val="BodyText"/>
                    <w:spacing w:before="0"/>
                    <w:ind w:left="0"/>
                  </w:pPr>
                </w:p>
              </w:txbxContent>
            </v:textbox>
            <w10:wrap type="none"/>
          </v:shape>
        </w:pict>
      </w:r>
      <w:r>
        <w:rPr>
          <w:w w:val="105"/>
          <w:sz w:val="35"/>
        </w:rPr>
        <w:t>Boston</w:t>
      </w:r>
      <w:r>
        <w:rPr>
          <w:spacing w:val="-39"/>
          <w:w w:val="105"/>
          <w:sz w:val="35"/>
        </w:rPr>
        <w:t> </w:t>
      </w:r>
      <w:r>
        <w:rPr>
          <w:w w:val="105"/>
          <w:sz w:val="35"/>
        </w:rPr>
        <w:t>Medical</w:t>
      </w:r>
      <w:r>
        <w:rPr>
          <w:spacing w:val="-38"/>
          <w:w w:val="105"/>
          <w:sz w:val="35"/>
        </w:rPr>
        <w:t> </w:t>
      </w:r>
      <w:r>
        <w:rPr>
          <w:w w:val="105"/>
          <w:sz w:val="35"/>
        </w:rPr>
        <w:t>Center</w:t>
      </w:r>
      <w:r>
        <w:rPr>
          <w:spacing w:val="-38"/>
          <w:w w:val="105"/>
          <w:sz w:val="35"/>
        </w:rPr>
        <w:t> </w:t>
      </w:r>
      <w:r>
        <w:rPr>
          <w:w w:val="105"/>
          <w:sz w:val="35"/>
        </w:rPr>
        <w:t>HealthNet</w:t>
      </w:r>
      <w:r>
        <w:rPr>
          <w:spacing w:val="-39"/>
          <w:w w:val="105"/>
          <w:sz w:val="35"/>
        </w:rPr>
        <w:t> </w:t>
      </w:r>
      <w:r>
        <w:rPr>
          <w:w w:val="105"/>
          <w:sz w:val="35"/>
        </w:rPr>
        <w:t>Plan </w:t>
      </w:r>
      <w:r>
        <w:rPr>
          <w:sz w:val="35"/>
        </w:rPr>
        <w:t>Software</w:t>
      </w:r>
      <w:r>
        <w:rPr>
          <w:spacing w:val="76"/>
          <w:sz w:val="35"/>
        </w:rPr>
        <w:t> </w:t>
      </w:r>
      <w:r>
        <w:rPr>
          <w:sz w:val="35"/>
        </w:rPr>
        <w:t>Quotation</w:t>
      </w:r>
    </w:p>
    <w:p>
      <w:pPr>
        <w:pStyle w:val="BodyText"/>
        <w:spacing w:before="0"/>
        <w:ind w:left="0"/>
        <w:rPr>
          <w:sz w:val="20"/>
        </w:rPr>
      </w:pPr>
    </w:p>
    <w:p>
      <w:pPr>
        <w:pStyle w:val="BodyText"/>
        <w:spacing w:before="0"/>
        <w:ind w:left="0"/>
        <w:rPr>
          <w:sz w:val="20"/>
        </w:rPr>
      </w:pPr>
    </w:p>
    <w:p>
      <w:pPr>
        <w:pStyle w:val="BodyText"/>
        <w:spacing w:before="5" w:after="1"/>
        <w:ind w:left="0"/>
      </w:pPr>
    </w:p>
    <w:tbl>
      <w:tblPr>
        <w:tblW w:w="0" w:type="auto"/>
        <w:jc w:val="left"/>
        <w:tblInd w:w="12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68"/>
        <w:gridCol w:w="4642"/>
        <w:gridCol w:w="2582"/>
        <w:gridCol w:w="1306"/>
        <w:gridCol w:w="1538"/>
      </w:tblGrid>
      <w:tr>
        <w:trPr>
          <w:trHeight w:val="866" w:hRule="exact"/>
        </w:trPr>
        <w:tc>
          <w:tcPr>
            <w:tcW w:w="3868" w:type="dxa"/>
          </w:tcPr>
          <w:p>
            <w:pPr>
              <w:pStyle w:val="TableParagraph"/>
              <w:spacing w:line="202" w:lineRule="exact" w:before="69"/>
              <w:ind w:left="35" w:right="1019"/>
              <w:rPr>
                <w:sz w:val="17"/>
              </w:rPr>
            </w:pPr>
            <w:r>
              <w:rPr>
                <w:w w:val="105"/>
                <w:sz w:val="17"/>
              </w:rPr>
              <w:t>Ship to:</w:t>
            </w:r>
          </w:p>
          <w:p>
            <w:pPr>
              <w:pStyle w:val="TableParagraph"/>
              <w:spacing w:line="228" w:lineRule="auto" w:before="2"/>
              <w:ind w:left="35" w:right="1019"/>
              <w:rPr>
                <w:sz w:val="17"/>
              </w:rPr>
            </w:pPr>
            <w:r>
              <w:rPr>
                <w:w w:val="105"/>
                <w:sz w:val="17"/>
              </w:rPr>
              <w:t>Boston Medical Center HealthNet Plan </w:t>
            </w:r>
            <w:r>
              <w:rPr>
                <w:sz w:val="17"/>
              </w:rPr>
              <w:t>John Schultheis</w:t>
            </w:r>
          </w:p>
          <w:p>
            <w:pPr>
              <w:pStyle w:val="TableParagraph"/>
              <w:spacing w:line="199" w:lineRule="exact"/>
              <w:ind w:left="35" w:right="1019"/>
              <w:rPr>
                <w:sz w:val="17"/>
              </w:rPr>
            </w:pPr>
            <w:r>
              <w:rPr>
                <w:w w:val="105"/>
                <w:sz w:val="17"/>
              </w:rPr>
              <w:t>Two Copley Place, Suite 600</w:t>
            </w:r>
          </w:p>
        </w:tc>
        <w:tc>
          <w:tcPr>
            <w:tcW w:w="4642" w:type="dxa"/>
          </w:tcPr>
          <w:p>
            <w:pPr>
              <w:pStyle w:val="TableParagraph"/>
              <w:spacing w:line="202" w:lineRule="exact" w:before="69"/>
              <w:ind w:left="528" w:right="1301"/>
              <w:rPr>
                <w:sz w:val="17"/>
              </w:rPr>
            </w:pPr>
            <w:r>
              <w:rPr>
                <w:w w:val="105"/>
                <w:sz w:val="17"/>
              </w:rPr>
              <w:t>Bill To:</w:t>
            </w:r>
          </w:p>
          <w:p>
            <w:pPr>
              <w:pStyle w:val="TableParagraph"/>
              <w:spacing w:line="228" w:lineRule="auto" w:before="2"/>
              <w:ind w:left="528" w:right="1301"/>
              <w:rPr>
                <w:sz w:val="17"/>
              </w:rPr>
            </w:pPr>
            <w:r>
              <w:rPr>
                <w:w w:val="105"/>
                <w:sz w:val="17"/>
              </w:rPr>
              <w:t>Boston Medical Center HealthNet Plan Accounts Payable</w:t>
            </w:r>
          </w:p>
          <w:p>
            <w:pPr>
              <w:pStyle w:val="TableParagraph"/>
              <w:spacing w:line="199" w:lineRule="exact"/>
              <w:ind w:left="528" w:right="1301"/>
              <w:rPr>
                <w:sz w:val="17"/>
              </w:rPr>
            </w:pPr>
            <w:r>
              <w:rPr>
                <w:w w:val="105"/>
                <w:sz w:val="17"/>
              </w:rPr>
              <w:t>Two Copley Place, Suite 600</w:t>
            </w:r>
          </w:p>
        </w:tc>
        <w:tc>
          <w:tcPr>
            <w:tcW w:w="2582" w:type="dxa"/>
          </w:tcPr>
          <w:p>
            <w:pPr/>
          </w:p>
        </w:tc>
        <w:tc>
          <w:tcPr>
            <w:tcW w:w="2844" w:type="dxa"/>
            <w:gridSpan w:val="2"/>
            <w:vMerge w:val="restart"/>
          </w:tcPr>
          <w:p>
            <w:pPr/>
          </w:p>
        </w:tc>
      </w:tr>
      <w:tr>
        <w:trPr>
          <w:trHeight w:val="214" w:hRule="exact"/>
        </w:trPr>
        <w:tc>
          <w:tcPr>
            <w:tcW w:w="3868" w:type="dxa"/>
          </w:tcPr>
          <w:p>
            <w:pPr>
              <w:pStyle w:val="TableParagraph"/>
              <w:spacing w:line="199" w:lineRule="exact"/>
              <w:ind w:left="35" w:right="1019"/>
              <w:rPr>
                <w:sz w:val="17"/>
              </w:rPr>
            </w:pPr>
            <w:r>
              <w:rPr>
                <w:w w:val="105"/>
                <w:sz w:val="17"/>
              </w:rPr>
              <w:t>Boston, MA 02116</w:t>
            </w:r>
          </w:p>
        </w:tc>
        <w:tc>
          <w:tcPr>
            <w:tcW w:w="4642" w:type="dxa"/>
          </w:tcPr>
          <w:p>
            <w:pPr>
              <w:pStyle w:val="TableParagraph"/>
              <w:spacing w:line="199" w:lineRule="exact"/>
              <w:ind w:left="528" w:right="1301"/>
              <w:rPr>
                <w:sz w:val="17"/>
              </w:rPr>
            </w:pPr>
            <w:r>
              <w:rPr>
                <w:w w:val="105"/>
                <w:sz w:val="17"/>
              </w:rPr>
              <w:t>Boston, MA 02116</w:t>
            </w:r>
          </w:p>
        </w:tc>
        <w:tc>
          <w:tcPr>
            <w:tcW w:w="2582" w:type="dxa"/>
          </w:tcPr>
          <w:p>
            <w:pPr/>
          </w:p>
        </w:tc>
        <w:tc>
          <w:tcPr>
            <w:tcW w:w="2844" w:type="dxa"/>
            <w:gridSpan w:val="2"/>
            <w:vMerge/>
          </w:tcPr>
          <w:p>
            <w:pPr/>
          </w:p>
        </w:tc>
      </w:tr>
      <w:tr>
        <w:trPr>
          <w:trHeight w:val="191" w:hRule="exact"/>
        </w:trPr>
        <w:tc>
          <w:tcPr>
            <w:tcW w:w="3868" w:type="dxa"/>
          </w:tcPr>
          <w:p>
            <w:pPr>
              <w:pStyle w:val="TableParagraph"/>
              <w:spacing w:line="182" w:lineRule="exact"/>
              <w:ind w:left="35" w:right="1019"/>
              <w:rPr>
                <w:sz w:val="17"/>
              </w:rPr>
            </w:pPr>
            <w:r>
              <w:rPr>
                <w:w w:val="105"/>
                <w:sz w:val="17"/>
              </w:rPr>
              <w:t>Phone: (617) 748-6076</w:t>
            </w:r>
          </w:p>
        </w:tc>
        <w:tc>
          <w:tcPr>
            <w:tcW w:w="4642" w:type="dxa"/>
          </w:tcPr>
          <w:p>
            <w:pPr/>
          </w:p>
        </w:tc>
        <w:tc>
          <w:tcPr>
            <w:tcW w:w="2582" w:type="dxa"/>
          </w:tcPr>
          <w:p>
            <w:pPr>
              <w:pStyle w:val="TableParagraph"/>
              <w:spacing w:line="182" w:lineRule="exact"/>
              <w:ind w:left="0" w:right="32"/>
              <w:jc w:val="right"/>
              <w:rPr>
                <w:sz w:val="17"/>
              </w:rPr>
            </w:pPr>
            <w:r>
              <w:rPr>
                <w:w w:val="105"/>
                <w:sz w:val="17"/>
              </w:rPr>
              <w:t>Tax Exempt:</w:t>
            </w:r>
          </w:p>
        </w:tc>
        <w:tc>
          <w:tcPr>
            <w:tcW w:w="2844" w:type="dxa"/>
            <w:gridSpan w:val="2"/>
            <w:vMerge/>
          </w:tcPr>
          <w:p>
            <w:pPr/>
          </w:p>
        </w:tc>
      </w:tr>
      <w:tr>
        <w:trPr>
          <w:trHeight w:val="199" w:hRule="exact"/>
        </w:trPr>
        <w:tc>
          <w:tcPr>
            <w:tcW w:w="3868" w:type="dxa"/>
          </w:tcPr>
          <w:p>
            <w:pPr>
              <w:pStyle w:val="TableParagraph"/>
              <w:spacing w:line="188" w:lineRule="exact"/>
              <w:ind w:left="35"/>
              <w:rPr>
                <w:sz w:val="17"/>
              </w:rPr>
            </w:pPr>
            <w:r>
              <w:rPr>
                <w:sz w:val="17"/>
              </w:rPr>
              <w:t>Email:   </w:t>
            </w:r>
            <w:hyperlink r:id="rId6">
              <w:r>
                <w:rPr>
                  <w:sz w:val="17"/>
                </w:rPr>
                <w:t>John.Schultheis@BMCHP-wellsense.org</w:t>
              </w:r>
            </w:hyperlink>
          </w:p>
        </w:tc>
        <w:tc>
          <w:tcPr>
            <w:tcW w:w="4642" w:type="dxa"/>
          </w:tcPr>
          <w:p>
            <w:pPr/>
          </w:p>
        </w:tc>
        <w:tc>
          <w:tcPr>
            <w:tcW w:w="2582" w:type="dxa"/>
          </w:tcPr>
          <w:p>
            <w:pPr>
              <w:pStyle w:val="TableParagraph"/>
              <w:spacing w:line="188" w:lineRule="exact"/>
              <w:ind w:left="0" w:right="32"/>
              <w:jc w:val="right"/>
              <w:rPr>
                <w:sz w:val="17"/>
              </w:rPr>
            </w:pPr>
            <w:r>
              <w:rPr>
                <w:w w:val="105"/>
                <w:sz w:val="17"/>
              </w:rPr>
              <w:t>Tax Exempt Ref:</w:t>
            </w:r>
          </w:p>
        </w:tc>
        <w:tc>
          <w:tcPr>
            <w:tcW w:w="1306" w:type="dxa"/>
          </w:tcPr>
          <w:p>
            <w:pPr/>
          </w:p>
        </w:tc>
        <w:tc>
          <w:tcPr>
            <w:tcW w:w="1538" w:type="dxa"/>
          </w:tcPr>
          <w:p>
            <w:pPr/>
          </w:p>
        </w:tc>
      </w:tr>
      <w:tr>
        <w:trPr>
          <w:trHeight w:val="278" w:hRule="exact"/>
        </w:trPr>
        <w:tc>
          <w:tcPr>
            <w:tcW w:w="3868" w:type="dxa"/>
          </w:tcPr>
          <w:p>
            <w:pPr/>
          </w:p>
        </w:tc>
        <w:tc>
          <w:tcPr>
            <w:tcW w:w="4642" w:type="dxa"/>
          </w:tcPr>
          <w:p>
            <w:pPr/>
          </w:p>
        </w:tc>
        <w:tc>
          <w:tcPr>
            <w:tcW w:w="2582" w:type="dxa"/>
          </w:tcPr>
          <w:p>
            <w:pPr/>
          </w:p>
        </w:tc>
        <w:tc>
          <w:tcPr>
            <w:tcW w:w="1306" w:type="dxa"/>
          </w:tcPr>
          <w:p>
            <w:pPr/>
          </w:p>
        </w:tc>
        <w:tc>
          <w:tcPr>
            <w:tcW w:w="1538" w:type="dxa"/>
          </w:tcPr>
          <w:p>
            <w:pPr/>
          </w:p>
        </w:tc>
      </w:tr>
    </w:tbl>
    <w:p>
      <w:pPr>
        <w:pStyle w:val="BodyText"/>
        <w:spacing w:before="9"/>
        <w:ind w:left="0"/>
        <w:rPr>
          <w:sz w:val="6"/>
        </w:rPr>
      </w:pPr>
    </w:p>
    <w:tbl>
      <w:tblPr>
        <w:tblW w:w="0" w:type="auto"/>
        <w:jc w:val="left"/>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0"/>
        <w:gridCol w:w="991"/>
        <w:gridCol w:w="6727"/>
        <w:gridCol w:w="1306"/>
        <w:gridCol w:w="1538"/>
      </w:tblGrid>
      <w:tr>
        <w:trPr>
          <w:trHeight w:val="394" w:hRule="exact"/>
        </w:trPr>
        <w:tc>
          <w:tcPr>
            <w:tcW w:w="3370" w:type="dxa"/>
            <w:shd w:val="clear" w:color="auto" w:fill="0065CC"/>
          </w:tcPr>
          <w:p>
            <w:pPr>
              <w:pStyle w:val="TableParagraph"/>
              <w:spacing w:line="240" w:lineRule="auto" w:before="7"/>
              <w:ind w:left="0"/>
              <w:rPr>
                <w:sz w:val="15"/>
              </w:rPr>
            </w:pPr>
          </w:p>
          <w:p>
            <w:pPr>
              <w:pStyle w:val="TableParagraph"/>
              <w:spacing w:line="240" w:lineRule="auto"/>
              <w:ind w:left="12"/>
              <w:rPr>
                <w:sz w:val="14"/>
              </w:rPr>
            </w:pPr>
            <w:r>
              <w:rPr>
                <w:color w:val="FFFFFF"/>
                <w:w w:val="105"/>
                <w:sz w:val="14"/>
              </w:rPr>
              <w:t>PRODUCT</w:t>
            </w:r>
          </w:p>
        </w:tc>
        <w:tc>
          <w:tcPr>
            <w:tcW w:w="991" w:type="dxa"/>
            <w:shd w:val="clear" w:color="auto" w:fill="0065CC"/>
          </w:tcPr>
          <w:p>
            <w:pPr>
              <w:pStyle w:val="TableParagraph"/>
              <w:spacing w:line="240" w:lineRule="auto" w:before="7"/>
              <w:ind w:left="0"/>
              <w:rPr>
                <w:sz w:val="15"/>
              </w:rPr>
            </w:pPr>
          </w:p>
          <w:p>
            <w:pPr>
              <w:pStyle w:val="TableParagraph"/>
              <w:spacing w:line="240" w:lineRule="auto"/>
              <w:ind w:left="12"/>
              <w:rPr>
                <w:sz w:val="14"/>
              </w:rPr>
            </w:pPr>
            <w:r>
              <w:rPr>
                <w:color w:val="FFFFFF"/>
                <w:w w:val="110"/>
                <w:sz w:val="14"/>
              </w:rPr>
              <w:t>QUANTITY</w:t>
            </w:r>
          </w:p>
        </w:tc>
        <w:tc>
          <w:tcPr>
            <w:tcW w:w="6727" w:type="dxa"/>
            <w:shd w:val="clear" w:color="auto" w:fill="0065CC"/>
          </w:tcPr>
          <w:p>
            <w:pPr>
              <w:pStyle w:val="TableParagraph"/>
              <w:spacing w:line="240" w:lineRule="auto" w:before="7"/>
              <w:ind w:left="0"/>
              <w:rPr>
                <w:sz w:val="15"/>
              </w:rPr>
            </w:pPr>
          </w:p>
          <w:p>
            <w:pPr>
              <w:pStyle w:val="TableParagraph"/>
              <w:spacing w:line="240" w:lineRule="auto"/>
              <w:ind w:left="12"/>
              <w:rPr>
                <w:sz w:val="14"/>
              </w:rPr>
            </w:pPr>
            <w:r>
              <w:rPr>
                <w:color w:val="FFFFFF"/>
                <w:w w:val="105"/>
                <w:sz w:val="14"/>
              </w:rPr>
              <w:t>DESCRIPTION</w:t>
            </w:r>
          </w:p>
        </w:tc>
        <w:tc>
          <w:tcPr>
            <w:tcW w:w="1306" w:type="dxa"/>
            <w:shd w:val="clear" w:color="auto" w:fill="0065CC"/>
          </w:tcPr>
          <w:p>
            <w:pPr>
              <w:pStyle w:val="TableParagraph"/>
              <w:spacing w:line="256" w:lineRule="auto" w:before="8"/>
              <w:ind w:left="472" w:right="453" w:hanging="2"/>
              <w:jc w:val="center"/>
              <w:rPr>
                <w:sz w:val="14"/>
              </w:rPr>
            </w:pPr>
            <w:r>
              <w:rPr>
                <w:color w:val="FFFFFF"/>
                <w:w w:val="105"/>
                <w:sz w:val="14"/>
              </w:rPr>
              <w:t>UNIT PRICE</w:t>
            </w:r>
          </w:p>
        </w:tc>
        <w:tc>
          <w:tcPr>
            <w:tcW w:w="1538" w:type="dxa"/>
            <w:shd w:val="clear" w:color="auto" w:fill="0065CC"/>
          </w:tcPr>
          <w:p>
            <w:pPr>
              <w:pStyle w:val="TableParagraph"/>
              <w:spacing w:line="256" w:lineRule="auto" w:before="8"/>
              <w:ind w:left="588" w:right="404" w:hanging="159"/>
              <w:rPr>
                <w:sz w:val="14"/>
              </w:rPr>
            </w:pPr>
            <w:r>
              <w:rPr>
                <w:color w:val="FFFFFF"/>
                <w:w w:val="105"/>
                <w:sz w:val="14"/>
              </w:rPr>
              <w:t>PROPOSED PRICE</w:t>
            </w:r>
          </w:p>
        </w:tc>
      </w:tr>
      <w:tr>
        <w:trPr>
          <w:trHeight w:val="569" w:hRule="exact"/>
        </w:trPr>
        <w:tc>
          <w:tcPr>
            <w:tcW w:w="3370" w:type="dxa"/>
          </w:tcPr>
          <w:p>
            <w:pPr>
              <w:pStyle w:val="TableParagraph"/>
              <w:rPr>
                <w:sz w:val="16"/>
              </w:rPr>
            </w:pPr>
            <w:r>
              <w:rPr>
                <w:sz w:val="16"/>
              </w:rPr>
              <w:t>OrasiPlatinumSupport 2016</w:t>
            </w:r>
          </w:p>
        </w:tc>
        <w:tc>
          <w:tcPr>
            <w:tcW w:w="991" w:type="dxa"/>
          </w:tcPr>
          <w:p>
            <w:pPr>
              <w:pStyle w:val="TableParagraph"/>
              <w:ind w:left="11"/>
              <w:jc w:val="center"/>
              <w:rPr>
                <w:sz w:val="16"/>
              </w:rPr>
            </w:pPr>
            <w:r>
              <w:rPr>
                <w:w w:val="100"/>
                <w:sz w:val="16"/>
              </w:rPr>
              <w:t>1</w:t>
            </w:r>
          </w:p>
        </w:tc>
        <w:tc>
          <w:tcPr>
            <w:tcW w:w="6727" w:type="dxa"/>
          </w:tcPr>
          <w:p>
            <w:pPr>
              <w:pStyle w:val="TableParagraph"/>
              <w:rPr>
                <w:sz w:val="16"/>
              </w:rPr>
            </w:pPr>
            <w:r>
              <w:rPr>
                <w:sz w:val="16"/>
              </w:rPr>
              <w:t>Orasi Platinum Support  -$5000 for 20 hours ( additional hours can be added for $250 each).</w:t>
            </w:r>
          </w:p>
        </w:tc>
        <w:tc>
          <w:tcPr>
            <w:tcW w:w="1306" w:type="dxa"/>
          </w:tcPr>
          <w:p>
            <w:pPr>
              <w:pStyle w:val="TableParagraph"/>
              <w:tabs>
                <w:tab w:pos="643" w:val="left" w:leader="none"/>
              </w:tabs>
              <w:ind w:left="62"/>
              <w:rPr>
                <w:sz w:val="16"/>
              </w:rPr>
            </w:pPr>
            <w:r>
              <w:rPr>
                <w:sz w:val="16"/>
              </w:rPr>
              <w:t>$</w:t>
              <w:tab/>
              <w:t>5,000.00</w:t>
            </w:r>
          </w:p>
        </w:tc>
        <w:tc>
          <w:tcPr>
            <w:tcW w:w="1538" w:type="dxa"/>
          </w:tcPr>
          <w:p>
            <w:pPr>
              <w:pStyle w:val="TableParagraph"/>
              <w:tabs>
                <w:tab w:pos="813" w:val="left" w:leader="none"/>
              </w:tabs>
              <w:ind w:left="0" w:right="1"/>
              <w:jc w:val="center"/>
              <w:rPr>
                <w:sz w:val="16"/>
              </w:rPr>
            </w:pPr>
            <w:r>
              <w:rPr>
                <w:sz w:val="16"/>
              </w:rPr>
              <w:t>$</w:t>
              <w:tab/>
              <w:t>5,000.00</w:t>
            </w:r>
          </w:p>
        </w:tc>
      </w:tr>
      <w:tr>
        <w:trPr>
          <w:trHeight w:val="274" w:hRule="exact"/>
        </w:trPr>
        <w:tc>
          <w:tcPr>
            <w:tcW w:w="11088" w:type="dxa"/>
            <w:gridSpan w:val="3"/>
            <w:shd w:val="clear" w:color="auto" w:fill="0065CC"/>
          </w:tcPr>
          <w:p>
            <w:pPr/>
          </w:p>
        </w:tc>
        <w:tc>
          <w:tcPr>
            <w:tcW w:w="1306" w:type="dxa"/>
            <w:shd w:val="clear" w:color="auto" w:fill="0065CC"/>
          </w:tcPr>
          <w:p>
            <w:pPr/>
          </w:p>
        </w:tc>
        <w:tc>
          <w:tcPr>
            <w:tcW w:w="1538" w:type="dxa"/>
            <w:shd w:val="clear" w:color="auto" w:fill="0065CC"/>
          </w:tcPr>
          <w:p>
            <w:pPr>
              <w:pStyle w:val="TableParagraph"/>
              <w:tabs>
                <w:tab w:pos="619" w:val="left" w:leader="none"/>
              </w:tabs>
              <w:spacing w:line="234" w:lineRule="exact"/>
              <w:ind w:left="15"/>
              <w:jc w:val="center"/>
              <w:rPr>
                <w:sz w:val="20"/>
              </w:rPr>
            </w:pPr>
            <w:r>
              <w:rPr>
                <w:color w:val="FFFFFF"/>
                <w:sz w:val="20"/>
              </w:rPr>
              <w:t>$</w:t>
              <w:tab/>
              <w:t>5,000.00</w:t>
            </w:r>
          </w:p>
        </w:tc>
      </w:tr>
    </w:tbl>
    <w:p>
      <w:pPr>
        <w:spacing w:before="195"/>
        <w:ind w:left="158" w:right="3524" w:firstLine="0"/>
        <w:jc w:val="left"/>
        <w:rPr>
          <w:sz w:val="14"/>
        </w:rPr>
      </w:pPr>
      <w:r>
        <w:rPr>
          <w:w w:val="105"/>
          <w:sz w:val="14"/>
        </w:rPr>
        <w:t>NOTES</w:t>
      </w:r>
    </w:p>
    <w:p>
      <w:pPr>
        <w:pStyle w:val="BodyText"/>
        <w:spacing w:line="259" w:lineRule="auto" w:before="2"/>
      </w:pPr>
      <w:r>
        <w:rPr/>
        <w:t>The contents of this quotation are confidential and are intended only to transact business between our organizations. The content of this quote may not be disclosed to any other party, individual, or other entity outside of your organization.</w:t>
      </w:r>
    </w:p>
    <w:p>
      <w:pPr>
        <w:pStyle w:val="BodyText"/>
        <w:spacing w:before="10"/>
        <w:ind w:right="3524"/>
      </w:pPr>
      <w:r>
        <w:rPr/>
        <w:t>Applicable sales tax, if any, will be added to the invoice.</w:t>
      </w:r>
    </w:p>
    <w:p>
      <w:pPr>
        <w:pStyle w:val="BodyText"/>
        <w:spacing w:line="259" w:lineRule="auto"/>
        <w:ind w:right="2605"/>
      </w:pPr>
      <w:r>
        <w:rPr/>
        <w:t>All onsite services and training are quoted exclusive of normal travel and living expenses of the Orasi Technology Engineer and will be the invoiced separately at actual costs. Net terms are 30 days.</w:t>
      </w:r>
    </w:p>
    <w:p>
      <w:pPr>
        <w:pStyle w:val="BodyText"/>
        <w:spacing w:before="0"/>
        <w:ind w:right="3524"/>
      </w:pPr>
      <w:r>
        <w:rPr>
          <w:w w:val="105"/>
        </w:rPr>
        <w:t>License and Services:</w:t>
      </w:r>
    </w:p>
    <w:p>
      <w:pPr>
        <w:pStyle w:val="BodyText"/>
      </w:pPr>
      <w:r>
        <w:rPr/>
        <w:t>The Software Manufacturer's standard software license agreement or standard services agreement provided with the software or with the services quoted shall govern the receipt and use of such software and</w:t>
      </w:r>
    </w:p>
    <w:p>
      <w:pPr>
        <w:pStyle w:val="BodyText"/>
        <w:ind w:right="3524"/>
      </w:pPr>
      <w:r>
        <w:rPr>
          <w:w w:val="105"/>
        </w:rPr>
        <w:t>Maintenance and Support:</w:t>
      </w:r>
    </w:p>
    <w:p>
      <w:pPr>
        <w:pStyle w:val="BodyText"/>
      </w:pPr>
      <w:r>
        <w:rPr/>
        <w:t>The Software Manufacturer's standard maintenance services include software updates, and standard support services include hot-line(telephone) and on-line (email and web).</w:t>
      </w:r>
    </w:p>
    <w:p>
      <w:pPr>
        <w:pStyle w:val="BodyText"/>
        <w:ind w:right="3524"/>
      </w:pPr>
      <w:r>
        <w:rPr>
          <w:w w:val="105"/>
        </w:rPr>
        <w:t>Relocation / Transfer:</w:t>
      </w:r>
    </w:p>
    <w:p>
      <w:pPr>
        <w:pStyle w:val="BodyText"/>
        <w:spacing w:line="259" w:lineRule="auto"/>
      </w:pPr>
      <w:r>
        <w:rPr/>
        <w:t>The Licensed Programs may not be relocated or transferred other than in accordance with the governing software license agreement, and any relocation of software from the location to which it has been licensed without the prior consent of The Software Manufacturer may be subject to a relocation fee.</w:t>
      </w:r>
    </w:p>
    <w:p>
      <w:pPr>
        <w:pStyle w:val="BodyText"/>
        <w:spacing w:before="12"/>
        <w:ind w:left="0"/>
        <w:rPr>
          <w:sz w:val="12"/>
        </w:rPr>
      </w:pPr>
      <w:r>
        <w:rPr/>
        <w:pict>
          <v:shape style="position:absolute;margin-left:48.599285pt;margin-top:10.630234pt;width:218.05pt;height:83.3pt;mso-position-horizontal-relative:page;mso-position-vertical-relative:paragraph;z-index:0;mso-wrap-distance-left:0;mso-wrap-distance-right:0" type="#_x0000_t202" filled="false" stroked="true" strokeweight="1.439532pt" strokecolor="#000000">
            <v:textbox inset="0,0,0,0">
              <w:txbxContent>
                <w:p>
                  <w:pPr>
                    <w:spacing w:line="155" w:lineRule="exact" w:before="0"/>
                    <w:ind w:left="12" w:right="0" w:firstLine="0"/>
                    <w:jc w:val="left"/>
                    <w:rPr>
                      <w:sz w:val="14"/>
                    </w:rPr>
                  </w:pPr>
                  <w:r>
                    <w:rPr>
                      <w:w w:val="105"/>
                      <w:sz w:val="14"/>
                    </w:rPr>
                    <w:t>Please Send Purchase Order to:</w:t>
                  </w:r>
                </w:p>
                <w:p>
                  <w:pPr>
                    <w:pStyle w:val="BodyText"/>
                    <w:spacing w:before="14"/>
                    <w:ind w:left="14"/>
                  </w:pPr>
                  <w:r>
                    <w:rPr/>
                    <w:t>Orasi Software, Inc.</w:t>
                  </w:r>
                </w:p>
                <w:p>
                  <w:pPr>
                    <w:pStyle w:val="BodyText"/>
                    <w:ind w:left="14"/>
                  </w:pPr>
                  <w:r>
                    <w:rPr/>
                    <w:t>114 Townpark Drive Suite 400</w:t>
                  </w:r>
                </w:p>
                <w:p>
                  <w:pPr>
                    <w:pStyle w:val="BodyText"/>
                    <w:spacing w:line="259" w:lineRule="auto"/>
                    <w:ind w:left="14" w:right="2892"/>
                  </w:pPr>
                  <w:r>
                    <w:rPr/>
                    <w:t>Kennesaw, GA 30144 Attn: Scott Earhart Fax: (770) 874-5140</w:t>
                  </w:r>
                </w:p>
                <w:p>
                  <w:pPr>
                    <w:pStyle w:val="BodyText"/>
                    <w:spacing w:before="0"/>
                    <w:ind w:left="14"/>
                  </w:pPr>
                  <w:r>
                    <w:rPr/>
                    <w:t>Phone: (919) 971-6578</w:t>
                  </w:r>
                </w:p>
                <w:p>
                  <w:pPr>
                    <w:pStyle w:val="BodyText"/>
                    <w:spacing w:before="11"/>
                    <w:ind w:left="14"/>
                  </w:pPr>
                  <w:r>
                    <w:rPr/>
                    <w:t>Email: </w:t>
                  </w:r>
                  <w:hyperlink r:id="rId7">
                    <w:r>
                      <w:rPr/>
                      <w:t>scott.earhart@orasi.com</w:t>
                    </w:r>
                  </w:hyperlink>
                </w:p>
              </w:txbxContent>
            </v:textbox>
            <w10:wrap type="topAndBottom"/>
          </v:shape>
        </w:pict>
      </w:r>
    </w:p>
    <w:sectPr>
      <w:type w:val="continuous"/>
      <w:pgSz w:w="15840" w:h="12240" w:orient="landscape"/>
      <w:pgMar w:top="1120" w:bottom="280" w:left="8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16"/>
      <w:ind w:left="160"/>
    </w:pPr>
    <w:rPr>
      <w:rFonts w:ascii="Calibri" w:hAnsi="Calibri" w:eastAsia="Calibri" w:cs="Calibri"/>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89" w:lineRule="exact"/>
      <w:ind w:left="14"/>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ohn.Schultheis@BMCHP-wellsense.org" TargetMode="External"/><Relationship Id="rId7" Type="http://schemas.openxmlformats.org/officeDocument/2006/relationships/hyperlink" Target="mailto:scott.earhart@oras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dc:title>Boston Medical Center HealthNet Plan_20160817_Orasi Quote-Platinum Support.xlsx</dc:title>
  <dcterms:created xsi:type="dcterms:W3CDTF">2016-08-24T13:02:28Z</dcterms:created>
  <dcterms:modified xsi:type="dcterms:W3CDTF">2016-08-24T13:02:28Z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2016-08-17T00:00:00Z</vt:filetime>
  </property>
  <property fmtid="{D5CDD505-2E9C-101B-9397-08002B2CF9AE}" pid="3" name="Creator">
    <vt:lpwstr>PScript5.dll Version 5.2.2</vt:lpwstr>
  </property>
  <property fmtid="{D5CDD505-2E9C-101B-9397-08002B2CF9AE}" pid="4" name="LastSaved">
    <vt:filetime>2016-08-24T00:00:00Z</vt:filetime>
  </property>
</Properties>
</file>