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kkGermanium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Space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Fd-3m, 227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Lattice 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0)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Atom positions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0, 0); 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/4,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/4,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/4)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Isotopes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20.38%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(69.924 amu); 27.31%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(71.922 amu); 7.76%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(72.923 amu); 36.72%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(73.921 amu); 7.83%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 (75.921 amu)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VASP, QE, or both. PBEsol PAW,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states in valence </w:t>
        <w:br w:type="textWrapping"/>
        <w:t xml:space="preserve">(QE: Ge.pbesol-n-kjpaw_psl.1.0.0.UPF; VASP: standard version with sol flag)</w:t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Warning: DFT may give metallic. May need to check convergence with electronic smearing.</w:t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data should be reported for the 2-atom primitive 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Structure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9"/>
        </w:numPr>
        <w:spacing w:after="0" w:before="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Converged relaxed ‘temperature (T)=0’ lattice constant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(target accuracy &lt; 0.005 Å)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value with 4 significant figures: X.XXX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after="0" w:before="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Energy/force thresholds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4"/>
        </w:numPr>
        <w:spacing w:after="0" w:before="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e.g., multiple relaxations, compilers, hardware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4"/>
        </w:numPr>
        <w:spacing w:after="0" w:before="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All input files to run fully converged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e.g., qe.sc.in, POSCAR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Electrons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Converged electron band dispersion (target accuracy &lt; 0.1 eV for Γ/X/L frequencies)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band energies (E): 4 valence bands and 6 conduction bands (excel or text file)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eV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3 segments: Γ→X, Γ→K→X, and Γ→L evenly divided with ~100 q points per segment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Thresholds/ Integration mesh / grid shifting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Evidence of converged band structure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 structure with varying integration meshes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Other notes / cpu hours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1E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Harmonic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Converged dispersion (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target accuracy &lt; 0.1 THz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for Γ/X/L frequencies)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frequencies (f) for 6 polarizations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(excel or text file)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THz (f=ω/2π)</w:t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3 segments: Γ→X, Γ→K→X, and Γ→L evenly divided with ~100 q points per segment</w:t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Converged harmonic interatomic force constants (IFCs)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QE, Phonopy)</w:t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</w:t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Supercell size / integration mesh</w:t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/ irreducibility / number of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linked to cpu hours below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enforce invariance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Evidence of converged dispersion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Dispersions with varying supercell sizes and integration meshes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e.g., accuracy vs cpu cost, shifted meshes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Anharmonic thermal transport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Four converged T-dependent thermal conductivities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): natural isotopes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), natural isotopes with the relaxation time approximation (RTA) (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), isotopically pure (100%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vertAlign w:val="superscript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Ge (69.924 amu))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), and isotopically pure with RTA (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). If only RTA available, then only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pure,RTA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include boundary scattering, even at low T. We want to see how the codes behave at low T without this extrinsic scattering.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Numerical data: T (K)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in range 10K &lt; T &lt; 1000K (excel or text file)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For 10K ≤ T ≤ 50K increments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of 10K (5 data points); for 50K &lt; T ≤ 300K increments of 25K (10 data points); for 300K &lt; T ≤ 1000K increments of 100K (7 data points).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with T from 10K to 1000K list (22 rows): 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Accumulated T=300K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vs frequency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vs mean free path (mfp) for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value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sampled in the Brillouin zone integration: f (THz), mfp=|sqrt(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)×lifetime| (nm),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f, mfp,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RTA T=300K three-phonon scattering rates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 and phonon-isotope scattering rates for natural abundance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f (THz),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(THz=1/ps), and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(THz)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j): f,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Converged third-order anharmonic IFCs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Methods / convergence criteria: thermal conductivity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Delta function representation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details; e.g., adaptive smearing, cutoff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grid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used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Methods / convergence criteria: anharmonic IFCs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Cutoff radius, supercell size, integration mesh, thresholds, displacement parameter for supercell derivatives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Evidence of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at T=300K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Varying integration meshes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Other notes / cpu hours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