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原油跨月价差与单腿做多策略研究</w:t>
      </w:r>
    </w:p>
    <w:p>
      <w:pPr>
        <w:pStyle w:val="Subtitle"/>
      </w:pPr>
      <w:r>
        <w:t>SC 10月与11月合约  v2与v3历史回测比较</w:t>
      </w:r>
    </w:p>
    <w:p>
      <w:r>
        <w:t>整理日期  2026年9月9日    最新样本交易日  2026年9月8日</w:t>
      </w:r>
    </w:p>
    <w:p>
      <w:pPr>
        <w:pStyle w:val="Heading1"/>
      </w:pPr>
      <w:r>
        <w:t>研究结论</w:t>
      </w:r>
    </w:p>
    <w:p>
      <w:r>
        <w:t>现有样本能找到盈利交易，但尚不足以证明稳定、可实际成交的盈利优势。价差连续上涨三日后，v3近月单独做多的历史表现优于远月单独做多；这一优势依赖信号参数与流动性筛选，且单腿风险明显高于双腿价差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312"/>
        <w:gridCol w:w="3312"/>
      </w:tblGrid>
      <w:tr>
        <w:trPr>
          <w:cantSplit/>
          <w:tblHeader/>
        </w:trPr>
        <w:tc>
          <w:tcPr>
            <w:tcW w:type="dxa" w:w="3456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type="dxa" w:w="3312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原始规则合计净收益</w:t>
            </w:r>
          </w:p>
        </w:tc>
        <w:tc>
          <w:tcPr>
            <w:tcW w:type="dxa" w:w="3312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过滤版合计净收益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v2 多近月空远月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约0元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10,600元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v3 只做多近月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19,600元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65,300元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v3 只做多远月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−34,900元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−20,700元</w:t>
            </w:r>
          </w:p>
        </w:tc>
      </w:tr>
    </w:tbl>
    <w:p>
      <w:pPr>
        <w:spacing w:after="0"/>
      </w:pPr>
    </w:p>
    <w:p>
      <w:r>
        <w:t>表中均为每腿1手、扣除假设成本并计入各样本期末未平仓盯市后的金额。v2往返成本为每组400元，v3为每笔200元；这是研究假设，不是逐日核实的实际费用。不同策略的风险、持有期和交易次数不同，不能仅按总利润选策略。</w:t>
      </w:r>
    </w:p>
    <w:p>
      <w:pPr>
        <w:pStyle w:val="Heading2"/>
      </w:pPr>
      <w:r>
        <w:t>研究对象与问题</w:t>
      </w:r>
    </w:p>
    <w:p>
      <w:r>
        <w:t>SC2610和SC2611分别是2026年10月、11月交割月份的原油期货合约。研究将近月价格减远月价格定义为价差，检验“价差连续上涨三日”能否成为入场信号，并比较双腿对冲与单腿做多的结果。SC每手1000桶，价格变动1元每桶对应每手1000元盈亏。[1]</w:t>
      </w:r>
    </w:p>
    <w:p>
      <w:pPr>
        <w:pStyle w:val="Heading2"/>
      </w:pPr>
      <w:r>
        <w:t>数据范围</w:t>
      </w:r>
    </w:p>
    <w:p>
      <w:r>
        <w:t>使用上期能源公开日行情配对数据，共1224个交易日，覆盖2020至2026年各年的10月和11月合约。2020年仅从6月17日起；其他年份大体从前一年12月初起，历史年份止于当年9月15日附近，2026年止于9月8日。[2]</w:t>
      </w:r>
    </w:p>
    <w:p>
      <w:r>
        <w:t>下文年份指合约年份，不是自然年度收益。例如2026年合约样本包含2025年12月行情。各年是独立研究窗口，未覆盖完整持有至到期过程，也不构成一个连续投资账户。</w:t>
      </w:r>
    </w:p>
    <w:p>
      <w:pPr>
        <w:pStyle w:val="Heading1"/>
      </w:pPr>
      <w:r>
        <w:t>策略规则与收益计算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104"/>
        <w:gridCol w:w="4176"/>
      </w:tblGrid>
      <w:tr>
        <w:trPr>
          <w:cantSplit/>
          <w:tblHeader/>
        </w:trPr>
        <w:tc>
          <w:tcPr>
            <w:tcW w:type="dxa" w:w="1800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04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v2 双腿价差</w:t>
            </w:r>
          </w:p>
        </w:tc>
        <w:tc>
          <w:tcPr>
            <w:tcW w:type="dxa" w:w="4176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v3 单腿做多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信号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近月减远月的收盘价差连涨3次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相同的价差连涨信号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入场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次日开盘多近月1手 空远月1手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分别测试只买近月或只买远月1手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止盈止损对象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组合价差相对入场价差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所买合约相对其入场价格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默认阈值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止盈5点 止损3点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止盈5点 止损3点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退出时点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日收盘触发 次日开盘退出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日收盘触发 次日开盘退出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假设往返成本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两腿共400元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单腿200元</w:t>
            </w:r>
          </w:p>
        </w:tc>
      </w:tr>
    </w:tbl>
    <w:p>
      <w:pPr>
        <w:spacing w:after="0"/>
      </w:pPr>
    </w:p>
    <w:p>
      <w:r>
        <w:t>连续上涨3次至少需要4个日收盘价。价差相等或下降会重置计数；持仓期间不累计新信号，不加仓；退出当天不重新累计。v3两个策略分别运行，退出时间不同可能导致后续入场日期和笔数不同，因此不是固定同一持有期的逐笔比较。</w:t>
      </w:r>
    </w:p>
    <w:p>
      <w:pPr>
        <w:pStyle w:val="Heading2"/>
      </w:pPr>
      <w:r>
        <w:t>组合收益必须合并计算</w:t>
      </w:r>
    </w:p>
    <w:p>
      <w:r>
        <w:t>v2的近月多单赚取近月平仓价减开仓价；远月空单赚取远月开仓价减平仓价。两项相加，再乘1000并扣除成本，才是每组净收益。空单亏损并不代表组合亏损，只要近月多单赚得更多，组合仍可盈利。</w:t>
      </w:r>
    </w:p>
    <w:p>
      <w:r>
        <w:t>v3只保留所买合约的多单收益，不再用另一腿抵消原油价格方向风险。两个方案的回测报告不应相加成为一个策略的收益。</w:t>
      </w:r>
    </w:p>
    <w:p>
      <w:pPr>
        <w:pStyle w:val="Heading2"/>
      </w:pPr>
      <w:r>
        <w:t>流动性过滤的含义</w:t>
      </w:r>
    </w:p>
    <w:p>
      <w:r>
        <w:t>原始规则不增加流动性限制。研究对照版仅在信号当天检查：远月持仓量至少1000手，近月和远月各自当日成交量至少100手。筛选不使用下一交易日的信息，也不阻止已有持仓退出。这一附加条件尚未写入MC v3信号。</w:t>
      </w:r>
    </w:p>
    <w:p>
      <w:pPr>
        <w:pStyle w:val="Heading2"/>
      </w:pPr>
      <w:r>
        <w:t>盯市与异常数据处理</w:t>
      </w:r>
    </w:p>
    <w:p>
      <w:r>
        <w:t>期末未平仓按最后收盘价估值，只扣已发生的半程入场成本，不假装已经平仓。最大回撤按各年份内部日收盘净值计算，包含持仓浮动盈亏；它不是盘中最大回撤，也没有包含保证金、资金占用或强平。</w:t>
      </w:r>
    </w:p>
    <w:p>
      <w:r>
        <w:t>Python研究在缺少开盘价时取消入场或延后退出，缺少持仓收盘价时沿用上一有效估值。MC对数据或持仓异常会报错。原始规则中存在缺价处理，不能宣称这类区间与MC完全一致；默认参数过滤版未出现缺开盘价的入场或退出异常。</w:t>
      </w:r>
    </w:p>
    <w:p>
      <w:pPr>
        <w:pStyle w:val="Heading1"/>
      </w:pPr>
      <w:r>
        <w:t>v2 双腿价差交易结果</w:t>
      </w:r>
    </w:p>
    <w:p>
      <w:r>
        <w:t>原始规则共完成24笔交易，已平仓净赚2700元；加上2024年样本末未平仓净盯市亏损2700元，合计约为零。过滤版完成14笔，合计净赚10600元，净胜率42.9%，七个年份中四盈三亏。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664"/>
        <w:gridCol w:w="2664"/>
        <w:gridCol w:w="2952"/>
      </w:tblGrid>
      <w:tr>
        <w:trPr>
          <w:cantSplit/>
          <w:tblHeader/>
        </w:trPr>
        <w:tc>
          <w:tcPr>
            <w:tcW w:type="dxa" w:w="1800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合约年份</w:t>
            </w:r>
          </w:p>
        </w:tc>
        <w:tc>
          <w:tcPr>
            <w:tcW w:type="dxa" w:w="2664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原始净收益</w:t>
            </w:r>
          </w:p>
        </w:tc>
        <w:tc>
          <w:tcPr>
            <w:tcW w:type="dxa" w:w="2664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过滤净收益</w:t>
            </w:r>
          </w:p>
        </w:tc>
        <w:tc>
          <w:tcPr>
            <w:tcW w:type="dxa" w:w="2952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过滤日线回撤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-8,600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-8,600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8,600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2021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3,800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4,100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4,400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2022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19,400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12,600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10,300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2023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-100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5,200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1,500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2024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-3,900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-4,200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4,200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2025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-7,600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-3,000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3,800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2026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-3,000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4,500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20,900</w:t>
            </w:r>
          </w:p>
        </w:tc>
      </w:tr>
    </w:tbl>
    <w:p>
      <w:pPr>
        <w:spacing w:after="0"/>
      </w:pPr>
    </w:p>
    <w:p>
      <w:r>
        <w:t>上表金额单位为元。2026年原始规则7笔净亏3000元，过滤版4笔净赚4500元，但过滤版该年日线最大回撤为20900元。</w:t>
      </w:r>
    </w:p>
    <w:p>
      <w:pPr>
        <w:pStyle w:val="Heading2"/>
      </w:pPr>
      <w:r>
        <w:t>一笔盈利交易及收益集中度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36"/>
        <w:gridCol w:w="3744"/>
      </w:tblGrid>
      <w:tr>
        <w:trPr>
          <w:cantSplit/>
          <w:tblHeader/>
        </w:trPr>
        <w:tc>
          <w:tcPr>
            <w:tcW w:type="dxa" w:w="6336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2026年8月18日至9月1日</w:t>
            </w:r>
          </w:p>
        </w:tc>
        <w:tc>
          <w:tcPr>
            <w:tcW w:type="dxa" w:w="3744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收益金额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近月多单毛收益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70,200元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远月空单毛收益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−55,100元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组合毛收益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15,100元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扣400元成本后的组合净收益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14,700元</w:t>
            </w:r>
          </w:p>
        </w:tc>
      </w:tr>
    </w:tbl>
    <w:p>
      <w:pPr>
        <w:spacing w:after="0"/>
      </w:pPr>
    </w:p>
    <w:p>
      <w:r>
        <w:t>这一笔盈利大于过滤版七个年份合计利润。仅作集中度检查，若去掉这一笔，2026年结果为亏10200元，全部年份合计亏4100元。不能据此删除交易，但它说明收益高度依赖少数行情。</w:t>
      </w:r>
    </w:p>
    <w:p>
      <w:pPr>
        <w:pStyle w:val="Heading2"/>
      </w:pPr>
      <w:r>
        <w:t>参数与成本敏感性</w:t>
      </w:r>
    </w:p>
    <w:p>
      <w:r>
        <w:t>过滤版将连涨次数从3改为2，合计净盯市变为亏2200元；改为5次则亏6700元。止盈从5点改为4点，合计亏11600元。默认参数下，组合往返成本从400元提高到800元，合计净收益由10600元降至5000元。参数不稳定与样本偏小仍是主要问题。</w:t>
      </w:r>
    </w:p>
    <w:p>
      <w:pPr>
        <w:pStyle w:val="Heading1"/>
      </w:pPr>
      <w:r>
        <w:t>v3 近月做多与远月做多结果</w:t>
      </w:r>
    </w:p>
    <w:p>
      <w:r>
        <w:t>按原始规则，近月49笔合计净赚19600元，远月41笔合计净亏34900元。增加相同流动性过滤后，两者各22笔：近月净赚65300元、净胜率63.6%；远月净亏20700元、净胜率54.5%。胜率较高也不一定盈利，单笔盈亏幅度同样重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736"/>
        <w:gridCol w:w="2736"/>
        <w:gridCol w:w="2808"/>
      </w:tblGrid>
      <w:tr>
        <w:trPr>
          <w:cantSplit/>
          <w:tblHeader/>
        </w:trPr>
        <w:tc>
          <w:tcPr>
            <w:tcW w:type="dxa" w:w="1800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合约年份</w:t>
            </w:r>
          </w:p>
        </w:tc>
        <w:tc>
          <w:tcPr>
            <w:tcW w:type="dxa" w:w="2736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近月过滤净收益</w:t>
            </w:r>
          </w:p>
        </w:tc>
        <w:tc>
          <w:tcPr>
            <w:tcW w:type="dxa" w:w="2736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远月过滤净收益</w:t>
            </w:r>
          </w:p>
        </w:tc>
        <w:tc>
          <w:tcPr>
            <w:tcW w:type="dxa" w:w="2808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近月过滤回撤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-1,200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3,700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-30,500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-10,700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48,700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2022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23,100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-14,200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38,400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23,600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10,400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5,600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2024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7,500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6,700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5,600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2025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9,900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9,900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2,000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2026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26,700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-21,600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94,800</w:t>
            </w:r>
          </w:p>
        </w:tc>
      </w:tr>
    </w:tbl>
    <w:p>
      <w:pPr>
        <w:spacing w:after="0"/>
      </w:pPr>
    </w:p>
    <w:p>
      <w:r>
        <w:t>上表金额单位为元。近月过滤版六个年份盈利，但2026年日线最大回撤94800元，明显高于该合约样本最终净收益26700元。取消空单后，利润增加并不等于风险调整后的表现更好。</w:t>
      </w:r>
    </w:p>
    <w:p>
      <w:pPr>
        <w:pStyle w:val="Heading2"/>
      </w:pPr>
      <w:r>
        <w:t>2026年合约样本的筛选差异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312"/>
        <w:gridCol w:w="3312"/>
      </w:tblGrid>
      <w:tr>
        <w:trPr>
          <w:cantSplit/>
          <w:tblHeader/>
        </w:trPr>
        <w:tc>
          <w:tcPr>
            <w:tcW w:type="dxa" w:w="3456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测试口径</w:t>
            </w:r>
          </w:p>
        </w:tc>
        <w:tc>
          <w:tcPr>
            <w:tcW w:type="dxa" w:w="3312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近月做多净收益</w:t>
            </w:r>
          </w:p>
        </w:tc>
        <w:tc>
          <w:tcPr>
            <w:tcW w:type="dxa" w:w="3312"/>
            <w:vAlign w:val="center"/>
            <w:shd w:fill="DCE6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远月做多净收益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原始规则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−51,600元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−94,000元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流动性过滤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26,700元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−21,600元</w:t>
            </w:r>
          </w:p>
        </w:tc>
      </w:tr>
    </w:tbl>
    <w:p>
      <w:pPr>
        <w:spacing w:after="0"/>
      </w:pPr>
    </w:p>
    <w:p>
      <w:r>
        <w:t>近月是否盈利在加入过滤后发生改变。过滤规则只降低部分早期不活跃行情的影响，不能证明筛选后的利润一定可以实际成交。当前MC v3代码对应原始规则，不是过滤版。</w:t>
      </w:r>
    </w:p>
    <w:p>
      <w:pPr>
        <w:pStyle w:val="Heading2"/>
      </w:pPr>
      <w:r>
        <w:t>近远月优势并非所有参数都成立</w:t>
      </w:r>
    </w:p>
    <w:p>
      <w:r>
        <w:t>在过滤版中，将连涨次数改为2，近月合计净赚16700元，远月净赚75100元，优劣发生反转。保持连涨3次、仅将止盈改为4点或6点，近月仍分别净赚63900元、53400元；这只能说明部分邻近参数有正收益，不能代替独立样本验证。</w:t>
      </w:r>
    </w:p>
    <w:p>
      <w:r>
        <w:t>因此，本次结果支持继续研究近月单腿做多，但不支持直接认定“近月总比远月好”，也没有证明价差连涨能独立预测单腿未来涨跌。尚需与无信号基准及固定共同持有期对照。</w:t>
      </w:r>
    </w:p>
    <w:p>
      <w:pPr>
        <w:pStyle w:val="Heading1"/>
      </w:pPr>
      <w:r>
        <w:t>风险边界与后续验证</w:t>
      </w:r>
    </w:p>
    <w:p>
      <w:pPr>
        <w:pStyle w:val="Heading2"/>
      </w:pPr>
      <w:r>
        <w:t>止损阈值不是最大损失</w:t>
      </w:r>
    </w:p>
    <w:p>
      <w:r>
        <w:t>本研究的止损3点，是在日收盘时检查亏损是否达到阈值，再于下一交易日开盘退出。隔夜跳空、信号时点已经超出阈值、单腿价格波动都可能使实际亏损远超3000元。v2按价差止损，v3按单腿止损，二者不能沿用相同风险预期。</w:t>
      </w:r>
    </w:p>
    <w:p>
      <w:pPr>
        <w:pStyle w:val="Heading2"/>
      </w:pPr>
      <w:r>
        <w:t>日线不能证明同时可成交</w:t>
      </w:r>
    </w:p>
    <w:p>
      <w:r>
        <w:t>两份期货的日开盘或收盘价可能来自不同时间，远月不活跃时尤其明显。v2以两腿日开盘价假设同时成交，可能高估可交易利润；v3虽只有一腿下单，其价差信号仍受不同步收盘报价影响。回测没有模拟盘口容量、涨跌停排队、拒单、单腿成交、保证金不足或到期强平。</w:t>
      </w:r>
    </w:p>
    <w:p>
      <w:pPr>
        <w:pStyle w:val="Heading2"/>
      </w:pPr>
      <w:r>
        <w:t>下一阶段应验证什么</w:t>
      </w:r>
    </w:p>
    <w:p>
      <w:r>
        <w:t>优先取得同一时间戳的两腿分钟行情或买卖盘口，用可成交买卖价重算信号与成交。保留当前默认参数作为待检验规则，另设未参与选择的时间区间；同时比较无信号基准、相同入场日和固定持有期，区分原油方向行情与价差信号的贡献。</w:t>
      </w:r>
    </w:p>
    <w:p>
      <w:r>
        <w:t>在考虑实盘前，还需加入最大持有期、交割前退出、实际成本和保证金约束，并检验异常行情下的退出能力。这些都是后续计划，不是本次已完成的测试。当前成果属于历史研究，未启用自动交易。</w:t>
      </w:r>
    </w:p>
    <w:p>
      <w:pPr>
        <w:pStyle w:val="Heading2"/>
      </w:pPr>
      <w:r>
        <w:t>MultiCharts使用边界</w:t>
      </w:r>
    </w:p>
    <w:p>
      <w:r>
        <w:t>v3使用同一份Signal代码：近月方案将SC2610设为Data1、SC2611为Data2，NearIsData1=True；远月方案对调数据，参数为False。两图均为1日线，代码只做多Data1。不得叠加原v2信号误当成同一策略。[3]</w:t>
      </w:r>
    </w:p>
    <w:p>
      <w:r>
        <w:t>Python共25项测试通过，其中v3新增8项，覆盖时序、单腿方向、止损对象、成本及部分数据异常。尚未在MC实际编译或核对交易报告；测试通过不能被理解为实盘可用。</w:t>
      </w:r>
    </w:p>
    <w:p>
      <w:pPr>
        <w:pStyle w:val="Heading2"/>
      </w:pPr>
      <w:r>
        <w:t>资料来源与复现文件</w:t>
      </w:r>
    </w:p>
    <w:p>
      <w:r>
        <w:rPr>
          <w:sz w:val="18"/>
        </w:rPr>
        <w:t>[1] 上期能源原油期货标准合约，每手1000桶。https://www.ine.cn/products/futures/energyandchemical/sc_f/standard_sc_f/202312/t20231205_802540.html</w:t>
      </w:r>
    </w:p>
    <w:p>
      <w:r>
        <w:rPr>
          <w:sz w:val="18"/>
        </w:rPr>
        <w:t>[2] 上期能源公开日行情接口，示例日期2026年9月8日。https://www.ine.cn/data/tradedata/future/dailydata/kx20260908.dat</w:t>
      </w:r>
    </w:p>
    <w:p>
      <w:r>
        <w:rPr>
          <w:sz w:val="18"/>
        </w:rPr>
        <w:t>[3] MultiCharts订单语义说明。https://www.multicharts.cn/post?idno=169</w:t>
      </w:r>
    </w:p>
    <w:p>
      <w:r>
        <w:rPr>
          <w:sz w:val="18"/>
        </w:rPr>
        <w:t>复现目录为TASK_0004_SC跨月价差研究。数据文件：sc_oct_nov_panel_2020_2026.csv；研究脚本：backtest_v2_pair.py与backtest_v3_long.py；逐笔及每日净值见output目录对应JSON。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cstheme="majorBidi" w:ascii="Arial Unicode MS" w:hAnsi="Arial Unicode MS" w:eastAsia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原油跨月价差与单腿做多策略研究</dc:title>
  <dc:subject>SC 10月与11月合约 v2及v3历史回测比较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