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40"/>
        <w:jc w:val="center"/>
      </w:pPr>
      <w:r>
        <w:rPr>
          <w:rFonts w:ascii="Arial Unicode MS" w:hAnsi="Arial Unicode MS" w:eastAsia="Arial Unicode MS" w:cs="Arial Unicode MS"/>
          <w:b/>
          <w:color w:val="1F4D78"/>
          <w:sz w:val="46"/>
          <w:lang w:val="zh-CN" w:eastAsia="zh-CN"/>
        </w:rPr>
        <w:t>QMT 面板驱动型阳线买入策略</w:t>
      </w:r>
    </w:p>
    <w:p>
      <w:pPr>
        <w:spacing w:after="400"/>
        <w:jc w:val="center"/>
      </w:pPr>
      <w:r>
        <w:rPr>
          <w:rFonts w:ascii="Arial Unicode MS" w:hAnsi="Arial Unicode MS" w:eastAsia="Arial Unicode MS" w:cs="Arial Unicode MS"/>
          <w:b w:val="0"/>
          <w:color w:val="666666"/>
          <w:sz w:val="22"/>
          <w:lang w:val="zh-CN" w:eastAsia="zh-CN"/>
        </w:rPr>
        <w:t>不在代码中固定品种与回测时间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  <w:lang w:val="zh-CN" w:eastAsia="zh-CN"/>
        </w:rPr>
        <w:t>一、编写目标</w:t>
      </w:r>
    </w:p>
    <w:p>
      <w:pPr>
        <w:spacing w:before="0" w:after="120" w:line="300" w:lineRule="auto"/>
        <w:ind w:firstLine="440"/>
        <w:jc w:val="both"/>
      </w:pPr>
      <w:r>
        <w:rPr>
          <w:rFonts w:ascii="Arial Unicode MS" w:hAnsi="Arial Unicode MS" w:eastAsia="Arial Unicode MS" w:cs="Arial Unicode MS"/>
          <w:b w:val="0"/>
          <w:color w:val="000000"/>
          <w:sz w:val="22"/>
          <w:lang w:val="zh-CN" w:eastAsia="zh-CN"/>
        </w:rPr>
        <w:t>如果把合约代码和回测日期直接写进程序，书籍出版后，示例合约可能已经到期，初学者也容易误以为只能回测书中的固定品种。本例因此把“策略逻辑”和“回测对象”分开。</w:t>
      </w:r>
    </w:p>
    <w:p>
      <w:pPr>
        <w:spacing w:before="80" w:after="200" w:line="300" w:lineRule="auto"/>
        <w:ind w:left="346" w:right="173"/>
        <w:shd w:fill="F2F4F7"/>
        <w:pBdr>
          <w:left w:val="single" w:sz="18" w:space="8" w:color="2E74B5"/>
        </w:pBdr>
      </w:pPr>
      <w:r>
        <w:rPr>
          <w:rFonts w:ascii="Arial Unicode MS" w:hAnsi="Arial Unicode MS" w:eastAsia="Arial Unicode MS" w:cs="Arial Unicode MS"/>
          <w:b/>
          <w:color w:val="1F4D78"/>
          <w:sz w:val="21"/>
          <w:lang w:val="zh-CN" w:eastAsia="zh-CN"/>
        </w:rPr>
        <w:t>策略逻辑</w:t>
        <w:br/>
      </w:r>
      <w:r>
        <w:rPr>
          <w:rFonts w:ascii="Arial Unicode MS" w:hAnsi="Arial Unicode MS" w:eastAsia="Arial Unicode MS" w:cs="Arial Unicode MS"/>
          <w:b w:val="0"/>
          <w:color w:val="2F3438"/>
          <w:sz w:val="21"/>
          <w:lang w:val="zh-CN" w:eastAsia="zh-CN"/>
        </w:rPr>
        <w:t>若当根 K 线的收盘价大于开盘价，则于下一根 K 线开盘时买入开仓 1 手。</w:t>
      </w:r>
    </w:p>
    <w:p>
      <w:pPr>
        <w:spacing w:before="0" w:after="120" w:line="300" w:lineRule="auto"/>
        <w:ind w:firstLine="440"/>
        <w:jc w:val="both"/>
      </w:pPr>
      <w:r>
        <w:rPr>
          <w:rFonts w:ascii="Arial Unicode MS" w:hAnsi="Arial Unicode MS" w:eastAsia="Arial Unicode MS" w:cs="Arial Unicode MS"/>
          <w:b w:val="0"/>
          <w:color w:val="000000"/>
          <w:sz w:val="22"/>
          <w:lang w:val="zh-CN" w:eastAsia="zh-CN"/>
        </w:rPr>
        <w:t>代码不填写任何具体品种、不设置回测开始时间和结束时间，也不写固定结算价。读者只需在 QMT 策略编辑器的面板中选择品种、周期和回测时间，即可重复使用同一份代码。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  <w:lang w:val="zh-CN" w:eastAsia="zh-CN"/>
        </w:rPr>
        <w:t>二、只从面板设置是否可行</w:t>
      </w:r>
    </w:p>
    <w:p>
      <w:pPr>
        <w:spacing w:before="0" w:after="120" w:line="300" w:lineRule="auto"/>
        <w:ind w:firstLine="440"/>
        <w:jc w:val="both"/>
      </w:pPr>
      <w:r>
        <w:rPr>
          <w:rFonts w:ascii="Arial Unicode MS" w:hAnsi="Arial Unicode MS" w:eastAsia="Arial Unicode MS" w:cs="Arial Unicode MS"/>
          <w:b w:val="0"/>
          <w:color w:val="000000"/>
          <w:sz w:val="22"/>
          <w:lang w:val="zh-CN" w:eastAsia="zh-CN"/>
        </w:rPr>
        <w:t>可行。QMT Python API 提供了读取当前主图品种和当前周期的属性；回测起止时间未在代码中赋值时，由“回测参数”面板决定。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AAB7C4"/>
          <w:left w:val="single" w:sz="6" w:color="AAB7C4"/>
          <w:bottom w:val="single" w:sz="6" w:color="AAB7C4"/>
          <w:right w:val="single" w:sz="6" w:color="AAB7C4"/>
          <w:insideH w:val="single" w:sz="6" w:color="AAB7C4"/>
          <w:insideV w:val="single" w:sz="6" w:color="AAB7C4"/>
        </w:tblBorders>
      </w:tblPr>
      <w:tblGrid>
        <w:gridCol w:w="2200"/>
        <w:gridCol w:w="2600"/>
        <w:gridCol w:w="45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21"/>
                <w:lang w:val="zh-CN" w:eastAsia="zh-CN"/>
              </w:rPr>
              <w:t>需要设置的内容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21"/>
                <w:lang w:val="zh-CN" w:eastAsia="zh-CN"/>
              </w:rPr>
              <w:t>设置位置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21"/>
                <w:lang w:val="zh-CN" w:eastAsia="zh-CN"/>
              </w:rPr>
              <w:t>代码中的处理方式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lang w:val="zh-CN" w:eastAsia="zh-CN"/>
              </w:rPr>
              <w:t>回测品种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lang w:val="zh-CN" w:eastAsia="zh-CN"/>
              </w:rPr>
              <w:t>基本信息 - 默认品种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lang w:val="zh-CN" w:eastAsia="zh-CN"/>
              </w:rPr>
              <w:t>通过 ContextInfo.stockcode 读取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lang w:val="zh-CN" w:eastAsia="zh-CN"/>
              </w:rPr>
              <w:t>K 线周期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lang w:val="zh-CN" w:eastAsia="zh-CN"/>
              </w:rPr>
              <w:t>基本信息 - 默认周期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lang w:val="zh-CN" w:eastAsia="zh-CN"/>
              </w:rPr>
              <w:t>通过 ContextInfo.period 读取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lang w:val="zh-CN" w:eastAsia="zh-CN"/>
              </w:rPr>
              <w:t>开始时间、结束时间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lang w:val="zh-CN" w:eastAsia="zh-CN"/>
              </w:rPr>
              <w:t>回测参数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lang w:val="zh-CN" w:eastAsia="zh-CN"/>
              </w:rPr>
              <w:t>代码不设置 ContextInfo.start 和 ContextInfo.end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lang w:val="zh-CN" w:eastAsia="zh-CN"/>
              </w:rPr>
              <w:t>初始资金、滑点、手续费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lang w:val="zh-CN" w:eastAsia="zh-CN"/>
              </w:rPr>
              <w:t>回测参数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lang w:val="zh-CN" w:eastAsia="zh-CN"/>
              </w:rPr>
              <w:t>由面板统一设置，示例代码不覆盖</w:t>
            </w:r>
          </w:p>
        </w:tc>
      </w:tr>
    </w:tbl>
    <w:p>
      <w:pPr>
        <w:spacing w:after="40"/>
      </w:pPr>
    </w:p>
    <w:p>
      <w:pPr>
        <w:spacing w:before="80" w:after="200" w:line="300" w:lineRule="auto"/>
        <w:ind w:left="346" w:right="173"/>
        <w:shd w:fill="F2F4F7"/>
        <w:pBdr>
          <w:left w:val="single" w:sz="18" w:space="8" w:color="2E74B5"/>
        </w:pBdr>
      </w:pPr>
      <w:r>
        <w:rPr>
          <w:rFonts w:ascii="Arial Unicode MS" w:hAnsi="Arial Unicode MS" w:eastAsia="Arial Unicode MS" w:cs="Arial Unicode MS"/>
          <w:b/>
          <w:color w:val="1F4D78"/>
          <w:sz w:val="21"/>
          <w:lang w:val="zh-CN" w:eastAsia="zh-CN"/>
        </w:rPr>
        <w:t>关键规则</w:t>
        <w:br/>
      </w:r>
      <w:r>
        <w:rPr>
          <w:rFonts w:ascii="Arial Unicode MS" w:hAnsi="Arial Unicode MS" w:eastAsia="Arial Unicode MS" w:cs="Arial Unicode MS"/>
          <w:b w:val="0"/>
          <w:color w:val="2F3438"/>
          <w:sz w:val="21"/>
          <w:lang w:val="zh-CN" w:eastAsia="zh-CN"/>
        </w:rPr>
        <w:t>如果代码和面板同时设置回测起止时间，QMT 以代码中的设置为准。因此，本例必须完全删除 ContextInfo.start 和 ContextInfo.end。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  <w:lang w:val="zh-CN" w:eastAsia="zh-CN"/>
        </w:rPr>
        <w:t>三、修改后的 AI 对话内容</w:t>
      </w:r>
    </w:p>
    <w:p>
      <w:pPr>
        <w:spacing w:before="0" w:after="120" w:line="300" w:lineRule="auto"/>
        <w:ind w:firstLine="440"/>
        <w:jc w:val="both"/>
      </w:pPr>
      <w:r>
        <w:rPr>
          <w:rFonts w:ascii="Arial Unicode MS" w:hAnsi="Arial Unicode MS" w:eastAsia="Arial Unicode MS" w:cs="Arial Unicode MS"/>
          <w:b w:val="0"/>
          <w:color w:val="000000"/>
          <w:sz w:val="22"/>
          <w:lang w:val="zh-CN" w:eastAsia="zh-CN"/>
        </w:rPr>
        <w:t>上传与当前 QMT 版本相匹配的 Python API 使用手册后，可向 AI 输入以下完整需求：</w:t>
      </w:r>
    </w:p>
    <w:p>
      <w:pPr>
        <w:spacing w:before="80" w:after="200" w:line="300" w:lineRule="auto"/>
        <w:ind w:left="346" w:right="173"/>
        <w:shd w:fill="F2F4F7"/>
        <w:pBdr>
          <w:left w:val="single" w:sz="18" w:space="8" w:color="2E74B5"/>
        </w:pBdr>
      </w:pPr>
      <w:r>
        <w:rPr>
          <w:rFonts w:ascii="Arial Unicode MS" w:hAnsi="Arial Unicode MS" w:eastAsia="Arial Unicode MS" w:cs="Arial Unicode MS"/>
          <w:b/>
          <w:color w:val="1F4D78"/>
          <w:sz w:val="21"/>
          <w:lang w:val="zh-CN" w:eastAsia="zh-CN"/>
        </w:rPr>
        <w:t>建议提示词</w:t>
        <w:br/>
      </w:r>
      <w:r>
        <w:rPr>
          <w:rFonts w:ascii="Arial Unicode MS" w:hAnsi="Arial Unicode MS" w:eastAsia="Arial Unicode MS" w:cs="Arial Unicode MS"/>
          <w:b w:val="0"/>
          <w:color w:val="2F3438"/>
          <w:sz w:val="21"/>
          <w:lang w:val="zh-CN" w:eastAsia="zh-CN"/>
        </w:rPr>
        <w:t>我需要一份 QMT Python 期货回测策略代码，请严格遵守以下要求：</w:t>
        <w:br/>
        <w:t>1. 代码中不得写入任何固定股票、期货品种或合约代码。</w:t>
        <w:br/>
        <w:t>2. 当前回测品种必须读取“基本信息 - 默认品种”面板的设置。</w:t>
        <w:br/>
        <w:t>3. 当前 K 线周期必须读取“基本信息 - 默认周期”面板的设置。</w:t>
        <w:br/>
        <w:t>4. 代码中不得设置回测开始时间和结束时间，时间区间完全由“回测参数”面板决定。</w:t>
        <w:br/>
        <w:t>5. 不在代码中设置固定结算价、初始资金、滑点或手续费。</w:t>
        <w:br/>
        <w:t>6. 策略逻辑只有一条：若当根 K 线收盘价大于开盘价，则于下一根 K 线开盘时买入开仓 1 手。</w:t>
        <w:br/>
        <w:t>7. 本示例只用于历史回测，不得在运行模式发送真实委托。</w:t>
        <w:br/>
        <w:t>8. 请使用 ContextInfo.stockcode、ContextInfo.period、ContextInfo.set_universe()、ContextInfo.get_history_data() 和 buy_open()，输出可直接粘贴到 QMT 的完整 GBK 编码代码。</w:t>
      </w:r>
    </w:p>
    <w:p>
      <w:pPr>
        <w:pStyle w:val="Heading1"/>
        <w:keepNext/>
        <w:pageBreakBefore/>
      </w:pPr>
      <w:r>
        <w:rPr>
          <w:rFonts w:ascii="Arial Unicode MS" w:hAnsi="Arial Unicode MS" w:eastAsia="Arial Unicode MS" w:cs="Arial Unicode MS"/>
          <w:b/>
          <w:color w:val="2E74B5"/>
          <w:sz w:val="32"/>
          <w:lang w:val="zh-CN" w:eastAsia="zh-CN"/>
        </w:rPr>
        <w:t>四、修改后的 AI 代码产出</w:t>
      </w:r>
    </w:p>
    <w:p>
      <w:pPr>
        <w:spacing w:before="80" w:after="200" w:line="288" w:lineRule="auto"/>
        <w:ind w:left="346" w:right="173"/>
        <w:shd w:fill="F2F4F7"/>
        <w:pBdr>
          <w:left w:val="single" w:sz="18" w:space="8" w:color="2E74B5"/>
        </w:pBdr>
      </w:pPr>
      <w:r>
        <w:rPr>
          <w:rFonts w:ascii="Arial Unicode MS" w:hAnsi="Arial Unicode MS" w:eastAsia="Arial Unicode MS" w:cs="Arial Unicode MS"/>
          <w:b/>
          <w:color w:val="1F4D78"/>
          <w:sz w:val="21"/>
          <w:lang w:val="zh-CN" w:eastAsia="zh-CN"/>
        </w:rPr>
        <w:t>完整代码</w:t>
        <w:br/>
      </w:r>
      <w:r>
        <w:rPr>
          <w:rFonts w:ascii="Arial Unicode MS" w:hAnsi="Arial Unicode MS" w:eastAsia="Arial Unicode MS" w:cs="Arial Unicode MS"/>
          <w:b w:val="0"/>
          <w:color w:val="2F3438"/>
          <w:sz w:val="18"/>
          <w:lang w:val="zh-CN" w:eastAsia="zh-CN"/>
        </w:rPr>
        <w:t>#coding:gbk</w:t>
        <w:br/>
        <w:br/>
        <w:t>def init(ContextInfo):</w:t>
        <w:br/>
        <w:t xml:space="preserve">    # 当前品种由“基本信息 - 默认品种”面板决定。</w:t>
        <w:br/>
        <w:t xml:space="preserve">    ContextInfo.symbol = ContextInfo.stockcode</w:t>
        <w:br/>
        <w:t xml:space="preserve">    ContextInfo.set_universe([ContextInfo.symbol])</w:t>
        <w:br/>
        <w:br/>
        <w:t>def handlebar(ContextInfo):</w:t>
        <w:br/>
        <w:t xml:space="preserve">    # 本示例只用于历史回测。</w:t>
        <w:br/>
        <w:t xml:space="preserve">    if not ContextInfo.do_back_test:</w:t>
        <w:br/>
        <w:t xml:space="preserve">        return</w:t>
        <w:br/>
        <w:br/>
        <w:t xml:space="preserve">    symbol = ContextInfo.symbol</w:t>
        <w:br/>
        <w:t xml:space="preserve">    period = ContextInfo.period</w:t>
        <w:br/>
        <w:br/>
        <w:t xml:space="preserve">    open_data = ContextInfo.get_history_data(1, period, 'open')</w:t>
        <w:br/>
        <w:t xml:space="preserve">    close_data = ContextInfo.get_history_data(1, period, 'close')</w:t>
        <w:br/>
        <w:br/>
        <w:t xml:space="preserve">    opens = open_data.get(symbol, [])</w:t>
        <w:br/>
        <w:t xml:space="preserve">    closes = close_data.get(symbol, [])</w:t>
        <w:br/>
        <w:t xml:space="preserve">    if not opens or not closes:</w:t>
        <w:br/>
        <w:t xml:space="preserve">        return</w:t>
        <w:br/>
        <w:br/>
        <w:t xml:space="preserve">    # 最后一根 K 线之后没有下一根 K 线。</w:t>
        <w:br/>
        <w:t xml:space="preserve">    if ContextInfo.is_last_bar():</w:t>
        <w:br/>
        <w:t xml:space="preserve">        return</w:t>
        <w:br/>
        <w:br/>
        <w:t xml:space="preserve">    # 收盘价高于开盘价，下一根 K 线开盘买入 1 手。</w:t>
        <w:br/>
        <w:t xml:space="preserve">    if float(closes[-1]) &gt; float(opens[-1]):</w:t>
        <w:br/>
        <w:t xml:space="preserve">        buy_open(symbol, 1, ContextInfo)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  <w:lang w:val="zh-CN" w:eastAsia="zh-CN"/>
        </w:rPr>
        <w:t>五、代码工作原理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AAB7C4"/>
          <w:left w:val="single" w:sz="6" w:color="AAB7C4"/>
          <w:bottom w:val="single" w:sz="6" w:color="AAB7C4"/>
          <w:right w:val="single" w:sz="6" w:color="AAB7C4"/>
          <w:insideH w:val="single" w:sz="6" w:color="AAB7C4"/>
          <w:insideV w:val="single" w:sz="6" w:color="AAB7C4"/>
        </w:tblBorders>
      </w:tblPr>
      <w:tblGrid>
        <w:gridCol w:w="3200"/>
        <w:gridCol w:w="6160"/>
      </w:tblGrid>
      <w:tr>
        <w:trPr>
          <w:tblHeader w:val="true"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21"/>
                <w:lang w:val="zh-CN" w:eastAsia="zh-CN"/>
              </w:rPr>
              <w:t>代码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21"/>
                <w:lang w:val="zh-CN" w:eastAsia="zh-CN"/>
              </w:rPr>
              <w:t>作用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lang w:val="zh-CN" w:eastAsia="zh-CN"/>
              </w:rPr>
              <w:t>ContextInfo.stockcode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lang w:val="zh-CN" w:eastAsia="zh-CN"/>
              </w:rPr>
              <w:t>读取“默认品种”面板所选择的当前主图品种。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lang w:val="zh-CN" w:eastAsia="zh-CN"/>
              </w:rPr>
              <w:t>ContextInfo.set_universe()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lang w:val="zh-CN" w:eastAsia="zh-CN"/>
              </w:rPr>
              <w:t>把当前面板品种设为行情数据的基础股票池。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lang w:val="zh-CN" w:eastAsia="zh-CN"/>
              </w:rPr>
              <w:t>ContextInfo.period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lang w:val="zh-CN" w:eastAsia="zh-CN"/>
              </w:rPr>
              <w:t>读取“默认周期”面板中的日线、分钟线等周期。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lang w:val="zh-CN" w:eastAsia="zh-CN"/>
              </w:rPr>
              <w:t>get_history_data()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lang w:val="zh-CN" w:eastAsia="zh-CN"/>
              </w:rPr>
              <w:t>按当前品种和当前周期读取最新一根 K 线的开盘价与收盘价。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lang w:val="zh-CN" w:eastAsia="zh-CN"/>
              </w:rPr>
              <w:t>ContextInfo.is_last_bar()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lang w:val="zh-CN" w:eastAsia="zh-CN"/>
              </w:rPr>
              <w:t>最后一根 K 线后没有下一根 K 线，因此不再创建无法成交的新委托。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lang w:val="zh-CN" w:eastAsia="zh-CN"/>
              </w:rPr>
              <w:t>buy_open()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lang w:val="zh-CN" w:eastAsia="zh-CN"/>
              </w:rPr>
              <w:t>对面板当前选择的期货品种买入开仓 1 手。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  <w:lang w:val="zh-CN" w:eastAsia="zh-CN"/>
        </w:rPr>
        <w:t>六、面板设置方法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  <w:lang w:val="zh-CN" w:eastAsia="zh-CN"/>
        </w:rPr>
        <w:t>6.1 基本信息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AAB7C4"/>
          <w:left w:val="single" w:sz="6" w:color="AAB7C4"/>
          <w:bottom w:val="single" w:sz="6" w:color="AAB7C4"/>
          <w:right w:val="single" w:sz="6" w:color="AAB7C4"/>
          <w:insideH w:val="single" w:sz="6" w:color="AAB7C4"/>
          <w:insideV w:val="single" w:sz="6" w:color="AAB7C4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21"/>
                <w:lang w:val="zh-CN" w:eastAsia="zh-CN"/>
              </w:rPr>
              <w:t>项目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21"/>
                <w:lang w:val="zh-CN" w:eastAsia="zh-CN"/>
              </w:rPr>
              <w:t>设置方法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lang w:val="zh-CN" w:eastAsia="zh-CN"/>
              </w:rPr>
              <w:t>名称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lang w:val="zh-CN" w:eastAsia="zh-CN"/>
              </w:rPr>
              <w:t>可填写“面板驱动型阳线买入策略”。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lang w:val="zh-CN" w:eastAsia="zh-CN"/>
              </w:rPr>
              <w:t>默认周期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lang w:val="zh-CN" w:eastAsia="zh-CN"/>
              </w:rPr>
              <w:t>策略按日 K 教学时选择“日线”；也可选择其他周期测试。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lang w:val="zh-CN" w:eastAsia="zh-CN"/>
              </w:rPr>
              <w:t>默认品种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lang w:val="zh-CN" w:eastAsia="zh-CN"/>
              </w:rPr>
              <w:t>由读者选择当时仍在交易、且已下载历史数据的期货合约。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lang w:val="zh-CN" w:eastAsia="zh-CN"/>
              </w:rPr>
              <w:t>复权方式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lang w:val="zh-CN" w:eastAsia="zh-CN"/>
              </w:rPr>
              <w:t>期货品种通常选择“不复权”。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  <w:lang w:val="zh-CN" w:eastAsia="zh-CN"/>
        </w:rPr>
        <w:t>6.2 回测参数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AAB7C4"/>
          <w:left w:val="single" w:sz="6" w:color="AAB7C4"/>
          <w:bottom w:val="single" w:sz="6" w:color="AAB7C4"/>
          <w:right w:val="single" w:sz="6" w:color="AAB7C4"/>
          <w:insideH w:val="single" w:sz="6" w:color="AAB7C4"/>
          <w:insideV w:val="single" w:sz="6" w:color="AAB7C4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21"/>
                <w:lang w:val="zh-CN" w:eastAsia="zh-CN"/>
              </w:rPr>
              <w:t>项目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21"/>
                <w:lang w:val="zh-CN" w:eastAsia="zh-CN"/>
              </w:rPr>
              <w:t>设置方法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lang w:val="zh-CN" w:eastAsia="zh-CN"/>
              </w:rPr>
              <w:t>开始时间、结束时间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lang w:val="zh-CN" w:eastAsia="zh-CN"/>
              </w:rPr>
              <w:t>由读者根据已下载数据和研究目的自行选择。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lang w:val="zh-CN" w:eastAsia="zh-CN"/>
              </w:rPr>
              <w:t>初始资金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lang w:val="zh-CN" w:eastAsia="zh-CN"/>
              </w:rPr>
              <w:t>根据所选期货品种的合约价值和保证金要求设置。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lang w:val="zh-CN" w:eastAsia="zh-CN"/>
              </w:rPr>
              <w:t>滑点、手续费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lang w:val="zh-CN" w:eastAsia="zh-CN"/>
              </w:rPr>
              <w:t>教学验证可先设为 0；正式研究应按真实交易条件填写。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lang w:val="zh-CN" w:eastAsia="zh-CN"/>
              </w:rPr>
              <w:t>保证金比例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lang w:val="zh-CN" w:eastAsia="zh-CN"/>
              </w:rPr>
              <w:t>按照所选品种及研究口径填写。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  <w:lang w:val="zh-CN" w:eastAsia="zh-CN"/>
        </w:rPr>
        <w:t>七、运行回测</w:t>
      </w:r>
    </w:p>
    <w:p>
      <w:pPr>
        <w:spacing w:before="0" w:after="120" w:line="300" w:lineRule="auto"/>
        <w:ind w:firstLine="440"/>
        <w:jc w:val="both"/>
      </w:pPr>
      <w:r>
        <w:rPr>
          <w:rFonts w:ascii="Arial Unicode MS" w:hAnsi="Arial Unicode MS" w:eastAsia="Arial Unicode MS" w:cs="Arial Unicode MS"/>
          <w:b w:val="0"/>
          <w:color w:val="000000"/>
          <w:sz w:val="22"/>
          <w:lang w:val="zh-CN" w:eastAsia="zh-CN"/>
        </w:rPr>
        <w:t>第一步，在“数据管理”中下载所选品种、周期和时间区间的历史数据。</w:t>
      </w:r>
    </w:p>
    <w:p>
      <w:pPr>
        <w:spacing w:before="0" w:after="120" w:line="300" w:lineRule="auto"/>
        <w:ind w:firstLine="440"/>
        <w:jc w:val="both"/>
      </w:pPr>
      <w:r>
        <w:rPr>
          <w:rFonts w:ascii="Arial Unicode MS" w:hAnsi="Arial Unicode MS" w:eastAsia="Arial Unicode MS" w:cs="Arial Unicode MS"/>
          <w:b w:val="0"/>
          <w:color w:val="000000"/>
          <w:sz w:val="22"/>
          <w:lang w:val="zh-CN" w:eastAsia="zh-CN"/>
        </w:rPr>
        <w:t>第二步，将代码粘贴到 QMT Python 策略编辑器并保存。</w:t>
      </w:r>
    </w:p>
    <w:p>
      <w:pPr>
        <w:spacing w:before="0" w:after="120" w:line="300" w:lineRule="auto"/>
        <w:ind w:firstLine="440"/>
        <w:jc w:val="both"/>
      </w:pPr>
      <w:r>
        <w:rPr>
          <w:rFonts w:ascii="Arial Unicode MS" w:hAnsi="Arial Unicode MS" w:eastAsia="Arial Unicode MS" w:cs="Arial Unicode MS"/>
          <w:b w:val="0"/>
          <w:color w:val="000000"/>
          <w:sz w:val="22"/>
          <w:lang w:val="zh-CN" w:eastAsia="zh-CN"/>
        </w:rPr>
        <w:t>第三步，在“基本信息”中选择默认品种和默认周期，在“回测参数”中设置时间区间及费用参数。</w:t>
      </w:r>
    </w:p>
    <w:p>
      <w:pPr>
        <w:spacing w:before="0" w:after="120" w:line="300" w:lineRule="auto"/>
        <w:ind w:firstLine="440"/>
        <w:jc w:val="both"/>
      </w:pPr>
      <w:r>
        <w:rPr>
          <w:rFonts w:ascii="Arial Unicode MS" w:hAnsi="Arial Unicode MS" w:eastAsia="Arial Unicode MS" w:cs="Arial Unicode MS"/>
          <w:b w:val="0"/>
          <w:color w:val="000000"/>
          <w:sz w:val="22"/>
          <w:lang w:val="zh-CN" w:eastAsia="zh-CN"/>
        </w:rPr>
        <w:t>第四步，点击“回测”。如需测试另一品种或另一时间区间，只修改面板设置，不修改代码。</w:t>
      </w:r>
    </w:p>
    <w:p>
      <w:pPr>
        <w:pStyle w:val="Heading1"/>
        <w:keepNext/>
        <w:pageBreakBefore/>
      </w:pPr>
      <w:r>
        <w:rPr>
          <w:rFonts w:ascii="Arial Unicode MS" w:hAnsi="Arial Unicode MS" w:eastAsia="Arial Unicode MS" w:cs="Arial Unicode MS"/>
          <w:b/>
          <w:color w:val="2E74B5"/>
          <w:sz w:val="32"/>
          <w:lang w:val="zh-CN" w:eastAsia="zh-CN"/>
        </w:rPr>
        <w:t>八、结果解释与使用边界</w:t>
      </w:r>
    </w:p>
    <w:p>
      <w:pPr>
        <w:spacing w:before="0" w:after="120" w:line="300" w:lineRule="auto"/>
        <w:ind w:firstLine="440"/>
        <w:jc w:val="both"/>
      </w:pPr>
      <w:r>
        <w:rPr>
          <w:rFonts w:ascii="Arial Unicode MS" w:hAnsi="Arial Unicode MS" w:eastAsia="Arial Unicode MS" w:cs="Arial Unicode MS"/>
          <w:b w:val="0"/>
          <w:color w:val="000000"/>
          <w:sz w:val="22"/>
          <w:lang w:val="zh-CN" w:eastAsia="zh-CN"/>
        </w:rPr>
        <w:t>本例的目的，是演示如何把品种和回测时间从代码中移出，并验证一条简单的入场规则。读者需要正确理解以下边界：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AAB7C4"/>
          <w:left w:val="single" w:sz="6" w:color="AAB7C4"/>
          <w:bottom w:val="single" w:sz="6" w:color="AAB7C4"/>
          <w:right w:val="single" w:sz="6" w:color="AAB7C4"/>
          <w:insideH w:val="single" w:sz="6" w:color="AAB7C4"/>
          <w:insideV w:val="single" w:sz="6" w:color="AAB7C4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21"/>
                <w:lang w:val="zh-CN" w:eastAsia="zh-CN"/>
              </w:rPr>
              <w:t>事项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21"/>
                <w:lang w:val="zh-CN" w:eastAsia="zh-CN"/>
              </w:rPr>
              <w:t>说明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lang w:val="zh-CN" w:eastAsia="zh-CN"/>
              </w:rPr>
              <w:t>重复开仓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lang w:val="zh-CN" w:eastAsia="zh-CN"/>
              </w:rPr>
              <w:t>每出现一根收盘价高于开盘价的 K 线，下一根 K 线都会买入开仓 1 手。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lang w:val="zh-CN" w:eastAsia="zh-CN"/>
              </w:rPr>
              <w:t>没有退出规则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lang w:val="zh-CN" w:eastAsia="zh-CN"/>
              </w:rPr>
              <w:t>代码没有平仓条件，因此它只是“入场规则示例”，并非完整交易系统。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lang w:val="zh-CN" w:eastAsia="zh-CN"/>
              </w:rPr>
              <w:t>回测期末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lang w:val="zh-CN" w:eastAsia="zh-CN"/>
              </w:rPr>
              <w:t>不再人工指定结算价；期末持仓和绩效以 QMT 回测引擎的处理结果为准。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lang w:val="zh-CN" w:eastAsia="zh-CN"/>
              </w:rPr>
              <w:t>适用品种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lang w:val="zh-CN" w:eastAsia="zh-CN"/>
              </w:rPr>
              <w:t>代码使用期货函数 buy_open()。如果选择股票，应改用股票下单函数。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lang w:val="zh-CN" w:eastAsia="zh-CN"/>
              </w:rPr>
              <w:t>安全限制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lang w:val="zh-CN" w:eastAsia="zh-CN"/>
              </w:rPr>
              <w:t>ContextInfo.do_back_test 用于阻止本示例在运行模式发送真实委托。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lang w:val="zh-CN" w:eastAsia="zh-CN"/>
              </w:rPr>
              <w:t>版本差异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lang w:val="zh-CN" w:eastAsia="zh-CN"/>
              </w:rPr>
              <w:t>QMT 不同版本的菜单或接口可能变化，应以当前客户端手册为准。</w:t>
            </w:r>
          </w:p>
        </w:tc>
      </w:tr>
    </w:tbl>
    <w:p>
      <w:pPr>
        <w:spacing w:after="40"/>
      </w:pPr>
    </w:p>
    <w:p>
      <w:pPr>
        <w:spacing w:before="80" w:after="200" w:line="300" w:lineRule="auto"/>
        <w:ind w:left="346" w:right="173"/>
        <w:shd w:fill="F2F4F7"/>
        <w:pBdr>
          <w:left w:val="single" w:sz="18" w:space="8" w:color="2E74B5"/>
        </w:pBdr>
      </w:pPr>
      <w:r>
        <w:rPr>
          <w:rFonts w:ascii="Arial Unicode MS" w:hAnsi="Arial Unicode MS" w:eastAsia="Arial Unicode MS" w:cs="Arial Unicode MS"/>
          <w:b/>
          <w:color w:val="1F4D78"/>
          <w:sz w:val="21"/>
          <w:lang w:val="zh-CN" w:eastAsia="zh-CN"/>
        </w:rPr>
        <w:t>教学提示</w:t>
        <w:br/>
      </w:r>
      <w:r>
        <w:rPr>
          <w:rFonts w:ascii="Arial Unicode MS" w:hAnsi="Arial Unicode MS" w:eastAsia="Arial Unicode MS" w:cs="Arial Unicode MS"/>
          <w:b w:val="0"/>
          <w:color w:val="2F3438"/>
          <w:sz w:val="21"/>
          <w:lang w:val="zh-CN" w:eastAsia="zh-CN"/>
        </w:rPr>
        <w:t>如果后续章节需要比较收益率、胜率、最大回撤等完整绩效指标，还必须另行设计平仓规则和资金管理规则。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  <w:lang w:val="zh-CN" w:eastAsia="zh-CN"/>
        </w:rPr>
        <w:t>九、小结</w:t>
      </w:r>
    </w:p>
    <w:p>
      <w:pPr>
        <w:spacing w:before="0" w:after="120" w:line="300" w:lineRule="auto"/>
        <w:ind w:firstLine="440"/>
        <w:jc w:val="both"/>
      </w:pPr>
      <w:r>
        <w:rPr>
          <w:rFonts w:ascii="Arial Unicode MS" w:hAnsi="Arial Unicode MS" w:eastAsia="Arial Unicode MS" w:cs="Arial Unicode MS"/>
          <w:b w:val="0"/>
          <w:color w:val="000000"/>
          <w:sz w:val="22"/>
          <w:lang w:val="zh-CN" w:eastAsia="zh-CN"/>
        </w:rPr>
        <w:t>面板驱动的写法使示例不依赖某一个即将到期的合约，也不依赖固定的历史日期。代码负责表达策略逻辑，面板负责选择回测对象和统计区间，更适合作为长期出版的入门案例。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224" w:left="1296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 w:cs="Arial Unicode MS"/>
        <w:b w:val="0"/>
        <w:color w:val="666666"/>
        <w:sz w:val="18"/>
        <w:lang w:val="zh-CN" w:eastAsia="zh-CN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Arial Unicode MS" w:hAnsi="Arial Unicode MS" w:eastAsia="Arial Unicode MS" w:cs="Arial Unicode MS"/>
        <w:b w:val="0"/>
        <w:color w:val="777777"/>
        <w:sz w:val="18"/>
        <w:lang w:val="zh-CN" w:eastAsia="zh-CN"/>
      </w:rPr>
      <w:t>QMT 通用策略编写示例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QMT 面板驱动型阳线买入策略回测说明</dc:title>
  <dc:subject>不在代码中固定品种与回测时间的 QMT 教学案例</dc:subject>
  <dc:creator>scholar</dc:creator>
  <cp:keywords>QMT, 面板参数, 期货回测, 阳线策略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