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4FA96" w14:textId="77777777" w:rsidR="007145CE" w:rsidRDefault="00000000">
      <w:pPr>
        <w:pStyle w:val="Heading1"/>
      </w:pPr>
      <w:bookmarkStart w:id="0" w:name="X0829f15a994b834594416e240c9f4fc888958eb"/>
      <w:r>
        <w:t>Mathematical Framework for Cell-Driven Granular Scaffold Remodeling</w:t>
      </w:r>
    </w:p>
    <w:p w14:paraId="277E24FC" w14:textId="77777777" w:rsidR="007145CE" w:rsidRDefault="00000000">
      <w:pPr>
        <w:pStyle w:val="FirstParagraph"/>
      </w:pPr>
      <w:r>
        <w:rPr>
          <w:b/>
          <w:bCs/>
        </w:rPr>
        <w:t>Version:</w:t>
      </w:r>
      <w:r>
        <w:t xml:space="preserve"> V1.6 </w:t>
      </w:r>
      <w:r>
        <w:rPr>
          <w:b/>
          <w:bCs/>
        </w:rPr>
        <w:t>Last updated:</w:t>
      </w:r>
      <w:r>
        <w:t xml:space="preserve"> 2026-03-15 </w:t>
      </w:r>
      <w:r>
        <w:rPr>
          <w:b/>
          <w:bCs/>
        </w:rPr>
        <w:t>Associated code:</w:t>
      </w:r>
      <w:r>
        <w:t xml:space="preserve"> </w:t>
      </w:r>
      <w:r>
        <w:rPr>
          <w:rStyle w:val="VerbatimChar"/>
        </w:rPr>
        <w:t>new_dem_0.py</w:t>
      </w:r>
    </w:p>
    <w:p w14:paraId="2D5D9EE1" w14:textId="77777777" w:rsidR="007145CE" w:rsidRDefault="001050FF">
      <w:r>
        <w:rPr>
          <w:noProof/>
        </w:rPr>
      </w:r>
      <w:r>
        <w:pict w14:anchorId="516F041B">
          <v:rect id="Horizontal Line 1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BA4F494" w14:textId="77777777" w:rsidR="007145CE" w:rsidRDefault="00000000">
      <w:pPr>
        <w:pStyle w:val="Heading2"/>
      </w:pPr>
      <w:bookmarkStart w:id="1" w:name="introduction"/>
      <w:r>
        <w:t>1. Introduction</w:t>
      </w:r>
    </w:p>
    <w:p w14:paraId="0247BF9D" w14:textId="77777777" w:rsidR="007145CE" w:rsidRDefault="00000000">
      <w:pPr>
        <w:pStyle w:val="FirstParagraph"/>
      </w:pPr>
      <w:r>
        <w:t xml:space="preserve">We develop a multiscale mathematical framework for the mechanical remodeling of granular hydrogel scaffolds driven by encapsulated living cells. The system comprises </w:t>
      </w:r>
      <m:oMath>
        <m:r>
          <w:rPr>
            <w:rFonts w:ascii="Cambria Math" w:hAnsi="Cambria Math"/>
          </w:rPr>
          <m:t>N</m:t>
        </m:r>
      </m:oMath>
      <w:r>
        <w:t xml:space="preserve"> rigid hydrogel granules — functional (cell-laden) and inert (passive) — confined within a bounded domain. Three coupled processes govern scaffold evolution:</w:t>
      </w:r>
    </w:p>
    <w:p w14:paraId="158EA874" w14:textId="77777777" w:rsidR="007145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Cell-driven compaction.</w:t>
      </w:r>
      <w:r>
        <w:t xml:space="preserve"> Cells seeded on functional granules attach, spread, form focal adhesions, and generate traction forces that pull neighboring granules together through intercellular bridges.</w:t>
      </w:r>
    </w:p>
    <w:p w14:paraId="1CE12963" w14:textId="77777777" w:rsidR="007145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Granular contact mechanics.</w:t>
      </w:r>
      <w:r>
        <w:t xml:space="preserve"> Hertzian elasticity, surface-chemistry-dependent friction, and DMT adhesion govern granule-granule and granule-wall interactions.</w:t>
      </w:r>
    </w:p>
    <w:p w14:paraId="04FD6AC6" w14:textId="77777777" w:rsidR="007145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Interstitial fluid transport.</w:t>
      </w:r>
      <w:r>
        <w:t xml:space="preserve"> The evolving void network controls hydraulic permeability and nutrient delivery, coupling scaffold architecture to tissue viability.</w:t>
      </w:r>
    </w:p>
    <w:p w14:paraId="08F5DD10" w14:textId="77777777" w:rsidR="007145CE" w:rsidRDefault="00000000">
      <w:pPr>
        <w:pStyle w:val="FirstParagraph"/>
      </w:pPr>
      <w:r>
        <w:t>The discrete element model (DEM) resolves the particle scale (Sections 2–3), while coarse-grained continuum descriptions capture tissue-scale behavior (Sections 4–5). Dimensionless groups (Section 6) identify the dominant physics, and a tissue architecture descriptor (Section 7) enables quantitative comparison to organ microstructure targets.</w:t>
      </w:r>
    </w:p>
    <w:p w14:paraId="5B2E6BF4" w14:textId="77777777" w:rsidR="007145CE" w:rsidRDefault="00000000">
      <w:pPr>
        <w:pStyle w:val="BodyText"/>
      </w:pPr>
      <w:r>
        <w:rPr>
          <w:b/>
          <w:bCs/>
        </w:rPr>
        <w:t>Units.</w:t>
      </w:r>
      <w:r>
        <w:t xml:space="preserve"> Throughout this document: micrometres (</w:t>
      </w:r>
      <m:oMath>
        <m:r>
          <w:rPr>
            <w:rFonts w:ascii="Cambria Math" w:hAnsi="Cambria Math"/>
          </w:rPr>
          <m:t>μ</m:t>
        </m:r>
      </m:oMath>
      <w:r>
        <w:t>m) for length, nanonewtons (nN) for force, hours (h) for time, and kilopascals (kPa) for elastic modulus. Where SI units are required for dimensional consistency, explicit conversion factors are noted.</w:t>
      </w:r>
    </w:p>
    <w:p w14:paraId="1EF051E0" w14:textId="77777777" w:rsidR="007145CE" w:rsidRDefault="001050FF">
      <w:r>
        <w:rPr>
          <w:noProof/>
        </w:rPr>
      </w:r>
      <w:r>
        <w:pict w14:anchorId="61B2FFC2">
          <v:rect id="Horizontal Line 2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481B6E0" w14:textId="77777777" w:rsidR="007145CE" w:rsidRDefault="00000000">
      <w:pPr>
        <w:pStyle w:val="Heading2"/>
      </w:pPr>
      <w:bookmarkStart w:id="2" w:name="microscale-discrete-element-model"/>
      <w:bookmarkEnd w:id="1"/>
      <w:r>
        <w:t>2. Microscale: Discrete Element Model</w:t>
      </w:r>
    </w:p>
    <w:p w14:paraId="7F516133" w14:textId="77777777" w:rsidR="007145CE" w:rsidRDefault="00000000">
      <w:pPr>
        <w:pStyle w:val="Heading3"/>
      </w:pPr>
      <w:bookmarkStart w:id="3" w:name="equations-of-motion"/>
      <w:r>
        <w:t>2.1 Equations of Motion</w:t>
      </w:r>
    </w:p>
    <w:p w14:paraId="700AD9B6" w14:textId="77777777" w:rsidR="007145CE" w:rsidRDefault="00000000">
      <w:pPr>
        <w:pStyle w:val="FirstParagraph"/>
      </w:pPr>
      <w:r>
        <w:t>The system is deeply overdamped: inertial forces are negligible compared to viscous drag at the hydrogel length scale (</w:t>
      </w:r>
      <m:oMath>
        <m:r>
          <m:rPr>
            <m:nor/>
          </m:rPr>
          <m:t>Re</m:t>
        </m:r>
        <m:r>
          <m:rPr>
            <m:sty m:val="p"/>
          </m:rPr>
          <w:rPr>
            <w:rFonts w:ascii="Cambria Math" w:hAnsi="Cambria Math"/>
          </w:rPr>
          <m:t>≪</m:t>
        </m:r>
        <m:r>
          <w:rPr>
            <w:rFonts w:ascii="Cambria Math" w:hAnsi="Cambria Math"/>
          </w:rPr>
          <m:t>1</m:t>
        </m:r>
      </m:oMath>
      <w:r>
        <w:t xml:space="preserve">). Each granule </w:t>
      </w:r>
      <m:oMath>
        <m:r>
          <w:rPr>
            <w:rFonts w:ascii="Cambria Math" w:hAnsi="Cambria Math"/>
          </w:rPr>
          <m:t>i</m:t>
        </m:r>
      </m:oMath>
      <w:r>
        <w:t xml:space="preserve"> obeys the overdamped Langevin equation</w:t>
      </w:r>
    </w:p>
    <w:p w14:paraId="6B4F0271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m:t>contact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m:t>cell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m:t>wall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m:t>noise</m:t>
              </m:r>
            </m:sup>
          </m:sSubSup>
        </m:oMath>
      </m:oMathPara>
    </w:p>
    <w:p w14:paraId="511D9579" w14:textId="77777777" w:rsidR="007145CE" w:rsidRDefault="00000000">
      <w:pPr>
        <w:pStyle w:val="FirstParagraph"/>
      </w:pPr>
      <w:r>
        <w:t>where the translational drag coefficient is</w:t>
      </w:r>
    </w:p>
    <w:p w14:paraId="76FC1680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FF81AA5" w14:textId="77777777" w:rsidR="007145CE" w:rsidRDefault="00000000">
      <w:pPr>
        <w:pStyle w:val="FirstParagraph"/>
      </w:pPr>
      <w:r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 dimensionless drag scale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the equivalent radius of granule </w:t>
      </w:r>
      <m:oMath>
        <m:r>
          <w:rPr>
            <w:rFonts w:ascii="Cambria Math" w:hAnsi="Cambria Math"/>
          </w:rPr>
          <m:t>i</m:t>
        </m:r>
      </m:oMath>
      <w:r>
        <w:t>. The terms on the right-hand side represent, respectively: (1) contact forces from neighboring granules (Hertz repulsion, DMT adhesion, and tangential friction), (2) cell-mediated traction forces transmitted through intercellular bridges, (3) repulsive wall forces at domain boundaries, and (4) active noise representing stochastic cell-driven fluctuations.</w:t>
      </w:r>
    </w:p>
    <w:p w14:paraId="2C23063B" w14:textId="77777777" w:rsidR="007145CE" w:rsidRDefault="00000000">
      <w:pPr>
        <w:pStyle w:val="BodyText"/>
      </w:pPr>
      <w:r>
        <w:t>Time integration uses a forward Euler scheme,</w:t>
      </w:r>
    </w:p>
    <w:p w14:paraId="56B2DA8D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+Δ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nor/>
                    </m:rPr>
                    <m:t>tot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</m:oMath>
      </m:oMathPara>
    </w:p>
    <w:p w14:paraId="26773A40" w14:textId="77777777" w:rsidR="007145CE" w:rsidRDefault="00000000">
      <w:pPr>
        <w:pStyle w:val="FirstParagraph"/>
      </w:pPr>
      <w:r>
        <w:t xml:space="preserve">with a velocity cap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>
        <w:t xml:space="preserve"> to prevent numerical blowup from large transient forces.</w:t>
      </w:r>
    </w:p>
    <w:p w14:paraId="470279B9" w14:textId="77777777" w:rsidR="007145CE" w:rsidRDefault="00000000">
      <w:pPr>
        <w:pStyle w:val="Heading3"/>
      </w:pPr>
      <w:bookmarkStart w:id="4" w:name="hertzian-contact-force"/>
      <w:bookmarkEnd w:id="3"/>
      <w:r>
        <w:t>2.2 Hertzian Contact Force</w:t>
      </w:r>
    </w:p>
    <w:p w14:paraId="45048B31" w14:textId="77777777" w:rsidR="007145CE" w:rsidRDefault="00000000">
      <w:pPr>
        <w:pStyle w:val="FirstParagraph"/>
      </w:pPr>
      <w:r>
        <w:t>The normal contact force between two elastic granules follows the Hertz theory for non-adhesive elastic spheres (Johnson, 1985):</w:t>
      </w:r>
    </w:p>
    <w:p w14:paraId="5A5CC099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rad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35599B4" w14:textId="77777777" w:rsidR="007145CE" w:rsidRDefault="00000000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-|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is the overlap (penetration depth), and the effective elastic modulus and effective radius are</w:t>
      </w:r>
    </w:p>
    <w:p w14:paraId="75F66C59" w14:textId="77777777" w:rsidR="007145CE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</m:oMath>
      </m:oMathPara>
    </w:p>
    <w:p w14:paraId="09A789FF" w14:textId="77777777" w:rsidR="007145CE" w:rsidRDefault="00000000">
      <w:pPr>
        <w:pStyle w:val="FirstParagraph"/>
      </w:pPr>
      <w:r>
        <w:t xml:space="preserve">Here </w:t>
      </w:r>
      <m:oMath>
        <m:r>
          <w:rPr>
            <w:rFonts w:ascii="Cambria Math" w:hAnsi="Cambria Math"/>
          </w:rPr>
          <m:t>E</m:t>
        </m:r>
      </m:oMath>
      <w:r>
        <w:t xml:space="preserve"> is the Young’s modulus of the hydrogel and </w:t>
      </w:r>
      <m:oMath>
        <m:r>
          <w:rPr>
            <w:rFonts w:ascii="Cambria Math" w:hAnsi="Cambria Math"/>
          </w:rPr>
          <m:t>ν</m:t>
        </m:r>
      </m:oMath>
      <w:r>
        <w:t xml:space="preserve"> is its Poisson ratio. The factor of 2 in the denominator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accounts for equal-modulus contact between two deformable bodies. For granule-wall contact, the wall is treated as a rigid half-space, giving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wall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ν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7B65B242" w14:textId="77777777" w:rsidR="007145CE" w:rsidRDefault="00000000">
      <w:pPr>
        <w:pStyle w:val="BodyText"/>
      </w:pPr>
      <w:r>
        <w:rPr>
          <w:b/>
          <w:bCs/>
        </w:rPr>
        <w:t>Unit conversion.</w:t>
      </w:r>
      <w:r>
        <w:t xml:space="preserve"> With </w:t>
      </w:r>
      <m:oMath>
        <m:r>
          <w:rPr>
            <w:rFonts w:ascii="Cambria Math" w:hAnsi="Cambria Math"/>
          </w:rPr>
          <m:t>E</m:t>
        </m:r>
      </m:oMath>
      <w:r>
        <w:t xml:space="preserve"> in kPa (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nN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),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in </w:t>
      </w:r>
      <m:oMath>
        <m:r>
          <w:rPr>
            <w:rFonts w:ascii="Cambria Math" w:hAnsi="Cambria Math"/>
          </w:rPr>
          <m:t>μ</m:t>
        </m:r>
      </m:oMath>
      <w:r>
        <w:t xml:space="preserve">m, and </w:t>
      </w:r>
      <m:oMath>
        <m:r>
          <w:rPr>
            <w:rFonts w:ascii="Cambria Math" w:hAnsi="Cambria Math"/>
          </w:rPr>
          <m:t>δ</m:t>
        </m:r>
      </m:oMath>
      <w:r>
        <w:t xml:space="preserve"> in </w:t>
      </w:r>
      <m:oMath>
        <m:r>
          <w:rPr>
            <w:rFonts w:ascii="Cambria Math" w:hAnsi="Cambria Math"/>
          </w:rPr>
          <m:t>μ</m:t>
        </m:r>
      </m:oMath>
      <w:r>
        <w:t>m, the force is obtained in nN via</w:t>
      </w:r>
    </w:p>
    <w:p w14:paraId="077477C7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m:rPr>
              <m:nor/>
            </m:rPr>
            <m:t>nN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Pa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  <m:r>
                    <m:rPr>
                      <m:nor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e>
          </m:rad>
          <m:r>
            <w:rPr>
              <w:rFonts w:ascii="Cambria Math" w:hAnsi="Cambria Math"/>
            </w:rPr>
            <m:t> 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μ</m:t>
              </m:r>
              <m:r>
                <m:rPr>
                  <m:nor/>
                </m:rPr>
                <m:t>m</m:t>
              </m:r>
            </m:sub>
            <m:sup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A23D30E" w14:textId="77777777" w:rsidR="007145CE" w:rsidRDefault="00000000">
      <w:pPr>
        <w:pStyle w:val="FirstParagraph"/>
      </w:pPr>
      <w:r>
        <w:t xml:space="preserve">where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Pa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kPa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ν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)]</m:t>
        </m:r>
      </m:oMath>
      <w:r>
        <w:t>.</w:t>
      </w:r>
    </w:p>
    <w:p w14:paraId="6B6477AE" w14:textId="77777777" w:rsidR="007145CE" w:rsidRDefault="00000000">
      <w:pPr>
        <w:pStyle w:val="BodyText"/>
      </w:pPr>
      <w:r>
        <w:t xml:space="preserve">For superellipsoidal granules (Section 2.8),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is replaced by the harmonic mean of the local radii of curvature at the contact point, computed from the parametric surface geometry.</w:t>
      </w:r>
    </w:p>
    <w:p w14:paraId="085045E0" w14:textId="77777777" w:rsidR="007145CE" w:rsidRDefault="00000000">
      <w:pPr>
        <w:pStyle w:val="Heading3"/>
      </w:pPr>
      <w:bookmarkStart w:id="5" w:name="friction-gong-2006-pitenis-2014"/>
      <w:bookmarkEnd w:id="4"/>
      <w:r>
        <w:lastRenderedPageBreak/>
        <w:t>2.3 Friction (Gong 2006, Pitenis 2014)</w:t>
      </w:r>
    </w:p>
    <w:p w14:paraId="0A955900" w14:textId="77777777" w:rsidR="007145CE" w:rsidRDefault="00000000">
      <w:pPr>
        <w:pStyle w:val="FirstParagraph"/>
      </w:pPr>
      <w:r>
        <w:t>Hydrogel surfaces exhibit area-dependent friction governed by surface chemistry rather than Coulombic mechanics. The tangential friction force opposing relative sliding is</w:t>
      </w:r>
    </w:p>
    <w:p w14:paraId="1E841870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fric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tanh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m:t>ref</m:t>
                      </m:r>
                    </m:sub>
                  </m:sSub>
                </m:den>
              </m:f>
            </m:e>
          </m:d>
        </m:oMath>
      </m:oMathPara>
    </w:p>
    <w:p w14:paraId="4CAA4672" w14:textId="77777777" w:rsidR="007145CE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is the interfacial shear stress (Pa),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δ</m:t>
        </m:r>
      </m:oMath>
      <w:r>
        <w:t xml:space="preserve"> is the Hertzian contact area (</w:t>
      </w:r>
      <m:oMath>
        <m:r>
          <w:rPr>
            <w:rFonts w:ascii="Cambria Math" w:hAnsi="Cambria Math"/>
          </w:rPr>
          <m:t>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is the relative tangential velocity at the contact point,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ref</m:t>
            </m:r>
          </m:sub>
        </m:sSub>
      </m:oMath>
      <w:r>
        <w:t xml:space="preserve"> is a regularization velocity that smooths the discontinuity at zero sliding speed.</w:t>
      </w:r>
    </w:p>
    <w:p w14:paraId="3B5D6160" w14:textId="77777777" w:rsidR="007145CE" w:rsidRDefault="00000000">
      <w:pPr>
        <w:pStyle w:val="BodyText"/>
      </w:pPr>
      <w:r>
        <w:t>The interfacial shear stress depends on the surface chemistry of the contacting pair: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9"/>
        <w:gridCol w:w="2459"/>
        <w:gridCol w:w="890"/>
      </w:tblGrid>
      <w:tr w:rsidR="007145CE" w14:paraId="7540DD0E" w14:textId="77777777" w:rsidTr="00714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6D712D" w14:textId="77777777" w:rsidR="007145CE" w:rsidRDefault="00000000">
            <w:pPr>
              <w:pStyle w:val="Compact"/>
            </w:pPr>
            <w:r>
              <w:t>Pair type</w:t>
            </w:r>
          </w:p>
        </w:tc>
        <w:tc>
          <w:tcPr>
            <w:tcW w:w="0" w:type="auto"/>
          </w:tcPr>
          <w:p w14:paraId="699B81E5" w14:textId="77777777" w:rsidR="007145CE" w:rsidRDefault="00000000">
            <w:pPr>
              <w:pStyle w:val="Compact"/>
            </w:pPr>
            <w:r>
              <w:t>Surface chemistry</w:t>
            </w:r>
          </w:p>
        </w:tc>
        <w:tc>
          <w:tcPr>
            <w:tcW w:w="0" w:type="auto"/>
          </w:tcPr>
          <w:p w14:paraId="0DD31106" w14:textId="77777777" w:rsidR="007145CE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t xml:space="preserve"> (Pa)</w:t>
            </w:r>
          </w:p>
        </w:tc>
      </w:tr>
      <w:tr w:rsidR="007145CE" w14:paraId="7F460B12" w14:textId="77777777">
        <w:tc>
          <w:tcPr>
            <w:tcW w:w="0" w:type="auto"/>
          </w:tcPr>
          <w:p w14:paraId="546D6609" w14:textId="77777777" w:rsidR="007145CE" w:rsidRDefault="00000000">
            <w:pPr>
              <w:pStyle w:val="Compact"/>
            </w:pPr>
            <w:r>
              <w:t>Functional–functional</w:t>
            </w:r>
          </w:p>
        </w:tc>
        <w:tc>
          <w:tcPr>
            <w:tcW w:w="0" w:type="auto"/>
          </w:tcPr>
          <w:p w14:paraId="03F03C2B" w14:textId="77777777" w:rsidR="007145CE" w:rsidRDefault="00000000">
            <w:pPr>
              <w:pStyle w:val="Compact"/>
            </w:pPr>
            <w:r>
              <w:t>Collagen I – collagen I</w:t>
            </w:r>
          </w:p>
        </w:tc>
        <w:tc>
          <w:tcPr>
            <w:tcW w:w="0" w:type="auto"/>
          </w:tcPr>
          <w:p w14:paraId="3240E961" w14:textId="77777777" w:rsidR="007145CE" w:rsidRDefault="00000000">
            <w:pPr>
              <w:pStyle w:val="Compact"/>
            </w:pPr>
            <w:r>
              <w:t>2000</w:t>
            </w:r>
          </w:p>
        </w:tc>
      </w:tr>
      <w:tr w:rsidR="007145CE" w14:paraId="2B6299CA" w14:textId="77777777">
        <w:tc>
          <w:tcPr>
            <w:tcW w:w="0" w:type="auto"/>
          </w:tcPr>
          <w:p w14:paraId="3D23B3C4" w14:textId="77777777" w:rsidR="007145CE" w:rsidRDefault="00000000">
            <w:pPr>
              <w:pStyle w:val="Compact"/>
            </w:pPr>
            <w:r>
              <w:t>Inert–functional</w:t>
            </w:r>
          </w:p>
        </w:tc>
        <w:tc>
          <w:tcPr>
            <w:tcW w:w="0" w:type="auto"/>
          </w:tcPr>
          <w:p w14:paraId="1DB43435" w14:textId="77777777" w:rsidR="007145CE" w:rsidRDefault="00000000">
            <w:pPr>
              <w:pStyle w:val="Compact"/>
            </w:pPr>
            <w:r>
              <w:t>Bare gel – collagen I</w:t>
            </w:r>
          </w:p>
        </w:tc>
        <w:tc>
          <w:tcPr>
            <w:tcW w:w="0" w:type="auto"/>
          </w:tcPr>
          <w:p w14:paraId="25438C1A" w14:textId="77777777" w:rsidR="007145CE" w:rsidRDefault="00000000">
            <w:pPr>
              <w:pStyle w:val="Compact"/>
            </w:pPr>
            <w:r>
              <w:t>500</w:t>
            </w:r>
          </w:p>
        </w:tc>
      </w:tr>
      <w:tr w:rsidR="007145CE" w14:paraId="195EAC62" w14:textId="77777777">
        <w:tc>
          <w:tcPr>
            <w:tcW w:w="0" w:type="auto"/>
          </w:tcPr>
          <w:p w14:paraId="00B293C8" w14:textId="77777777" w:rsidR="007145CE" w:rsidRDefault="00000000">
            <w:pPr>
              <w:pStyle w:val="Compact"/>
            </w:pPr>
            <w:r>
              <w:t>Inert–inert</w:t>
            </w:r>
          </w:p>
        </w:tc>
        <w:tc>
          <w:tcPr>
            <w:tcW w:w="0" w:type="auto"/>
          </w:tcPr>
          <w:p w14:paraId="5DDC1860" w14:textId="77777777" w:rsidR="007145CE" w:rsidRDefault="00000000">
            <w:pPr>
              <w:pStyle w:val="Compact"/>
            </w:pPr>
            <w:r>
              <w:t>Bare gel – bare gel</w:t>
            </w:r>
          </w:p>
        </w:tc>
        <w:tc>
          <w:tcPr>
            <w:tcW w:w="0" w:type="auto"/>
          </w:tcPr>
          <w:p w14:paraId="5FA007F8" w14:textId="77777777" w:rsidR="007145CE" w:rsidRDefault="00000000">
            <w:pPr>
              <w:pStyle w:val="Compact"/>
            </w:pPr>
            <w:r>
              <w:t>50</w:t>
            </w:r>
          </w:p>
        </w:tc>
      </w:tr>
    </w:tbl>
    <w:p w14:paraId="6007E5AB" w14:textId="77777777" w:rsidR="007145CE" w:rsidRDefault="00000000">
      <w:pPr>
        <w:pStyle w:val="BodyText"/>
      </w:pPr>
      <w:r>
        <w:t>These values reflect the hierarchy of hydrogen bonding and entanglement between collagen-coated and uncoated hydrogel surfaces (Gong, 2006; Pitenis et al., 2014).</w:t>
      </w:r>
    </w:p>
    <w:p w14:paraId="2A02C88F" w14:textId="77777777" w:rsidR="007145CE" w:rsidRDefault="00000000">
      <w:pPr>
        <w:pStyle w:val="Heading3"/>
      </w:pPr>
      <w:bookmarkStart w:id="6" w:name="dmt-adhesion"/>
      <w:bookmarkEnd w:id="5"/>
      <w:r>
        <w:t>2.4 DMT Adhesion</w:t>
      </w:r>
    </w:p>
    <w:p w14:paraId="47D4DDF5" w14:textId="77777777" w:rsidR="007145CE" w:rsidRDefault="00000000">
      <w:pPr>
        <w:pStyle w:val="FirstParagraph"/>
      </w:pPr>
      <w:r>
        <w:t>The Derjaguin-Muller-Toporov (DMT) model provides a constant adhesive contribution during contact:</w:t>
      </w:r>
    </w:p>
    <w:p w14:paraId="4C53C8D5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adh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2πW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</m:oMath>
      </m:oMathPara>
    </w:p>
    <w:p w14:paraId="454C827F" w14:textId="77777777" w:rsidR="007145CE" w:rsidRDefault="00000000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W</m:t>
        </m:r>
      </m:oMath>
      <w:r>
        <w:t xml:space="preserve"> is the work of adhesion (J/m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​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), which depends on the pair type as shown below.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9"/>
        <w:gridCol w:w="1117"/>
      </w:tblGrid>
      <w:tr w:rsidR="007145CE" w14:paraId="33D01748" w14:textId="77777777" w:rsidTr="00714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372A4A" w14:textId="77777777" w:rsidR="007145CE" w:rsidRDefault="00000000">
            <w:pPr>
              <w:pStyle w:val="Compact"/>
            </w:pPr>
            <w:r>
              <w:t>Pair type</w:t>
            </w:r>
          </w:p>
        </w:tc>
        <w:tc>
          <w:tcPr>
            <w:tcW w:w="0" w:type="auto"/>
          </w:tcPr>
          <w:p w14:paraId="165E1ECB" w14:textId="77777777" w:rsidR="007145CE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W</m:t>
              </m:r>
            </m:oMath>
            <w:r>
              <w:t xml:space="preserve"> (J/m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)</w:t>
            </w:r>
          </w:p>
        </w:tc>
      </w:tr>
      <w:tr w:rsidR="007145CE" w14:paraId="72245E94" w14:textId="77777777">
        <w:tc>
          <w:tcPr>
            <w:tcW w:w="0" w:type="auto"/>
          </w:tcPr>
          <w:p w14:paraId="5119EE36" w14:textId="77777777" w:rsidR="007145CE" w:rsidRDefault="00000000">
            <w:pPr>
              <w:pStyle w:val="Compact"/>
            </w:pPr>
            <w:r>
              <w:t>Functional–functional</w:t>
            </w:r>
          </w:p>
        </w:tc>
        <w:tc>
          <w:tcPr>
            <w:tcW w:w="0" w:type="auto"/>
          </w:tcPr>
          <w:p w14:paraId="6AD46B46" w14:textId="77777777" w:rsidR="007145CE" w:rsidRDefault="00000000">
            <w:pPr>
              <w:pStyle w:val="Compact"/>
            </w:pPr>
            <w:r>
              <w:t>0.002</w:t>
            </w:r>
          </w:p>
        </w:tc>
      </w:tr>
      <w:tr w:rsidR="007145CE" w14:paraId="2ED109E0" w14:textId="77777777">
        <w:tc>
          <w:tcPr>
            <w:tcW w:w="0" w:type="auto"/>
          </w:tcPr>
          <w:p w14:paraId="784D413C" w14:textId="77777777" w:rsidR="007145CE" w:rsidRDefault="00000000">
            <w:pPr>
              <w:pStyle w:val="Compact"/>
            </w:pPr>
            <w:r>
              <w:t>Inert–functional</w:t>
            </w:r>
          </w:p>
        </w:tc>
        <w:tc>
          <w:tcPr>
            <w:tcW w:w="0" w:type="auto"/>
          </w:tcPr>
          <w:p w14:paraId="46CC832C" w14:textId="77777777" w:rsidR="007145CE" w:rsidRDefault="00000000">
            <w:pPr>
              <w:pStyle w:val="Compact"/>
            </w:pPr>
            <w:r>
              <w:t>0.001</w:t>
            </w:r>
          </w:p>
        </w:tc>
      </w:tr>
      <w:tr w:rsidR="007145CE" w14:paraId="673CA28F" w14:textId="77777777">
        <w:tc>
          <w:tcPr>
            <w:tcW w:w="0" w:type="auto"/>
          </w:tcPr>
          <w:p w14:paraId="24749684" w14:textId="77777777" w:rsidR="007145CE" w:rsidRDefault="00000000">
            <w:pPr>
              <w:pStyle w:val="Compact"/>
            </w:pPr>
            <w:r>
              <w:t>Inert–inert</w:t>
            </w:r>
          </w:p>
        </w:tc>
        <w:tc>
          <w:tcPr>
            <w:tcW w:w="0" w:type="auto"/>
          </w:tcPr>
          <w:p w14:paraId="27BF0C03" w14:textId="77777777" w:rsidR="007145CE" w:rsidRDefault="00000000">
            <w:pPr>
              <w:pStyle w:val="Compact"/>
            </w:pPr>
            <w:r>
              <w:t>0.0005</w:t>
            </w:r>
          </w:p>
        </w:tc>
      </w:tr>
    </w:tbl>
    <w:p w14:paraId="1C352F21" w14:textId="77777777" w:rsidR="007145CE" w:rsidRDefault="00000000">
      <w:pPr>
        <w:pStyle w:val="BodyText"/>
      </w:pPr>
      <w:r>
        <w:t>The net normal contact force is</w:t>
      </w:r>
    </w:p>
    <w:p w14:paraId="3F5DBD09" w14:textId="77777777" w:rsidR="007145CE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nor/>
                </m:rPr>
                <m:t>net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nor/>
                </m:rPr>
                <m:t>Hertz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adh</m:t>
              </m:r>
            </m:sub>
          </m:sSub>
        </m:oMath>
      </m:oMathPara>
    </w:p>
    <w:p w14:paraId="0A29D704" w14:textId="77777777" w:rsidR="007145CE" w:rsidRDefault="00000000">
      <w:pPr>
        <w:pStyle w:val="FirstParagraph"/>
      </w:pPr>
      <w:r>
        <w:t xml:space="preserve">which can become negative (attractive) when the Hertzian repulsion is small relative to adhesion, stabilizing granule contacts at small overlaps. In simulation units, the adhesion force is computed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adh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2πW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nN to convert from the SI product </w:t>
      </w:r>
      <m:oMath>
        <m:r>
          <m:rPr>
            <m:sty m:val="p"/>
          </m:rP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J/m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μ</m:t>
        </m:r>
        <m:r>
          <m:rPr>
            <m:nor/>
          </m:rPr>
          <m:t>m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022A78A4" w14:textId="77777777" w:rsidR="007145CE" w:rsidRDefault="00000000">
      <w:pPr>
        <w:pStyle w:val="Heading3"/>
      </w:pPr>
      <w:bookmarkStart w:id="7" w:name="X2f8707edac2b1d27e9858e303fff7b9c6aefe6c"/>
      <w:bookmarkEnd w:id="6"/>
      <w:r>
        <w:lastRenderedPageBreak/>
        <w:t>2.5 Motor-Clutch Cell Traction (Chan &amp; Odde 2008)</w:t>
      </w:r>
    </w:p>
    <w:p w14:paraId="3262EA4B" w14:textId="77777777" w:rsidR="007145CE" w:rsidRDefault="00000000">
      <w:pPr>
        <w:pStyle w:val="FirstParagraph"/>
      </w:pPr>
      <w:r>
        <w:t>Cells encapsulated within functional granules generate traction forces via the motor-clutch mechanism. Following Chan and Odde (2008), the steady-state traction force per cell is</w:t>
      </w:r>
    </w:p>
    <w:p w14:paraId="17C31A5D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cell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stall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ξ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2D72778" w14:textId="77777777" w:rsidR="007145CE" w:rsidRDefault="00000000">
      <w:pPr>
        <w:pStyle w:val="FirstParagraph"/>
      </w:pPr>
      <w:r>
        <w:t>where:</w:t>
      </w:r>
    </w:p>
    <w:p w14:paraId="0311FD97" w14:textId="77777777" w:rsidR="007145CE" w:rsidRDefault="0000000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stall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is the total motor stall force,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motor complexes (stress fibers) each generating stall force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>.</w:t>
      </w:r>
    </w:p>
    <w:p w14:paraId="643A38E9" w14:textId="77777777" w:rsidR="007145CE" w:rsidRDefault="00000000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sub</m:t>
            </m:r>
          </m:sub>
        </m:sSub>
        <m:r>
          <m:rPr>
            <m:sty m:val="p"/>
          </m:rPr>
          <w:rPr>
            <w:rFonts w:ascii="Cambria Math" w:hAnsi="Cambria Math"/>
          </w:rPr>
          <m:t>/(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sub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opt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stiffness-dependent engagement ratio. On soft substrates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sub</m:t>
            </m:r>
          </m:sub>
        </m:sSub>
        <m:r>
          <m:rPr>
            <m:sty m:val="p"/>
          </m:rPr>
          <w:rPr>
            <w:rFonts w:ascii="Cambria Math" w:hAnsi="Cambria Math"/>
          </w:rPr>
          <m:t>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opt</m:t>
            </m:r>
          </m:sub>
        </m:sSub>
      </m:oMath>
      <w:r>
        <w:t>), clutches disengage before motors stall, yielding low force. On stiff substrates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sub</m:t>
            </m:r>
          </m:sub>
        </m:sSub>
        <m:r>
          <m:rPr>
            <m:sty m:val="p"/>
          </m:rPr>
          <w:rPr>
            <w:rFonts w:ascii="Cambria Math" w:hAnsi="Cambria Math"/>
          </w:rPr>
          <m:t>≫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opt</m:t>
            </m:r>
          </m:sub>
        </m:sSub>
      </m:oMath>
      <w:r>
        <w:t xml:space="preserve">),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 and cells reach their maximum traction capacity.</w:t>
      </w:r>
    </w:p>
    <w:p w14:paraId="28A61F2F" w14:textId="77777777" w:rsidR="007145CE" w:rsidRDefault="0000000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sub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πEa</m:t>
        </m:r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ν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effective substrate stiffness sensed by a cell of radius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cell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on a hydrogel of modulus </w:t>
      </w:r>
      <m:oMath>
        <m:r>
          <w:rPr>
            <w:rFonts w:ascii="Cambria Math" w:hAnsi="Cambria Math"/>
          </w:rPr>
          <m:t>E</m:t>
        </m:r>
      </m:oMath>
      <w:r>
        <w:t xml:space="preserve"> and Poisson ratio </w:t>
      </w:r>
      <m:oMath>
        <m:r>
          <w:rPr>
            <w:rFonts w:ascii="Cambria Math" w:hAnsi="Cambria Math"/>
          </w:rPr>
          <m:t>ν</m:t>
        </m:r>
      </m:oMath>
      <w:r>
        <w:t>. This represents the stiffness of a rigid punch on an elastic half-space.</w:t>
      </w:r>
    </w:p>
    <w:p w14:paraId="08072512" w14:textId="77777777" w:rsidR="007145CE" w:rsidRDefault="0000000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opt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is the optimal (clutch ensemble) stiffness,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integrin clutch clusters each of spring constant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.</w:t>
      </w:r>
    </w:p>
    <w:p w14:paraId="1525D299" w14:textId="77777777" w:rsidR="007145CE" w:rsidRDefault="00000000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ξ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on</m:t>
            </m:r>
          </m:sub>
        </m:sSub>
        <m:r>
          <m:rPr>
            <m:sty m:val="p"/>
          </m:rPr>
          <w:rPr>
            <w:rFonts w:ascii="Cambria Math" w:hAnsi="Cambria Math"/>
          </w:rPr>
          <m:t>/(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on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off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steady-state fraction of engaged clutches, determined by the clutch binding rate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on</m:t>
            </m:r>
          </m:sub>
        </m:sSub>
      </m:oMath>
      <w:r>
        <w:t xml:space="preserve"> and baseline unbinding rate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off</m:t>
            </m:r>
          </m:sub>
        </m:sSub>
      </m:oMath>
      <w:r>
        <w:t>.</w:t>
      </w:r>
    </w:p>
    <w:p w14:paraId="670CEDC1" w14:textId="77777777" w:rsidR="007145CE" w:rsidRDefault="00000000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focal adhesion maturity, which ramps from 0 to 1 at a rate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FA</m:t>
            </m:r>
          </m:sub>
        </m:sSub>
      </m:oMath>
      <w:r>
        <w:t xml:space="preserve"> (h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​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) after cell spreading initiates: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)=min(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FA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spread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609EB76" w14:textId="77777777" w:rsidR="007145CE" w:rsidRDefault="00000000">
      <w:pPr>
        <w:pStyle w:val="FirstParagraph"/>
      </w:pPr>
      <w:r>
        <w:t xml:space="preserve">The force per cell is capped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>
        <w:t xml:space="preserve"> to prevent unphysical traction at extreme parameter combinations. Stiffness-dependent engagement (</w:t>
      </w:r>
      <m:oMath>
        <m:r>
          <w:rPr>
            <w:rFonts w:ascii="Cambria Math" w:hAnsi="Cambria Math"/>
          </w:rPr>
          <m:t>β</m:t>
        </m:r>
      </m:oMath>
      <w:r>
        <w:t xml:space="preserve">) also modulates the cell spreading rate: the effective spreading duration is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spread</m:t>
            </m:r>
          </m:sub>
          <m:sup>
            <m:r>
              <m:rPr>
                <m:nor/>
              </m:rPr>
              <m:t>eff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spread</m:t>
            </m:r>
          </m:sub>
        </m:sSub>
        <m:r>
          <m:rPr>
            <m:sty m:val="p"/>
          </m:rPr>
          <w:rPr>
            <w:rFonts w:ascii="Cambria Math" w:hAnsi="Cambria Math"/>
          </w:rPr>
          <m:t>/max(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so that cells on stiffer substrates spread faster.</w:t>
      </w:r>
    </w:p>
    <w:p w14:paraId="759B12B6" w14:textId="77777777" w:rsidR="007145CE" w:rsidRDefault="00000000">
      <w:pPr>
        <w:pStyle w:val="Heading3"/>
      </w:pPr>
      <w:bookmarkStart w:id="8" w:name="bridge-formation-kinetics"/>
      <w:bookmarkEnd w:id="7"/>
      <w:r>
        <w:t>2.6 Bridge Formation Kinetics</w:t>
      </w:r>
    </w:p>
    <w:p w14:paraId="5929D244" w14:textId="77777777" w:rsidR="007145CE" w:rsidRDefault="00000000">
      <w:pPr>
        <w:pStyle w:val="FirstParagraph"/>
      </w:pPr>
      <w:r>
        <w:t xml:space="preserve">Cell-cell bridges form stochastically between functional granule pairs separated by a gap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(the filopodial sensing distance). Only cells that have reached the SPREADING or PROLIFERATING state with sufficient focal adhesion maturity (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>) are eligible.</w:t>
      </w:r>
    </w:p>
    <w:p w14:paraId="3474682D" w14:textId="77777777" w:rsidR="007145CE" w:rsidRDefault="00000000">
      <w:pPr>
        <w:pStyle w:val="BodyText"/>
      </w:pPr>
      <w:r>
        <w:rPr>
          <w:b/>
          <w:bCs/>
        </w:rPr>
        <w:t>Bridge initiation.</w:t>
      </w:r>
      <w:r>
        <w:t xml:space="preserve"> Each eligible cell attempts to form a bridge as a Poisson process modulated by proximity:</w:t>
      </w:r>
    </w:p>
    <w:p w14:paraId="70CD4848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bridge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-exp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</m:e>
          </m:d>
        </m:oMath>
      </m:oMathPara>
    </w:p>
    <w:p w14:paraId="0E5AEC5E" w14:textId="77777777" w:rsidR="007145CE" w:rsidRDefault="00000000">
      <w:pPr>
        <w:pStyle w:val="FirstParagraph"/>
      </w:pPr>
      <w:r>
        <w:lastRenderedPageBreak/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is the attempt rate (h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​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), </w:t>
      </w:r>
      <m:oMath>
        <m:r>
          <w:rPr>
            <w:rFonts w:ascii="Cambria Math" w:hAnsi="Cambria Math"/>
          </w:rPr>
          <m:t>d</m:t>
        </m:r>
      </m:oMath>
      <w:r>
        <w:t xml:space="preserve"> is the surface-to-surface gap,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is the sensing distance. The proximity factor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reflects the decreasing probability that a filopodium reaches a more distant target.</w:t>
      </w:r>
    </w:p>
    <w:p w14:paraId="512A8F84" w14:textId="77777777" w:rsidR="007145CE" w:rsidRDefault="00000000">
      <w:pPr>
        <w:pStyle w:val="BodyText"/>
      </w:pPr>
      <w:r>
        <w:rPr>
          <w:b/>
          <w:bCs/>
        </w:rPr>
        <w:t>Force ramp.</w:t>
      </w:r>
      <w:r>
        <w:t xml:space="preserve"> A newly formed bridge ramps its force linearly over a formation 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:</w:t>
      </w:r>
    </w:p>
    <w:p w14:paraId="68D08BB9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bridge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cell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⋅min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age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e>
          </m:d>
        </m:oMath>
      </m:oMathPara>
    </w:p>
    <w:p w14:paraId="238D3112" w14:textId="77777777" w:rsidR="007145CE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age</m:t>
            </m:r>
          </m:sub>
        </m:sSub>
      </m:oMath>
      <w:r>
        <w:t xml:space="preserve"> is the time since bridge commitment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cell</m:t>
            </m:r>
          </m:sub>
        </m:sSub>
      </m:oMath>
      <w:r>
        <w:t xml:space="preserve"> is the motor-clutch force computed from the average focal adhesion maturity of the two granules.</w:t>
      </w:r>
    </w:p>
    <w:p w14:paraId="7AA0327D" w14:textId="77777777" w:rsidR="007145CE" w:rsidRDefault="00000000">
      <w:pPr>
        <w:pStyle w:val="BodyText"/>
      </w:pPr>
      <w:r>
        <w:rPr>
          <w:b/>
          <w:bCs/>
        </w:rPr>
        <w:t>Bridge persistence and senescence.</w:t>
      </w:r>
      <w:r>
        <w:t xml:space="preserve"> Committed bridges persist across timesteps. A bridge ruptures if the gap exceeds the break distance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break</m:t>
            </m:r>
          </m:sub>
        </m:sSub>
      </m:oMath>
      <w:r>
        <w:t xml:space="preserve">, causing the cell to transition to a senescent state. Bridges that sustain mechanical load for a duration exceeding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sen</m:t>
            </m:r>
          </m:sub>
        </m:sSub>
      </m:oMath>
      <w:r>
        <w:t xml:space="preserve"> (bridge senescence time) also transition to senescence, modeling contact-inhibited quiescence.</w:t>
      </w:r>
    </w:p>
    <w:p w14:paraId="6EBDD307" w14:textId="77777777" w:rsidR="007145CE" w:rsidRDefault="00000000">
      <w:pPr>
        <w:pStyle w:val="BodyText"/>
      </w:pPr>
      <w:r>
        <w:rPr>
          <w:b/>
          <w:bCs/>
        </w:rPr>
        <w:t>Bridge parameters.</w:t>
      </w:r>
      <w:r>
        <w:t xml:space="preserve"> The kinetic parameters are: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6"/>
        <w:gridCol w:w="995"/>
        <w:gridCol w:w="981"/>
        <w:gridCol w:w="764"/>
      </w:tblGrid>
      <w:tr w:rsidR="007145CE" w14:paraId="2C5B2A21" w14:textId="77777777" w:rsidTr="00714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55A9DC" w14:textId="77777777" w:rsidR="007145CE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08620935" w14:textId="77777777" w:rsidR="007145CE" w:rsidRDefault="00000000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3407F725" w14:textId="77777777" w:rsidR="007145CE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30A10575" w14:textId="77777777" w:rsidR="007145CE" w:rsidRDefault="00000000">
            <w:pPr>
              <w:pStyle w:val="Compact"/>
            </w:pPr>
            <w:r>
              <w:t>Units</w:t>
            </w:r>
          </w:p>
        </w:tc>
      </w:tr>
      <w:tr w:rsidR="007145CE" w14:paraId="5C2CF7FB" w14:textId="77777777">
        <w:tc>
          <w:tcPr>
            <w:tcW w:w="0" w:type="auto"/>
          </w:tcPr>
          <w:p w14:paraId="406BF88C" w14:textId="77777777" w:rsidR="007145CE" w:rsidRDefault="00000000">
            <w:pPr>
              <w:pStyle w:val="Compact"/>
            </w:pPr>
            <w:r>
              <w:t>Attempt rate</w:t>
            </w:r>
          </w:p>
        </w:tc>
        <w:tc>
          <w:tcPr>
            <w:tcW w:w="0" w:type="auto"/>
          </w:tcPr>
          <w:p w14:paraId="092AF46B" w14:textId="77777777" w:rsidR="007145C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FEF7361" w14:textId="77777777" w:rsidR="007145CE" w:rsidRDefault="00000000">
            <w:pPr>
              <w:pStyle w:val="Compact"/>
            </w:pPr>
            <w:r>
              <w:t>0.3</w:t>
            </w:r>
          </w:p>
        </w:tc>
        <w:tc>
          <w:tcPr>
            <w:tcW w:w="0" w:type="auto"/>
          </w:tcPr>
          <w:p w14:paraId="302A2728" w14:textId="77777777" w:rsidR="007145CE" w:rsidRDefault="00000000">
            <w:pPr>
              <w:pStyle w:val="Compact"/>
            </w:pPr>
            <w:r>
              <w:t>h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</w:tc>
      </w:tr>
      <w:tr w:rsidR="007145CE" w14:paraId="2E5C1E2D" w14:textId="77777777">
        <w:tc>
          <w:tcPr>
            <w:tcW w:w="0" w:type="auto"/>
          </w:tcPr>
          <w:p w14:paraId="443238D7" w14:textId="77777777" w:rsidR="007145CE" w:rsidRDefault="00000000">
            <w:pPr>
              <w:pStyle w:val="Compact"/>
            </w:pPr>
            <w:r>
              <w:t>Formation time</w:t>
            </w:r>
          </w:p>
        </w:tc>
        <w:tc>
          <w:tcPr>
            <w:tcW w:w="0" w:type="auto"/>
          </w:tcPr>
          <w:p w14:paraId="55BB7615" w14:textId="77777777" w:rsidR="007145C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3ADE5A3" w14:textId="77777777" w:rsidR="007145C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114F682C" w14:textId="77777777" w:rsidR="007145CE" w:rsidRDefault="00000000">
            <w:pPr>
              <w:pStyle w:val="Compact"/>
            </w:pPr>
            <w:r>
              <w:t>h</w:t>
            </w:r>
          </w:p>
        </w:tc>
      </w:tr>
      <w:tr w:rsidR="007145CE" w14:paraId="083800DF" w14:textId="77777777">
        <w:tc>
          <w:tcPr>
            <w:tcW w:w="0" w:type="auto"/>
          </w:tcPr>
          <w:p w14:paraId="1EFE750C" w14:textId="77777777" w:rsidR="007145CE" w:rsidRDefault="00000000">
            <w:pPr>
              <w:pStyle w:val="Compact"/>
            </w:pPr>
            <w:r>
              <w:t>Senescence time</w:t>
            </w:r>
          </w:p>
        </w:tc>
        <w:tc>
          <w:tcPr>
            <w:tcW w:w="0" w:type="auto"/>
          </w:tcPr>
          <w:p w14:paraId="22DD18E4" w14:textId="77777777" w:rsidR="007145C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m:rPr>
                        <m:nor/>
                      </m:rPr>
                      <m:t>sen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71099E7" w14:textId="77777777" w:rsidR="007145CE" w:rsidRDefault="00000000">
            <w:pPr>
              <w:pStyle w:val="Compact"/>
            </w:pPr>
            <w:r>
              <w:t>24.0</w:t>
            </w:r>
          </w:p>
        </w:tc>
        <w:tc>
          <w:tcPr>
            <w:tcW w:w="0" w:type="auto"/>
          </w:tcPr>
          <w:p w14:paraId="72ECF9CC" w14:textId="77777777" w:rsidR="007145CE" w:rsidRDefault="00000000">
            <w:pPr>
              <w:pStyle w:val="Compact"/>
            </w:pPr>
            <w:r>
              <w:t>h</w:t>
            </w:r>
          </w:p>
        </w:tc>
      </w:tr>
      <w:tr w:rsidR="007145CE" w14:paraId="1B3FD77C" w14:textId="77777777">
        <w:tc>
          <w:tcPr>
            <w:tcW w:w="0" w:type="auto"/>
          </w:tcPr>
          <w:p w14:paraId="678624EE" w14:textId="77777777" w:rsidR="007145CE" w:rsidRDefault="00000000">
            <w:pPr>
              <w:pStyle w:val="Compact"/>
            </w:pPr>
            <w:r>
              <w:t>Min FA maturity</w:t>
            </w:r>
          </w:p>
        </w:tc>
        <w:tc>
          <w:tcPr>
            <w:tcW w:w="0" w:type="auto"/>
          </w:tcPr>
          <w:p w14:paraId="2043A7F6" w14:textId="77777777" w:rsidR="007145C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E8F589D" w14:textId="77777777" w:rsidR="007145CE" w:rsidRDefault="00000000">
            <w:pPr>
              <w:pStyle w:val="Compact"/>
            </w:pPr>
            <w:r>
              <w:t>0.3</w:t>
            </w:r>
          </w:p>
        </w:tc>
        <w:tc>
          <w:tcPr>
            <w:tcW w:w="0" w:type="auto"/>
          </w:tcPr>
          <w:p w14:paraId="3C476D7B" w14:textId="77777777" w:rsidR="007145CE" w:rsidRDefault="00000000">
            <w:pPr>
              <w:pStyle w:val="Compact"/>
            </w:pPr>
            <w:r>
              <w:t>–</w:t>
            </w:r>
          </w:p>
        </w:tc>
      </w:tr>
      <w:tr w:rsidR="007145CE" w14:paraId="58F18A7C" w14:textId="77777777">
        <w:tc>
          <w:tcPr>
            <w:tcW w:w="0" w:type="auto"/>
          </w:tcPr>
          <w:p w14:paraId="7B3A74AE" w14:textId="77777777" w:rsidR="007145CE" w:rsidRDefault="00000000">
            <w:pPr>
              <w:pStyle w:val="Compact"/>
            </w:pPr>
            <w:r>
              <w:t>Break gap</w:t>
            </w:r>
          </w:p>
        </w:tc>
        <w:tc>
          <w:tcPr>
            <w:tcW w:w="0" w:type="auto"/>
          </w:tcPr>
          <w:p w14:paraId="0C9B1FBD" w14:textId="77777777" w:rsidR="007145C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m:t>break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61D581F" w14:textId="77777777" w:rsidR="007145CE" w:rsidRDefault="00000000">
            <w:pPr>
              <w:pStyle w:val="Compact"/>
            </w:pPr>
            <w:r>
              <w:t>60.0</w:t>
            </w:r>
          </w:p>
        </w:tc>
        <w:tc>
          <w:tcPr>
            <w:tcW w:w="0" w:type="auto"/>
          </w:tcPr>
          <w:p w14:paraId="1ECA7B86" w14:textId="77777777" w:rsidR="007145CE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m</w:t>
            </w:r>
          </w:p>
        </w:tc>
      </w:tr>
    </w:tbl>
    <w:p w14:paraId="455AA9D6" w14:textId="77777777" w:rsidR="007145CE" w:rsidRDefault="00000000">
      <w:pPr>
        <w:pStyle w:val="Heading3"/>
      </w:pPr>
      <w:bookmarkStart w:id="9" w:name="rotational-dynamics"/>
      <w:bookmarkEnd w:id="8"/>
      <w:r>
        <w:t>2.7 Rotational Dynamics</w:t>
      </w:r>
    </w:p>
    <w:p w14:paraId="42325B12" w14:textId="77777777" w:rsidR="007145CE" w:rsidRDefault="00000000">
      <w:pPr>
        <w:pStyle w:val="FirstParagraph"/>
      </w:pPr>
      <w:r>
        <w:t>Off-center contact forces generate torques that rotate non-spherical granules. In the overdamped regime, angular dynamics are governed by:</w:t>
      </w:r>
    </w:p>
    <w:p w14:paraId="20DCA3B3" w14:textId="77777777" w:rsidR="007145CE" w:rsidRDefault="00000000">
      <w:pPr>
        <w:pStyle w:val="BodyText"/>
      </w:pPr>
      <w:r>
        <w:rPr>
          <w:b/>
          <w:bCs/>
        </w:rPr>
        <w:t>2D.</w:t>
      </w:r>
      <w:r>
        <w:t xml:space="preserve"> For superellipse granules with semi-axes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</w:t>
      </w:r>
    </w:p>
    <w:p w14:paraId="4B80BB8E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nor/>
                </m:rPr>
                <m:t>rot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nor/>
                </m:rPr>
                <m:t>rot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nor/>
                </m:rPr>
                <m:t>rot</m:t>
              </m:r>
            </m:sup>
          </m:sSub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4A812E6" w14:textId="77777777" w:rsidR="007145CE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is the torque from contact </w:t>
      </w:r>
      <m:oMath>
        <m:r>
          <w:rPr>
            <w:rFonts w:ascii="Cambria Math" w:hAnsi="Cambria Math"/>
          </w:rPr>
          <m:t>c</m:t>
        </m:r>
      </m:oMath>
      <w:r>
        <w:t xml:space="preserve">,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nor/>
              </m:rPr>
              <m:t>rot</m:t>
            </m:r>
          </m:sup>
        </m:sSubSup>
      </m:oMath>
      <w:r>
        <w:t xml:space="preserve"> is the rotational drag scale.</w:t>
      </w:r>
    </w:p>
    <w:p w14:paraId="5EE9D300" w14:textId="77777777" w:rsidR="007145CE" w:rsidRDefault="00000000">
      <w:pPr>
        <w:pStyle w:val="BodyText"/>
      </w:pPr>
      <w:r>
        <w:rPr>
          <w:b/>
          <w:bCs/>
        </w:rPr>
        <w:t>3D.</w:t>
      </w:r>
      <w:r>
        <w:t xml:space="preserve"> For superellipsoid granules with semi-axes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orientation is represented by unit quaternions </w:t>
      </w:r>
      <m:oMath>
        <m:r>
          <m:rPr>
            <m:sty m:val="b"/>
          </m:rP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with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>
            <m:sty m:val="b"/>
          </m:rP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1</m:t>
        </m:r>
      </m:oMath>
      <w:r>
        <w:t>. The overdamped angular dynamics are:</w:t>
      </w:r>
    </w:p>
    <w:p w14:paraId="4B5091D9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eff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ω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nor/>
                </m:rPr>
                <m:t>rot</m:t>
              </m:r>
            </m:sup>
          </m:sSub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CF80C6B" w14:textId="77777777" w:rsidR="007145CE" w:rsidRDefault="00000000">
      <w:pPr>
        <w:pStyle w:val="FirstParagraph"/>
      </w:pPr>
      <w:r>
        <w:t>Quaternion integration follows the first-order update:</w:t>
      </w:r>
    </w:p>
    <w:p w14:paraId="030155DE" w14:textId="77777777" w:rsidR="007145CE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w:lastRenderedPageBreak/>
            <m:t>q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+Δ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nor/>
            </m:rPr>
            <m:t>normalize</m:t>
          </m:r>
          <m:r>
            <w:rPr>
              <w:rFonts w:ascii="Cambria Math" w:hAnsi="Cambria Math"/>
            </w:rPr>
            <m:t>​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]⊗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6547D5D3" w14:textId="77777777" w:rsidR="007145CE" w:rsidRDefault="00000000">
      <w:pPr>
        <w:pStyle w:val="FirstParagraph"/>
      </w:pPr>
      <w:r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⊗</m:t>
        </m:r>
      </m:oMath>
      <w:r>
        <w:t xml:space="preserve"> denotes the Hamilton product and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is the pure quaternion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An angular velocity cap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>
            <m:sty m:val="b"/>
          </m:rP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|≤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>
        <w:t xml:space="preserve"> prevents unphysical rapid rotation.</w:t>
      </w:r>
    </w:p>
    <w:p w14:paraId="0FE2F7FE" w14:textId="77777777" w:rsidR="007145CE" w:rsidRDefault="00000000">
      <w:pPr>
        <w:pStyle w:val="Heading3"/>
      </w:pPr>
      <w:bookmarkStart w:id="10" w:name="superellipsoid-shape-model"/>
      <w:bookmarkEnd w:id="9"/>
      <w:r>
        <w:t>2.8 Superellipsoid Shape Model</w:t>
      </w:r>
    </w:p>
    <w:p w14:paraId="11508AD1" w14:textId="77777777" w:rsidR="007145CE" w:rsidRDefault="00000000">
      <w:pPr>
        <w:pStyle w:val="FirstParagraph"/>
      </w:pPr>
      <w:r>
        <w:t>Granule shape is parameterized as a 3D superellipsoid:</w:t>
      </w:r>
    </w:p>
    <w:p w14:paraId="59EA2899" w14:textId="77777777" w:rsidR="007145CE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</m:e>
                      </m:d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den>
                          </m:f>
                        </m:e>
                      </m:d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p>
                  </m:sSup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c</m:t>
                      </m:r>
                    </m:den>
                  </m:f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07246A06" w14:textId="77777777" w:rsidR="007145CE" w:rsidRDefault="00000000">
      <w:pPr>
        <w:pStyle w:val="FirstParagraph"/>
      </w:pPr>
      <w:r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are the semi-axes,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is the equatorial blockiness exponent,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is the meridional blockiness exponent. Special cases include: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6"/>
        <w:gridCol w:w="2596"/>
      </w:tblGrid>
      <w:tr w:rsidR="007145CE" w14:paraId="70C660B0" w14:textId="77777777" w:rsidTr="00714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042600" w14:textId="77777777" w:rsidR="007145CE" w:rsidRDefault="00000000">
            <w:pPr>
              <w:pStyle w:val="Compact"/>
            </w:pPr>
            <w:r>
              <w:t>Shape</w:t>
            </w:r>
          </w:p>
        </w:tc>
        <w:tc>
          <w:tcPr>
            <w:tcW w:w="0" w:type="auto"/>
          </w:tcPr>
          <w:p w14:paraId="09327BDC" w14:textId="77777777" w:rsidR="007145CE" w:rsidRDefault="00000000">
            <w:pPr>
              <w:pStyle w:val="Compact"/>
            </w:pPr>
            <w:r>
              <w:t>Parameters</w:t>
            </w:r>
          </w:p>
        </w:tc>
      </w:tr>
      <w:tr w:rsidR="007145CE" w14:paraId="5FC900A0" w14:textId="77777777">
        <w:tc>
          <w:tcPr>
            <w:tcW w:w="0" w:type="auto"/>
          </w:tcPr>
          <w:p w14:paraId="057841DE" w14:textId="77777777" w:rsidR="007145CE" w:rsidRDefault="00000000">
            <w:pPr>
              <w:pStyle w:val="Compact"/>
            </w:pPr>
            <w:r>
              <w:t>Sphere</w:t>
            </w:r>
          </w:p>
        </w:tc>
        <w:tc>
          <w:tcPr>
            <w:tcW w:w="0" w:type="auto"/>
          </w:tcPr>
          <w:p w14:paraId="718393C6" w14:textId="77777777" w:rsidR="007145CE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c</m:t>
              </m:r>
            </m:oMath>
            <w: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</w:tr>
      <w:tr w:rsidR="007145CE" w14:paraId="7A71C92D" w14:textId="77777777">
        <w:tc>
          <w:tcPr>
            <w:tcW w:w="0" w:type="auto"/>
          </w:tcPr>
          <w:p w14:paraId="3D29D0F8" w14:textId="77777777" w:rsidR="007145CE" w:rsidRDefault="00000000">
            <w:pPr>
              <w:pStyle w:val="Compact"/>
            </w:pPr>
            <w:r>
              <w:t>Ellipsoid</w:t>
            </w:r>
          </w:p>
        </w:tc>
        <w:tc>
          <w:tcPr>
            <w:tcW w:w="0" w:type="auto"/>
          </w:tcPr>
          <w:p w14:paraId="08428194" w14:textId="77777777" w:rsidR="007145CE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c</m:t>
              </m:r>
            </m:oMath>
            <w: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</w:tr>
      <w:tr w:rsidR="007145CE" w14:paraId="2DA6207E" w14:textId="77777777">
        <w:tc>
          <w:tcPr>
            <w:tcW w:w="0" w:type="auto"/>
          </w:tcPr>
          <w:p w14:paraId="7A3FCF4F" w14:textId="77777777" w:rsidR="007145CE" w:rsidRDefault="00000000">
            <w:pPr>
              <w:pStyle w:val="Compact"/>
            </w:pPr>
            <w:r>
              <w:t>Cylinder-like</w:t>
            </w:r>
          </w:p>
        </w:tc>
        <w:tc>
          <w:tcPr>
            <w:tcW w:w="0" w:type="auto"/>
          </w:tcPr>
          <w:p w14:paraId="7D011596" w14:textId="77777777" w:rsidR="007145C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7145CE" w14:paraId="6D1F4CF1" w14:textId="77777777">
        <w:tc>
          <w:tcPr>
            <w:tcW w:w="0" w:type="auto"/>
          </w:tcPr>
          <w:p w14:paraId="59394522" w14:textId="77777777" w:rsidR="007145CE" w:rsidRDefault="00000000">
            <w:pPr>
              <w:pStyle w:val="Compact"/>
            </w:pPr>
            <w:r>
              <w:t>Octahedron-like</w:t>
            </w:r>
          </w:p>
        </w:tc>
        <w:tc>
          <w:tcPr>
            <w:tcW w:w="0" w:type="auto"/>
          </w:tcPr>
          <w:p w14:paraId="051E0E82" w14:textId="77777777" w:rsidR="007145C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</w:tbl>
    <w:p w14:paraId="64D7B0D6" w14:textId="77777777" w:rsidR="007145CE" w:rsidRDefault="00000000">
      <w:pPr>
        <w:pStyle w:val="BodyText"/>
      </w:pPr>
      <w:r>
        <w:t>In 2D, the superellipse specialization applies:</w:t>
      </w:r>
    </w:p>
    <w:p w14:paraId="41A7E22D" w14:textId="77777777" w:rsidR="007145CE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609CA96B" w14:textId="77777777" w:rsidR="007145CE" w:rsidRDefault="00000000">
      <w:pPr>
        <w:pStyle w:val="FirstParagraph"/>
      </w:pPr>
      <w:r>
        <w:t>The parametric surface representation is:</w:t>
      </w:r>
    </w:p>
    <w:p w14:paraId="751C5C3D" w14:textId="77777777" w:rsidR="007145CE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 </m:t>
                    </m:r>
                    <m:r>
                      <m:rPr>
                        <m:nor/>
                      </m:rPr>
                      <m:t>sgn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(cos</m:t>
                    </m:r>
                    <m:r>
                      <w:rPr>
                        <w:rFonts w:ascii="Cambria Math" w:hAnsi="Cambria Math"/>
                      </w:rPr>
                      <m:t>η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)|cos</m:t>
                    </m:r>
                    <m:r>
                      <w:rPr>
                        <w:rFonts w:ascii="Cambria Math" w:hAnsi="Cambria Math"/>
                      </w:rPr>
                      <m:t>η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|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m:rPr>
                        <m:nor/>
                      </m:rPr>
                      <m:t>sgn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(cos</m:t>
                    </m:r>
                    <m:r>
                      <w:rPr>
                        <w:rFonts w:ascii="Cambria Math" w:hAnsi="Cambria Math"/>
                      </w:rPr>
                      <m:t>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)|cos</m:t>
                    </m:r>
                    <m:r>
                      <w:rPr>
                        <w:rFonts w:ascii="Cambria Math" w:hAnsi="Cambria Math"/>
                      </w:rPr>
                      <m:t>ω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|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 </m:t>
                    </m:r>
                    <m:r>
                      <m:rPr>
                        <m:nor/>
                      </m:rPr>
                      <m:t>sgn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(cos</m:t>
                    </m:r>
                    <m:r>
                      <w:rPr>
                        <w:rFonts w:ascii="Cambria Math" w:hAnsi="Cambria Math"/>
                      </w:rPr>
                      <m:t>η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)|cos</m:t>
                    </m:r>
                    <m:r>
                      <w:rPr>
                        <w:rFonts w:ascii="Cambria Math" w:hAnsi="Cambria Math"/>
                      </w:rPr>
                      <m:t>η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|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m:rPr>
                        <m:nor/>
                      </m:rPr>
                      <m:t>sgn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(sin</m:t>
                    </m:r>
                    <m:r>
                      <w:rPr>
                        <w:rFonts w:ascii="Cambria Math" w:hAnsi="Cambria Math"/>
                      </w:rPr>
                      <m:t>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)|sin</m:t>
                    </m:r>
                    <m:r>
                      <w:rPr>
                        <w:rFonts w:ascii="Cambria Math" w:hAnsi="Cambria Math"/>
                      </w:rPr>
                      <m:t>ω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|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 </m:t>
                    </m:r>
                    <m:r>
                      <m:rPr>
                        <m:nor/>
                      </m:rPr>
                      <m:t>sgn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(sin</m:t>
                    </m:r>
                    <m:r>
                      <w:rPr>
                        <w:rFonts w:ascii="Cambria Math" w:hAnsi="Cambria Math"/>
                      </w:rPr>
                      <m:t>η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)|sin</m:t>
                    </m:r>
                    <m:r>
                      <w:rPr>
                        <w:rFonts w:ascii="Cambria Math" w:hAnsi="Cambria Math"/>
                      </w:rPr>
                      <m:t>η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|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sup>
                    </m:sSup>
                  </m:e>
                </m:mr>
              </m:m>
            </m:e>
          </m:d>
        </m:oMath>
      </m:oMathPara>
    </w:p>
    <w:p w14:paraId="5C0B7F5A" w14:textId="77777777" w:rsidR="007145CE" w:rsidRDefault="00000000">
      <w:pPr>
        <w:pStyle w:val="FirstParagraph"/>
      </w:pPr>
      <w:r>
        <w:t xml:space="preserve">for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∈[-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and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∈[-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40218ED0" w14:textId="77777777" w:rsidR="007145CE" w:rsidRDefault="00000000">
      <w:pPr>
        <w:pStyle w:val="BodyText"/>
      </w:pPr>
      <w:r>
        <w:rPr>
          <w:b/>
          <w:bCs/>
        </w:rPr>
        <w:t>Contact detection</w:t>
      </w:r>
      <w:r>
        <w:t xml:space="preserve"> uses the common normal method: for each candidate pair, a Newton-Raphson solver finds the parametric coordinates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such that the outward normals at the closest surface points are anti-parallel and collinear with the line connecting them. The effective radius of curvature at the contact point is obtained from the local surface geometry, replacing the sphere-based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in the Hertz force law.</w:t>
      </w:r>
    </w:p>
    <w:p w14:paraId="6270A9B6" w14:textId="77777777" w:rsidR="007145CE" w:rsidRDefault="00000000">
      <w:pPr>
        <w:pStyle w:val="BodyText"/>
      </w:pPr>
      <w:r>
        <w:t>The volume of a superellipsoid is (Jaklic and Leonardis, 2000):</w:t>
      </w:r>
    </w:p>
    <w:p w14:paraId="172B9764" w14:textId="77777777" w:rsidR="007145CE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2abc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 B​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B​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7E5B9CDC" w14:textId="77777777" w:rsidR="007145CE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and </w:t>
      </w:r>
      <m:oMath>
        <m:r>
          <w:rPr>
            <w:rFonts w:ascii="Cambria Math" w:hAnsi="Cambria Math"/>
          </w:rPr>
          <m:t>B</m:t>
        </m:r>
      </m:oMath>
      <w:r>
        <w:t xml:space="preserve"> is the Beta function.</w:t>
      </w:r>
    </w:p>
    <w:p w14:paraId="1B9D9358" w14:textId="77777777" w:rsidR="007145CE" w:rsidRDefault="00000000">
      <w:pPr>
        <w:pStyle w:val="Heading3"/>
      </w:pPr>
      <w:bookmarkStart w:id="11" w:name="active-noise"/>
      <w:bookmarkEnd w:id="10"/>
      <w:r>
        <w:lastRenderedPageBreak/>
        <w:t>2.9 Active Noise</w:t>
      </w:r>
    </w:p>
    <w:p w14:paraId="072A4E58" w14:textId="77777777" w:rsidR="007145CE" w:rsidRDefault="00000000">
      <w:pPr>
        <w:pStyle w:val="FirstParagraph"/>
      </w:pPr>
      <w:r>
        <w:t>Cell-driven fluctuations on functional granules are modeled as Gaussian white noise:</w:t>
      </w:r>
    </w:p>
    <w:p w14:paraId="7D0C425C" w14:textId="77777777" w:rsidR="007145CE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m:t>noise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active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rad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A5AACB2" w14:textId="77777777" w:rsidR="007145CE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active</m:t>
            </m:r>
          </m:sub>
        </m:sSub>
      </m:oMath>
      <w:r>
        <w:t xml:space="preserve"> is an effective active temperature (nN</w:t>
      </w:r>
      <m:oMath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μ</m:t>
        </m:r>
      </m:oMath>
      <w:r>
        <w:t xml:space="preserve">m)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a vector of independent standard normal random variables. Inert granules receive no active noise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active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).</w:t>
      </w:r>
    </w:p>
    <w:p w14:paraId="63A00A72" w14:textId="77777777" w:rsidR="007145CE" w:rsidRDefault="00000000">
      <w:pPr>
        <w:pStyle w:val="Heading3"/>
      </w:pPr>
      <w:bookmarkStart w:id="12" w:name="cell-lifecycle"/>
      <w:bookmarkEnd w:id="11"/>
      <w:r>
        <w:t>2.10 Cell Lifecycle</w:t>
      </w:r>
    </w:p>
    <w:p w14:paraId="0DBD92D4" w14:textId="77777777" w:rsidR="007145CE" w:rsidRDefault="00000000">
      <w:pPr>
        <w:pStyle w:val="FirstParagraph"/>
      </w:pPr>
      <w:r>
        <w:t>Each cell progresses through a discrete state machine:</w:t>
      </w:r>
    </w:p>
    <w:p w14:paraId="3CB69992" w14:textId="77777777" w:rsidR="007145CE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ATTACHED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SPREADING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PROLIFERATING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BRIDGING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SENESCENT</m:t>
          </m:r>
        </m:oMath>
      </m:oMathPara>
    </w:p>
    <w:p w14:paraId="442E459D" w14:textId="77777777" w:rsidR="007145CE" w:rsidRDefault="00000000">
      <w:pPr>
        <w:pStyle w:val="FirstParagraph"/>
      </w:pPr>
      <w:r>
        <w:rPr>
          <w:b/>
          <w:bCs/>
        </w:rPr>
        <w:t>Attachment.</w:t>
      </w:r>
      <w:r>
        <w:t xml:space="preserve">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onset</m:t>
            </m:r>
          </m:sub>
        </m:sSub>
      </m:oMath>
      <w:r>
        <w:t>, cells attach with sigmoidal kinetics:</w:t>
      </w:r>
    </w:p>
    <w:p w14:paraId="3E316E21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att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+exp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onset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den>
          </m:f>
        </m:oMath>
      </m:oMathPara>
    </w:p>
    <w:p w14:paraId="095AB684" w14:textId="77777777" w:rsidR="007145CE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is the half-time for attachment. With default parameters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onset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), attachment is instantaneous.</w:t>
      </w:r>
    </w:p>
    <w:p w14:paraId="7818A736" w14:textId="77777777" w:rsidR="007145CE" w:rsidRDefault="00000000">
      <w:pPr>
        <w:pStyle w:val="BodyText"/>
      </w:pPr>
      <w:r>
        <w:rPr>
          <w:b/>
          <w:bCs/>
        </w:rPr>
        <w:t>Spreading.</w:t>
      </w:r>
      <w:r>
        <w:t xml:space="preserve"> Attached cells transition from spheres (diameter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cell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20 μ</m:t>
        </m:r>
      </m:oMath>
      <w:r>
        <w:t xml:space="preserve">m) to oblate ellipsoids (height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spread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5 μ</m:t>
        </m:r>
      </m:oMath>
      <w:r>
        <w:t>m) with volume conservation:</w:t>
      </w:r>
    </w:p>
    <w:p w14:paraId="64D3CAD6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cell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π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spread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C195620" w14:textId="77777777" w:rsidR="007145CE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spread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spread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6309D00E" w14:textId="77777777" w:rsidR="007145CE" w:rsidRDefault="00000000">
      <w:pPr>
        <w:pStyle w:val="FirstParagraph"/>
      </w:pPr>
      <w:r>
        <w:t xml:space="preserve">The spread fraction ramps linearly from 0 to 1 over an effective duration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spread</m:t>
            </m:r>
          </m:sub>
          <m:sup>
            <m:r>
              <m:rPr>
                <m:nor/>
              </m:rPr>
              <m:t>eff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spread</m:t>
            </m:r>
          </m:sub>
        </m:sSub>
        <m:r>
          <m:rPr>
            <m:sty m:val="p"/>
          </m:rPr>
          <w:rPr>
            <w:rFonts w:ascii="Cambria Math" w:hAnsi="Cambria Math"/>
          </w:rPr>
          <m:t>/max(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where </w:t>
      </w:r>
      <m:oMath>
        <m:r>
          <w:rPr>
            <w:rFonts w:ascii="Cambria Math" w:hAnsi="Cambria Math"/>
          </w:rPr>
          <m:t>β</m:t>
        </m:r>
      </m:oMath>
      <w:r>
        <w:t xml:space="preserve"> is the motor-clutch engagement ratio. Projected area interpolates linearly between the spherical and spread values.</w:t>
      </w:r>
    </w:p>
    <w:p w14:paraId="0A7F9F67" w14:textId="77777777" w:rsidR="007145CE" w:rsidRDefault="00000000">
      <w:pPr>
        <w:pStyle w:val="BodyText"/>
      </w:pPr>
      <w:r>
        <w:rPr>
          <w:b/>
          <w:bCs/>
        </w:rPr>
        <w:t>Overcrowding.</w:t>
      </w:r>
      <w:r>
        <w:t xml:space="preserve"> The maximum number of cells per granule is set by the ratio of granule surface area to cell footprint, scaled by a coverage fraction:</w:t>
      </w:r>
    </w:p>
    <w:p w14:paraId="5D12DEA0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nor/>
                        </m:rPr>
                        <m:t>cov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m:t>cell</m:t>
                      </m:r>
                    </m:sub>
                  </m:sSub>
                </m:den>
              </m:f>
            </m:e>
          </m:d>
        </m:oMath>
      </m:oMathPara>
    </w:p>
    <w:p w14:paraId="37F38069" w14:textId="77777777" w:rsidR="007145CE" w:rsidRDefault="00000000">
      <w:pPr>
        <w:pStyle w:val="FirstParagraph"/>
      </w:pPr>
      <w:r>
        <w:t>Excess cells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attached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>
        <w:t>) transition to the SENESCENT state.</w:t>
      </w:r>
    </w:p>
    <w:p w14:paraId="1391FF49" w14:textId="77777777" w:rsidR="007145CE" w:rsidRDefault="00000000">
      <w:pPr>
        <w:pStyle w:val="BodyText"/>
      </w:pPr>
      <w:r>
        <w:rPr>
          <w:b/>
          <w:bCs/>
        </w:rPr>
        <w:t>Migration.</w:t>
      </w:r>
      <w:r>
        <w:t xml:space="preserve"> Mobile cells (ATTACHED, SPREADING, PROLIFERATING) undergo a random walk on the granule surface, with angular displacement per timestep:</w:t>
      </w:r>
    </w:p>
    <w:p w14:paraId="62FB3D67" w14:textId="77777777" w:rsidR="007145CE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Δ</m:t>
          </m:r>
          <m:r>
            <w:rPr>
              <w:rFonts w:ascii="Cambria Math" w:hAnsi="Cambria Math"/>
            </w:rPr>
            <m:t>θ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∼N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m:t>mig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</m:oMath>
      </m:oMathPara>
    </w:p>
    <w:p w14:paraId="5B6F86DC" w14:textId="77777777" w:rsidR="007145CE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mig</m:t>
            </m:r>
          </m:sub>
        </m:sSub>
      </m:oMath>
      <w:r>
        <w:t xml:space="preserve"> is the migration speed (</w:t>
      </w:r>
      <m:oMath>
        <m:r>
          <w:rPr>
            <w:rFonts w:ascii="Cambria Math" w:hAnsi="Cambria Math"/>
          </w:rPr>
          <m:t>μ</m:t>
        </m:r>
      </m:oMath>
      <w:r>
        <w:t>m/h).</w:t>
      </w:r>
    </w:p>
    <w:p w14:paraId="60959C15" w14:textId="77777777" w:rsidR="007145CE" w:rsidRDefault="001050FF">
      <w:r>
        <w:rPr>
          <w:noProof/>
        </w:rPr>
      </w:r>
      <w:r>
        <w:pict w14:anchorId="304F2E0E">
          <v:rect id="Horizontal Line 3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91BCA0" w14:textId="77777777" w:rsidR="007145CE" w:rsidRDefault="00000000">
      <w:pPr>
        <w:pStyle w:val="Heading2"/>
      </w:pPr>
      <w:bookmarkStart w:id="13" w:name="mesoscale-coarse-graining"/>
      <w:bookmarkEnd w:id="2"/>
      <w:bookmarkEnd w:id="12"/>
      <w:r>
        <w:t>3. Mesoscale: Coarse-Graining</w:t>
      </w:r>
    </w:p>
    <w:p w14:paraId="7FFE2EA5" w14:textId="77777777" w:rsidR="007145CE" w:rsidRDefault="00000000">
      <w:pPr>
        <w:pStyle w:val="Heading3"/>
      </w:pPr>
      <w:bookmarkStart w:id="14" w:name="stress-tensor-love-weber"/>
      <w:r>
        <w:t>3.1 Stress Tensor (Love-Weber)</w:t>
      </w:r>
    </w:p>
    <w:p w14:paraId="55507F0E" w14:textId="77777777" w:rsidR="007145CE" w:rsidRDefault="00000000">
      <w:pPr>
        <w:pStyle w:val="FirstParagraph"/>
      </w:pPr>
      <w:r>
        <w:t>The volume-averaged Cauchy stress tensor for the granular assembly is computed via the Love-Weber formula:</w:t>
      </w:r>
    </w:p>
    <w:p w14:paraId="0C271362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nor/>
                </m:rPr>
                <m:t>contacts</m:t>
              </m:r>
              <m:r>
                <w:rPr>
                  <w:rFonts w:ascii="Cambria Math" w:hAnsi="Cambria Math"/>
                </w:rPr>
                <m:t> c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</m:e>
          </m:nary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</m:oMath>
      </m:oMathPara>
    </w:p>
    <w:p w14:paraId="521F3B2A" w14:textId="77777777" w:rsidR="007145CE" w:rsidRDefault="00000000">
      <w:pPr>
        <w:pStyle w:val="FirstParagraph"/>
      </w:pPr>
      <w:r>
        <w:t xml:space="preserve">where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>
        <w:t xml:space="preserve"> is the </w:t>
      </w:r>
      <m:oMath>
        <m:r>
          <w:rPr>
            <w:rFonts w:ascii="Cambria Math" w:hAnsi="Cambria Math"/>
          </w:rPr>
          <m:t>α</m:t>
        </m:r>
      </m:oMath>
      <w:r>
        <w:t xml:space="preserve">-component of the contact force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β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β</m:t>
            </m:r>
          </m:sub>
          <m:sup>
            <m:r>
              <w:rPr>
                <w:rFonts w:ascii="Cambria Math" w:hAnsi="Cambria Math"/>
              </w:rPr>
              <m:t>j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β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>
        <w:t xml:space="preserve"> is the branch vector connecting the centers of the two granules in contact. The summation runs over all contacts within the averaging volume </w:t>
      </w:r>
      <m:oMath>
        <m:r>
          <w:rPr>
            <w:rFonts w:ascii="Cambria Math" w:hAnsi="Cambria Math"/>
          </w:rPr>
          <m:t>V</m:t>
        </m:r>
      </m:oMath>
      <w:r>
        <w:t>.</w:t>
      </w:r>
    </w:p>
    <w:p w14:paraId="132DACAD" w14:textId="77777777" w:rsidR="007145CE" w:rsidRDefault="00000000">
      <w:pPr>
        <w:pStyle w:val="BodyText"/>
      </w:pPr>
      <w:r>
        <w:t>The stress admits a decomposition into passive and active contributions:</w:t>
      </w:r>
    </w:p>
    <w:p w14:paraId="5A462A55" w14:textId="77777777" w:rsidR="007145CE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m:rPr>
                  <m:nor/>
                </m:rPr>
                <m:t>contact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m:rPr>
                  <m:nor/>
                </m:rPr>
                <m:t>active</m:t>
              </m:r>
            </m:sup>
          </m:sSup>
        </m:oMath>
      </m:oMathPara>
    </w:p>
    <w:p w14:paraId="50D2F5A4" w14:textId="77777777" w:rsidR="007145CE" w:rsidRDefault="00000000">
      <w:pPr>
        <w:pStyle w:val="FirstParagraph"/>
      </w:pPr>
      <w:r>
        <w:t xml:space="preserve">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σ</m:t>
            </m:r>
          </m:e>
          <m:sup>
            <m:r>
              <m:rPr>
                <m:nor/>
              </m:rPr>
              <m:t>contact</m:t>
            </m:r>
          </m:sup>
        </m:sSup>
      </m:oMath>
      <w:r>
        <w:t xml:space="preserve"> arises from Hertz, friction, and adhesion forces,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σ</m:t>
            </m:r>
          </m:e>
          <m:sup>
            <m:r>
              <m:rPr>
                <m:nor/>
              </m:rPr>
              <m:t>active</m:t>
            </m:r>
          </m:sup>
        </m:sSup>
      </m:oMath>
      <w:r>
        <w:t xml:space="preserve"> arises from cell traction bridges.</w:t>
      </w:r>
    </w:p>
    <w:p w14:paraId="48266A98" w14:textId="77777777" w:rsidR="007145CE" w:rsidRDefault="00000000">
      <w:pPr>
        <w:pStyle w:val="Heading3"/>
      </w:pPr>
      <w:bookmarkStart w:id="15" w:name="strain-rate-tensor"/>
      <w:bookmarkEnd w:id="14"/>
      <w:r>
        <w:t>3.2 Strain Rate Tensor</w:t>
      </w:r>
    </w:p>
    <w:p w14:paraId="04D43724" w14:textId="77777777" w:rsidR="007145CE" w:rsidRDefault="00000000">
      <w:pPr>
        <w:pStyle w:val="FirstParagraph"/>
      </w:pPr>
      <w:r>
        <w:t>The coarse-grained strain rate tensor is</w:t>
      </w:r>
    </w:p>
    <w:p w14:paraId="5C542576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αβ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2V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</m:e>
              </m:d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232E015A" w14:textId="77777777" w:rsidR="007145CE" w:rsidRDefault="00000000">
      <w:pPr>
        <w:pStyle w:val="FirstParagraph"/>
      </w:pPr>
      <w:r>
        <w:t xml:space="preserve">where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>
        <w:t xml:space="preserve"> is the velocity component,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β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>
        <w:t xml:space="preserve"> is the position component,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is the Voronoi volume of granule </w:t>
      </w:r>
      <m:oMath>
        <m:r>
          <w:rPr>
            <w:rFonts w:ascii="Cambria Math" w:hAnsi="Cambria Math"/>
          </w:rPr>
          <m:t>i</m:t>
        </m:r>
      </m:oMath>
      <w:r>
        <w:t>.</w:t>
      </w:r>
    </w:p>
    <w:p w14:paraId="36F6993C" w14:textId="77777777" w:rsidR="007145CE" w:rsidRDefault="00000000">
      <w:pPr>
        <w:pStyle w:val="Heading3"/>
      </w:pPr>
      <w:bookmarkStart w:id="16" w:name="effective-viscosity"/>
      <w:bookmarkEnd w:id="15"/>
      <w:r>
        <w:t>3.3 Effective Viscosity</w:t>
      </w:r>
    </w:p>
    <w:p w14:paraId="2D616DD6" w14:textId="77777777" w:rsidR="007145CE" w:rsidRDefault="00000000">
      <w:pPr>
        <w:pStyle w:val="FirstParagraph"/>
      </w:pPr>
      <w:r>
        <w:t>The effective shear viscosity of the granular assembly is defined through the ratio of deviatoric stress to deviatoric strain rate:</w:t>
      </w:r>
    </w:p>
    <w:p w14:paraId="0DBF78D2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nor/>
                    </m:rPr>
                    <m:t>dev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2 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ε</m:t>
                      </m:r>
                    </m:e>
                  </m:acc>
                </m:e>
                <m:sub>
                  <m:r>
                    <m:rPr>
                      <m:nor/>
                    </m:rPr>
                    <m:t>dev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</m:oMath>
      </m:oMathPara>
    </w:p>
    <w:p w14:paraId="058ACE1C" w14:textId="77777777" w:rsidR="007145CE" w:rsidRDefault="00000000">
      <w:pPr>
        <w:pStyle w:val="FirstParagraph"/>
      </w:pPr>
      <w:r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|⋅|</m:t>
        </m:r>
      </m:oMath>
      <w:r>
        <w:t xml:space="preserve"> denotes the von Mises norm: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dev</m:t>
            </m:r>
          </m:sub>
        </m:sSub>
        <m:r>
          <m:rPr>
            <m:sty m:val="p"/>
          </m:rPr>
          <w:rPr>
            <w:rFonts w:ascii="Cambria Math" w:hAnsi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ij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ij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sub>
            </m:sSub>
          </m:e>
        </m:rad>
      </m:oMath>
      <w: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ij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kk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and </w:t>
      </w:r>
      <m:oMath>
        <m:r>
          <w:rPr>
            <w:rFonts w:ascii="Cambria Math" w:hAnsi="Cambria Math"/>
          </w:rPr>
          <m:t>d</m:t>
        </m:r>
      </m:oMath>
      <w:r>
        <w:t xml:space="preserve"> is the spatial dimension. This effective viscosity characterizes the scaffold’s </w:t>
      </w:r>
      <w:r>
        <w:lastRenderedPageBreak/>
        <w:t>resistance to cell-driven rearrangement and is expected to diverge near the jamming transition.</w:t>
      </w:r>
    </w:p>
    <w:p w14:paraId="3911B607" w14:textId="77777777" w:rsidR="007145CE" w:rsidRDefault="001050FF">
      <w:r>
        <w:rPr>
          <w:noProof/>
        </w:rPr>
      </w:r>
      <w:r>
        <w:pict w14:anchorId="0D27F2C2">
          <v:rect id="Horizontal Line 4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7810AAC" w14:textId="77777777" w:rsidR="007145CE" w:rsidRDefault="00000000">
      <w:pPr>
        <w:pStyle w:val="Heading2"/>
      </w:pPr>
      <w:bookmarkStart w:id="17" w:name="macroscale-continuum-model"/>
      <w:bookmarkEnd w:id="13"/>
      <w:bookmarkEnd w:id="16"/>
      <w:r>
        <w:t>4. Macroscale: Continuum Model</w:t>
      </w:r>
    </w:p>
    <w:p w14:paraId="2C836A69" w14:textId="77777777" w:rsidR="007145CE" w:rsidRDefault="00000000">
      <w:pPr>
        <w:pStyle w:val="Heading3"/>
      </w:pPr>
      <w:bookmarkStart w:id="18" w:name="conservation-equations"/>
      <w:r>
        <w:t>4.1 Conservation Equations</w:t>
      </w:r>
    </w:p>
    <w:p w14:paraId="489616A2" w14:textId="77777777" w:rsidR="007145CE" w:rsidRDefault="00000000">
      <w:pPr>
        <w:pStyle w:val="FirstParagraph"/>
      </w:pPr>
      <w:r>
        <w:t>The scaffold is treated as a three-phase mixture: functional granule phase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), inert granule phase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), and interstitial void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t>). In the absence of mass exchange between phases, each solid phase satisfies a conservation equation:</w:t>
      </w:r>
    </w:p>
    <w:p w14:paraId="40EF328C" w14:textId="77777777" w:rsidR="007145CE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+∇⋅(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  α</m:t>
          </m:r>
          <m:r>
            <m:rPr>
              <m:sty m:val="p"/>
            </m:rPr>
            <w:rPr>
              <w:rFonts w:ascii="Cambria Math" w:hAnsi="Cambria Math"/>
            </w:rPr>
            <m:t>∈{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i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3372FBB4" w14:textId="77777777" w:rsidR="007145CE" w:rsidRDefault="00000000">
      <w:pPr>
        <w:pStyle w:val="FirstParagraph"/>
      </w:pPr>
      <w:r>
        <w:t>The void fraction is determined by the saturation constraint:</w:t>
      </w:r>
    </w:p>
    <w:p w14:paraId="5D2EEFDF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CB522CA" w14:textId="77777777" w:rsidR="007145CE" w:rsidRDefault="00000000">
      <w:pPr>
        <w:pStyle w:val="FirstParagraph"/>
      </w:pPr>
      <w:r>
        <w:t xml:space="preserve">These fields are computed on a regular Eulerian grid by stamping each granule as a smoothed indicator function (tanh profile with interface width </w:t>
      </w:r>
      <m:oMath>
        <m:r>
          <w:rPr>
            <w:rFonts w:ascii="Cambria Math" w:hAnsi="Cambria Math"/>
          </w:rPr>
          <m:t>w</m:t>
        </m:r>
      </m:oMath>
      <w:r>
        <w:t>):</w:t>
      </w:r>
    </w:p>
    <w:p w14:paraId="7C0484FB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α</m:t>
              </m:r>
            </m:lim>
          </m:limLow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-tanh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w</m:t>
                      </m:r>
                    </m:den>
                  </m:f>
                </m:e>
              </m:d>
            </m:e>
          </m:d>
        </m:oMath>
      </m:oMathPara>
    </w:p>
    <w:p w14:paraId="546E9D13" w14:textId="77777777" w:rsidR="007145CE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approximate signed distance from point 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>
        <w:t xml:space="preserve"> to the surface of granule </w:t>
      </w:r>
      <m:oMath>
        <m:r>
          <w:rPr>
            <w:rFonts w:ascii="Cambria Math" w:hAnsi="Cambria Math"/>
          </w:rPr>
          <m:t>i</m:t>
        </m:r>
      </m:oMath>
      <w:r>
        <w:t>.</w:t>
      </w:r>
    </w:p>
    <w:p w14:paraId="328CC08A" w14:textId="77777777" w:rsidR="007145CE" w:rsidRDefault="00000000">
      <w:pPr>
        <w:pStyle w:val="Heading3"/>
      </w:pPr>
      <w:bookmarkStart w:id="19" w:name="momentum-balance-overdamped"/>
      <w:bookmarkEnd w:id="18"/>
      <w:r>
        <w:t>4.2 Momentum Balance (Overdamped)</w:t>
      </w:r>
    </w:p>
    <w:p w14:paraId="5CC3316B" w14:textId="77777777" w:rsidR="007145CE" w:rsidRDefault="00000000">
      <w:pPr>
        <w:pStyle w:val="FirstParagraph"/>
      </w:pPr>
      <w:r>
        <w:t xml:space="preserve">In the overdamped limit, the momentum equation for phase </w:t>
      </w:r>
      <m:oMath>
        <m:r>
          <w:rPr>
            <w:rFonts w:ascii="Cambria Math" w:hAnsi="Cambria Math"/>
          </w:rPr>
          <m:t>α</m:t>
        </m:r>
      </m:oMath>
      <w:r>
        <w:t xml:space="preserve"> reduces to a force balance:</w:t>
      </w:r>
    </w:p>
    <w:p w14:paraId="474BB40E" w14:textId="77777777" w:rsidR="007145CE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=∇⋅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m:rPr>
                  <m:nor/>
                </m:rPr>
                <m:t>contact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m:rPr>
                  <m:nor/>
                </m:rPr>
                <m:t>active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</m:oMath>
      </m:oMathPara>
    </w:p>
    <w:p w14:paraId="3E47634A" w14:textId="77777777" w:rsidR="007145CE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>
        <w:t xml:space="preserve"> is the phase stress tensor,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α</m:t>
            </m:r>
          </m:sub>
          <m:sup>
            <m:r>
              <m:rPr>
                <m:nor/>
              </m:rPr>
              <m:t>contact</m:t>
            </m:r>
          </m:sup>
        </m:sSubSup>
      </m:oMath>
      <w:r>
        <w:t xml:space="preserve"> represents inter-phase contact forces,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α</m:t>
            </m:r>
          </m:sub>
          <m:sup>
            <m:r>
              <m:rPr>
                <m:nor/>
              </m:rPr>
              <m:t>active</m:t>
            </m:r>
          </m:sup>
        </m:sSubSup>
      </m:oMath>
      <w:r>
        <w:t xml:space="preserve"> is the cell traction body force density, and the last term is the drag between the solid phase and the interstitial fluid,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>
        <w:t xml:space="preserve"> a drag coefficient.</w:t>
      </w:r>
    </w:p>
    <w:p w14:paraId="53B8DE6E" w14:textId="77777777" w:rsidR="007145CE" w:rsidRDefault="00000000">
      <w:pPr>
        <w:pStyle w:val="Heading3"/>
      </w:pPr>
      <w:bookmarkStart w:id="20" w:name="darcy-flow"/>
      <w:bookmarkEnd w:id="19"/>
      <w:r>
        <w:t>4.3 Darcy Flow</w:t>
      </w:r>
    </w:p>
    <w:p w14:paraId="763A05EA" w14:textId="77777777" w:rsidR="007145CE" w:rsidRDefault="00000000">
      <w:pPr>
        <w:pStyle w:val="FirstParagraph"/>
      </w:pPr>
      <w:r>
        <w:t>The interstitial fluid velocity relative to the solid skeleton follows Darcy’s law:</w:t>
      </w:r>
    </w:p>
    <w:p w14:paraId="2B01C7B0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μ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P</m:t>
          </m:r>
        </m:oMath>
      </m:oMathPara>
    </w:p>
    <w:p w14:paraId="7E567124" w14:textId="77777777" w:rsidR="007145CE" w:rsidRDefault="00000000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k</m:t>
        </m:r>
      </m:oMath>
      <w:r>
        <w:t xml:space="preserve"> is the hydraulic permeability (</w:t>
      </w:r>
      <m:oMath>
        <m:r>
          <w:rPr>
            <w:rFonts w:ascii="Cambria Math" w:hAnsi="Cambria Math"/>
          </w:rPr>
          <m:t>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), </w:t>
      </w:r>
      <m:oMath>
        <m:r>
          <w:rPr>
            <w:rFonts w:ascii="Cambria Math" w:hAnsi="Cambria Math"/>
          </w:rPr>
          <m:t>μ</m:t>
        </m:r>
      </m:oMath>
      <w:r>
        <w:t xml:space="preserve"> is the fluid viscosity (Pa</w:t>
      </w:r>
      <m:oMath>
        <m:r>
          <m:rPr>
            <m:sty m:val="p"/>
          </m:rPr>
          <w:rPr>
            <w:rFonts w:ascii="Cambria Math" w:hAnsi="Cambria Math"/>
          </w:rPr>
          <m:t>⋅</m:t>
        </m:r>
      </m:oMath>
      <w:r>
        <w:t xml:space="preserve">s), and </w:t>
      </w:r>
      <m:oMath>
        <m:r>
          <w:rPr>
            <w:rFonts w:ascii="Cambria Math" w:hAnsi="Cambria Math"/>
          </w:rPr>
          <m:t>P</m:t>
        </m:r>
      </m:oMath>
      <w:r>
        <w:t xml:space="preserve"> is the pore fluid pressure.</w:t>
      </w:r>
    </w:p>
    <w:p w14:paraId="553F79D9" w14:textId="77777777" w:rsidR="007145CE" w:rsidRDefault="00000000">
      <w:pPr>
        <w:pStyle w:val="Heading3"/>
      </w:pPr>
      <w:bookmarkStart w:id="21" w:name="kozeny-carman-permeability"/>
      <w:bookmarkEnd w:id="20"/>
      <w:r>
        <w:lastRenderedPageBreak/>
        <w:t>4.4 Kozeny-Carman Permeability</w:t>
      </w:r>
    </w:p>
    <w:p w14:paraId="7F3258C3" w14:textId="77777777" w:rsidR="007145CE" w:rsidRDefault="00000000">
      <w:pPr>
        <w:pStyle w:val="FirstParagraph"/>
      </w:pPr>
      <w:r>
        <w:t>The permeability of the granular bed is estimated by the Kozeny-Carman relation:</w:t>
      </w:r>
    </w:p>
    <w:p w14:paraId="4984365D" w14:textId="77777777" w:rsidR="007145CE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180 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0265B7C" w14:textId="77777777" w:rsidR="007145CE" w:rsidRDefault="00000000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d</m:t>
        </m:r>
      </m:oMath>
      <w:r>
        <w:t xml:space="preserve"> is the mean granule diameter. This classical result assumes a bed of monodisperse spheres; for polydisperse superellipsoidal packings, </w:t>
      </w:r>
      <m:oMath>
        <m:r>
          <w:rPr>
            <w:rFonts w:ascii="Cambria Math" w:hAnsi="Cambria Math"/>
          </w:rPr>
          <m:t>d</m:t>
        </m:r>
      </m:oMath>
      <w:r>
        <w:t xml:space="preserve"> is taken as the mean equivalent-sphere diameter. The strong dependence on porosity (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∝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v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</m:oMath>
      <w:r>
        <w:t xml:space="preserve"> for small changes) couples the transport properties tightly to compaction.</w:t>
      </w:r>
    </w:p>
    <w:p w14:paraId="0A908BC0" w14:textId="77777777" w:rsidR="007145CE" w:rsidRDefault="001050FF">
      <w:r>
        <w:rPr>
          <w:noProof/>
        </w:rPr>
      </w:r>
      <w:r>
        <w:pict w14:anchorId="361D1F3B">
          <v:rect id="Horizontal Line 5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4E0736" w14:textId="77777777" w:rsidR="007145CE" w:rsidRDefault="00000000">
      <w:pPr>
        <w:pStyle w:val="Heading2"/>
      </w:pPr>
      <w:bookmarkStart w:id="22" w:name="mean-field-compaction-model"/>
      <w:bookmarkEnd w:id="17"/>
      <w:bookmarkEnd w:id="21"/>
      <w:r>
        <w:t>5. Mean-Field Compaction Model</w:t>
      </w:r>
    </w:p>
    <w:p w14:paraId="5A7780E0" w14:textId="77777777" w:rsidR="007145CE" w:rsidRDefault="00000000">
      <w:pPr>
        <w:pStyle w:val="FirstParagraph"/>
      </w:pPr>
      <w:r>
        <w:t xml:space="preserve">The simplest useful model for scaffold compaction tracks the bulk functional volume fraction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It collapses the microscale DEM into a single ordinary differential equation that can be solved analytically in limiting cases.</w:t>
      </w:r>
    </w:p>
    <w:p w14:paraId="3597FE8C" w14:textId="77777777" w:rsidR="007145CE" w:rsidRDefault="00000000">
      <w:pPr>
        <w:pStyle w:val="Heading3"/>
      </w:pPr>
      <w:bookmarkStart w:id="23" w:name="compaction-rate"/>
      <w:r>
        <w:t>5.1 Compaction Rate</w:t>
      </w:r>
    </w:p>
    <w:p w14:paraId="230D0D4A" w14:textId="77777777" w:rsidR="007145CE" w:rsidRDefault="00000000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</m:acc>
            </m:e>
            <m:sub>
              <m:r>
                <m:rPr>
                  <m:nor/>
                </m:rPr>
                <m:t>comp</m:t>
              </m:r>
            </m:sub>
          </m:sSub>
        </m:oMath>
      </m:oMathPara>
    </w:p>
    <w:p w14:paraId="46C38DD9" w14:textId="77777777" w:rsidR="007145CE" w:rsidRDefault="00000000">
      <w:pPr>
        <w:pStyle w:val="FirstParagraph"/>
      </w:pPr>
      <w:r>
        <w:t>where the compaction strain rate is</w:t>
      </w:r>
    </w:p>
    <w:p w14:paraId="57259FFD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</m:acc>
            </m:e>
            <m:sub>
              <m:r>
                <m:rPr>
                  <m:nor/>
                </m:rPr>
                <m:t>comp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nor/>
                    </m:rPr>
                    <m:t>cell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nor/>
                    </m:rPr>
                    <m:t>resist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nor/>
                    </m:rPr>
                    <m:t>solid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</m:den>
          </m:f>
        </m:oMath>
      </m:oMathPara>
    </w:p>
    <w:p w14:paraId="597784CD" w14:textId="77777777" w:rsidR="007145CE" w:rsidRDefault="00000000">
      <w:pPr>
        <w:pStyle w:val="Heading3"/>
      </w:pPr>
      <w:bookmarkStart w:id="24" w:name="cell-stress-volume-averaged-motor-clutch"/>
      <w:bookmarkEnd w:id="23"/>
      <w:r>
        <w:t>5.2 Cell Stress (Volume-Averaged Motor-Clutch)</w:t>
      </w:r>
    </w:p>
    <w:p w14:paraId="592E88C8" w14:textId="77777777" w:rsidR="007145CE" w:rsidRDefault="00000000">
      <w:pPr>
        <w:pStyle w:val="FirstParagraph"/>
      </w:pPr>
      <w:r>
        <w:t>The cell-generated compressive stress is the volume average of all bridge forces:</w:t>
      </w:r>
    </w:p>
    <w:p w14:paraId="69425877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cell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cell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cell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bridge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)⋅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148B814" w14:textId="77777777" w:rsidR="007145CE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cell</m:t>
            </m:r>
          </m:sub>
        </m:sSub>
      </m:oMath>
      <w:r>
        <w:t xml:space="preserve"> is the number density of bridging cells,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cell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motor-clutch force at substrate stiffness </w:t>
      </w:r>
      <m:oMath>
        <m:r>
          <w:rPr>
            <w:rFonts w:ascii="Cambria Math" w:hAnsi="Cambria Math"/>
          </w:rPr>
          <m:t>E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bridge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fraction of cells that have formed bridges (governed by the Poisson kinetics of Section 2.6), and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mean focal adhesion maturity.</w:t>
      </w:r>
    </w:p>
    <w:p w14:paraId="4DCAB1DA" w14:textId="77777777" w:rsidR="007145CE" w:rsidRDefault="00000000">
      <w:pPr>
        <w:pStyle w:val="Heading3"/>
      </w:pPr>
      <w:bookmarkStart w:id="25" w:name="resistance-stress-jamming"/>
      <w:bookmarkEnd w:id="24"/>
      <w:r>
        <w:t>5.3 Resistance Stress (Jamming)</w:t>
      </w:r>
    </w:p>
    <w:p w14:paraId="7415E92F" w14:textId="77777777" w:rsidR="007145CE" w:rsidRDefault="00000000">
      <w:pPr>
        <w:pStyle w:val="FirstParagraph"/>
      </w:pPr>
      <w:r>
        <w:t xml:space="preserve">As the solid fraction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nor/>
              </m:rPr>
              <m:t>solid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approaches the jamming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, the scaffold stiffens and resists further compaction:</w:t>
      </w:r>
    </w:p>
    <w:p w14:paraId="079FACFC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resist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solid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 </m:t>
          </m:r>
          <m:r>
            <m:rPr>
              <m:nor/>
            </m:rPr>
            <m:t xml:space="preserve">for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nor/>
                </m:rPr>
                <m:t>solid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13BBEB3C" w14:textId="77777777" w:rsidR="007145CE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resist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0 </m:t>
          </m:r>
          <m:r>
            <m:rPr>
              <m:nor/>
            </m:rPr>
            <m:t xml:space="preserve">for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nor/>
                </m:rPr>
                <m:t>solid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2B3C0C4E" w14:textId="77777777" w:rsidR="007145CE" w:rsidRDefault="00000000">
      <w:pPr>
        <w:pStyle w:val="FirstParagraph"/>
      </w:pPr>
      <w:r>
        <w:lastRenderedPageBreak/>
        <w:t xml:space="preserve">The jamming fraction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depends on particle shape. For random close packing of spheres,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0.64</m:t>
        </m:r>
      </m:oMath>
      <w:r>
        <w:t xml:space="preserve"> (Torquato et al., 2000). For ellipsoids,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0.64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0.08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AR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up to aspect ratio </w:t>
      </w:r>
      <m:oMath>
        <m:r>
          <m:rPr>
            <m:nor/>
          </m:rPr>
          <m:t>AR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</m:oMath>
      <w:r>
        <w:t xml:space="preserve"> (Donev et al., 2004). The exponent </w:t>
      </w:r>
      <m:oMath>
        <m:r>
          <w:rPr>
            <w:rFonts w:ascii="Cambria Math" w:hAnsi="Cambria Math"/>
          </w:rPr>
          <m:t>α</m:t>
        </m:r>
      </m:oMath>
      <w:r>
        <w:t xml:space="preserve"> characterizes the stiffening law near jamming; for frictionless spheres,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(O’Hern et al., 2003).</w:t>
      </w:r>
    </w:p>
    <w:p w14:paraId="39B0C5F5" w14:textId="77777777" w:rsidR="007145CE" w:rsidRDefault="00000000">
      <w:pPr>
        <w:pStyle w:val="Heading3"/>
      </w:pPr>
      <w:bookmarkStart w:id="26" w:name="mechanical-equilibrium"/>
      <w:bookmarkEnd w:id="25"/>
      <w:r>
        <w:t>5.4 Mechanical Equilibrium</w:t>
      </w:r>
    </w:p>
    <w:p w14:paraId="4DA715A1" w14:textId="77777777" w:rsidR="007145CE" w:rsidRDefault="00000000">
      <w:pPr>
        <w:pStyle w:val="FirstParagraph"/>
      </w:pPr>
      <w:r>
        <w:t xml:space="preserve">Compaction halts 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cell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resist</m:t>
            </m:r>
          </m:sub>
        </m:sSub>
      </m:oMath>
      <w:r>
        <w:t xml:space="preserve">, defining the equilibrium solid fraction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nor/>
              </m:rPr>
              <m:t>solid</m:t>
            </m:r>
          </m:sub>
          <m:sup>
            <m:r>
              <m:rPr>
                <m:nor/>
              </m:rPr>
              <m:t>eq</m:t>
            </m:r>
          </m:sup>
        </m:sSubSup>
      </m:oMath>
      <w:r>
        <w:t xml:space="preserve">. For weak cell forces relative to scaffold stiffness (small Compaction number </w:t>
      </w:r>
      <m:oMath>
        <m:r>
          <m:rPr>
            <m:nor/>
          </m:rPr>
          <m:t>Ca</m:t>
        </m:r>
      </m:oMath>
      <w:r>
        <w:t xml:space="preserve">, Section 6.1),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nor/>
              </m:rPr>
              <m:t>solid</m:t>
            </m:r>
          </m:sub>
          <m:sup>
            <m:r>
              <m:rPr>
                <m:nor/>
              </m:rPr>
              <m:t>eq</m:t>
            </m:r>
          </m:sup>
        </m:sSubSup>
        <m:r>
          <m:rPr>
            <m:sty m:val="p"/>
          </m:rP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and the scaffold barely compacts. For large </w:t>
      </w:r>
      <m:oMath>
        <m:r>
          <m:rPr>
            <m:nor/>
          </m:rPr>
          <m:t>Ca</m:t>
        </m:r>
      </m:oMath>
      <w:r>
        <w:t>, the equilibrium approaches maximal packing.</w:t>
      </w:r>
    </w:p>
    <w:p w14:paraId="1DF5A239" w14:textId="77777777" w:rsidR="007145CE" w:rsidRDefault="001050FF">
      <w:r>
        <w:rPr>
          <w:noProof/>
        </w:rPr>
      </w:r>
      <w:r>
        <w:pict w14:anchorId="354C92A2">
          <v:rect id="Horizontal Line 6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35D2B49" w14:textId="77777777" w:rsidR="007145CE" w:rsidRDefault="00000000">
      <w:pPr>
        <w:pStyle w:val="Heading2"/>
      </w:pPr>
      <w:bookmarkStart w:id="27" w:name="dimensionless-analysis"/>
      <w:bookmarkEnd w:id="22"/>
      <w:bookmarkEnd w:id="26"/>
      <w:r>
        <w:t>6. Dimensionless Analysis</w:t>
      </w:r>
    </w:p>
    <w:p w14:paraId="585293C4" w14:textId="77777777" w:rsidR="007145CE" w:rsidRDefault="00000000">
      <w:pPr>
        <w:pStyle w:val="Heading3"/>
      </w:pPr>
      <w:bookmarkStart w:id="28" w:name="key-dimensionless-groups"/>
      <w:r>
        <w:t>6.1 Key Dimensionless Groups</w:t>
      </w:r>
    </w:p>
    <w:p w14:paraId="72FBB6F8" w14:textId="77777777" w:rsidR="007145CE" w:rsidRDefault="00000000">
      <w:pPr>
        <w:pStyle w:val="FirstParagraph"/>
      </w:pPr>
      <w:r>
        <w:t>The system behavior is governed by the following dimensionless groups: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54"/>
        <w:gridCol w:w="1321"/>
        <w:gridCol w:w="1817"/>
        <w:gridCol w:w="2807"/>
        <w:gridCol w:w="2477"/>
      </w:tblGrid>
      <w:tr w:rsidR="007145CE" w14:paraId="60F34895" w14:textId="77777777" w:rsidTr="00714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5" w:type="dxa"/>
          </w:tcPr>
          <w:p w14:paraId="3DA73018" w14:textId="77777777" w:rsidR="007145CE" w:rsidRDefault="00000000">
            <w:pPr>
              <w:pStyle w:val="Compact"/>
            </w:pPr>
            <w:r>
              <w:t>Group</w:t>
            </w:r>
          </w:p>
        </w:tc>
        <w:tc>
          <w:tcPr>
            <w:tcW w:w="1092" w:type="dxa"/>
          </w:tcPr>
          <w:p w14:paraId="51ECE70D" w14:textId="77777777" w:rsidR="007145CE" w:rsidRDefault="00000000">
            <w:pPr>
              <w:pStyle w:val="Compact"/>
            </w:pPr>
            <w:r>
              <w:t>Symbol</w:t>
            </w:r>
          </w:p>
        </w:tc>
        <w:tc>
          <w:tcPr>
            <w:tcW w:w="1502" w:type="dxa"/>
          </w:tcPr>
          <w:p w14:paraId="0868D1DD" w14:textId="77777777" w:rsidR="007145CE" w:rsidRDefault="00000000">
            <w:pPr>
              <w:pStyle w:val="Compact"/>
            </w:pPr>
            <w:r>
              <w:t>Definition</w:t>
            </w:r>
          </w:p>
        </w:tc>
        <w:tc>
          <w:tcPr>
            <w:tcW w:w="2321" w:type="dxa"/>
          </w:tcPr>
          <w:p w14:paraId="3847D397" w14:textId="77777777" w:rsidR="007145CE" w:rsidRDefault="00000000">
            <w:pPr>
              <w:pStyle w:val="Compact"/>
            </w:pPr>
            <w:r>
              <w:t>Physical meaning</w:t>
            </w:r>
          </w:p>
        </w:tc>
        <w:tc>
          <w:tcPr>
            <w:tcW w:w="2048" w:type="dxa"/>
          </w:tcPr>
          <w:p w14:paraId="368D2C8F" w14:textId="77777777" w:rsidR="007145CE" w:rsidRDefault="00000000">
            <w:pPr>
              <w:pStyle w:val="Compact"/>
            </w:pPr>
            <w:r>
              <w:t>Typical range</w:t>
            </w:r>
          </w:p>
        </w:tc>
      </w:tr>
      <w:tr w:rsidR="007145CE" w14:paraId="4317210F" w14:textId="77777777">
        <w:tc>
          <w:tcPr>
            <w:tcW w:w="955" w:type="dxa"/>
          </w:tcPr>
          <w:p w14:paraId="703465C6" w14:textId="77777777" w:rsidR="007145CE" w:rsidRDefault="00000000">
            <w:pPr>
              <w:pStyle w:val="Compact"/>
            </w:pPr>
            <w:r>
              <w:t>Motor-clutch engagement</w:t>
            </w:r>
          </w:p>
        </w:tc>
        <w:tc>
          <w:tcPr>
            <w:tcW w:w="1092" w:type="dxa"/>
          </w:tcPr>
          <w:p w14:paraId="2531617B" w14:textId="77777777" w:rsidR="007145CE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β</m:t>
                </m:r>
              </m:oMath>
            </m:oMathPara>
          </w:p>
        </w:tc>
        <w:tc>
          <w:tcPr>
            <w:tcW w:w="1502" w:type="dxa"/>
          </w:tcPr>
          <w:p w14:paraId="72756B98" w14:textId="77777777" w:rsidR="007145C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m:t>sub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m:t>sub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m:t>opt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321" w:type="dxa"/>
          </w:tcPr>
          <w:p w14:paraId="1DADA41A" w14:textId="77777777" w:rsidR="007145CE" w:rsidRDefault="00000000">
            <w:pPr>
              <w:pStyle w:val="Compact"/>
            </w:pPr>
            <w:r>
              <w:t>Fraction of motor force transmitted to substrate</w:t>
            </w:r>
          </w:p>
        </w:tc>
        <w:tc>
          <w:tcPr>
            <w:tcW w:w="2048" w:type="dxa"/>
          </w:tcPr>
          <w:p w14:paraId="297D32EB" w14:textId="77777777" w:rsidR="007145CE" w:rsidRDefault="00000000">
            <w:pPr>
              <w:pStyle w:val="Compact"/>
            </w:pPr>
            <w:r>
              <w:t>0.01 – 0.93</w:t>
            </w:r>
          </w:p>
        </w:tc>
      </w:tr>
      <w:tr w:rsidR="007145CE" w14:paraId="18F7BA9E" w14:textId="77777777">
        <w:tc>
          <w:tcPr>
            <w:tcW w:w="955" w:type="dxa"/>
          </w:tcPr>
          <w:p w14:paraId="695C256C" w14:textId="77777777" w:rsidR="007145CE" w:rsidRDefault="00000000">
            <w:pPr>
              <w:pStyle w:val="Compact"/>
            </w:pPr>
            <w:r>
              <w:t>Compaction number</w:t>
            </w:r>
          </w:p>
        </w:tc>
        <w:tc>
          <w:tcPr>
            <w:tcW w:w="1092" w:type="dxa"/>
          </w:tcPr>
          <w:p w14:paraId="0F148C6F" w14:textId="77777777" w:rsidR="007145CE" w:rsidRDefault="00000000">
            <w:pPr>
              <w:pStyle w:val="Compact"/>
            </w:pPr>
            <m:oMathPara>
              <m:oMath>
                <m:r>
                  <m:rPr>
                    <m:nor/>
                  </m:rPr>
                  <m:t>Ca</m:t>
                </m:r>
              </m:oMath>
            </m:oMathPara>
          </w:p>
        </w:tc>
        <w:tc>
          <w:tcPr>
            <w:tcW w:w="1502" w:type="dxa"/>
          </w:tcPr>
          <w:p w14:paraId="225C3CE4" w14:textId="77777777" w:rsidR="007145C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nor/>
                      </m:rPr>
                      <m:t>cell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2321" w:type="dxa"/>
          </w:tcPr>
          <w:p w14:paraId="4798C401" w14:textId="77777777" w:rsidR="007145CE" w:rsidRDefault="00000000">
            <w:pPr>
              <w:pStyle w:val="Compact"/>
            </w:pPr>
            <w:r>
              <w:t>Cell stress relative to granule stiffness</w:t>
            </w:r>
          </w:p>
        </w:tc>
        <w:tc>
          <w:tcPr>
            <w:tcW w:w="2048" w:type="dxa"/>
          </w:tcPr>
          <w:p w14:paraId="4AA437A6" w14:textId="77777777" w:rsidR="007145CE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>
              <w:t xml:space="preserve"> –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7145CE" w14:paraId="10559423" w14:textId="77777777">
        <w:tc>
          <w:tcPr>
            <w:tcW w:w="955" w:type="dxa"/>
          </w:tcPr>
          <w:p w14:paraId="72BEF4AB" w14:textId="77777777" w:rsidR="007145CE" w:rsidRDefault="00000000">
            <w:pPr>
              <w:pStyle w:val="Compact"/>
            </w:pPr>
            <w:r>
              <w:t>Jamming proximity</w:t>
            </w:r>
          </w:p>
        </w:tc>
        <w:tc>
          <w:tcPr>
            <w:tcW w:w="1092" w:type="dxa"/>
          </w:tcPr>
          <w:p w14:paraId="22BD49F2" w14:textId="77777777" w:rsidR="007145CE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Φ/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502" w:type="dxa"/>
          </w:tcPr>
          <w:p w14:paraId="52CA8C20" w14:textId="77777777" w:rsidR="007145C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m:rPr>
                        <m:nor/>
                      </m:rPr>
                      <m:t>solid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m:rPr>
                        <m:nor/>
                      </m:rPr>
                      <m:t>RCP</m:t>
                    </m:r>
                  </m:sub>
                </m:sSub>
              </m:oMath>
            </m:oMathPara>
          </w:p>
        </w:tc>
        <w:tc>
          <w:tcPr>
            <w:tcW w:w="2321" w:type="dxa"/>
          </w:tcPr>
          <w:p w14:paraId="3F6E7ED8" w14:textId="77777777" w:rsidR="007145CE" w:rsidRDefault="00000000">
            <w:pPr>
              <w:pStyle w:val="Compact"/>
            </w:pPr>
            <w:r>
              <w:t>Distance from random close packing</w:t>
            </w:r>
          </w:p>
        </w:tc>
        <w:tc>
          <w:tcPr>
            <w:tcW w:w="2048" w:type="dxa"/>
          </w:tcPr>
          <w:p w14:paraId="0D04E86F" w14:textId="77777777" w:rsidR="007145CE" w:rsidRDefault="00000000">
            <w:pPr>
              <w:pStyle w:val="Compact"/>
            </w:pPr>
            <w:r>
              <w:t>0.5 – 1.2</w:t>
            </w:r>
          </w:p>
        </w:tc>
      </w:tr>
      <w:tr w:rsidR="007145CE" w14:paraId="26722D58" w14:textId="77777777">
        <w:tc>
          <w:tcPr>
            <w:tcW w:w="955" w:type="dxa"/>
          </w:tcPr>
          <w:p w14:paraId="3E20C3D4" w14:textId="77777777" w:rsidR="007145CE" w:rsidRDefault="00000000">
            <w:pPr>
              <w:pStyle w:val="Compact"/>
            </w:pPr>
            <w:r>
              <w:t>Darcy number</w:t>
            </w:r>
          </w:p>
        </w:tc>
        <w:tc>
          <w:tcPr>
            <w:tcW w:w="1092" w:type="dxa"/>
          </w:tcPr>
          <w:p w14:paraId="0A056FF0" w14:textId="77777777" w:rsidR="007145CE" w:rsidRDefault="00000000">
            <w:pPr>
              <w:pStyle w:val="Compact"/>
            </w:pPr>
            <m:oMathPara>
              <m:oMath>
                <m:r>
                  <m:rPr>
                    <m:nor/>
                  </m:rPr>
                  <m:t>Da</m:t>
                </m:r>
              </m:oMath>
            </m:oMathPara>
          </w:p>
        </w:tc>
        <w:tc>
          <w:tcPr>
            <w:tcW w:w="1502" w:type="dxa"/>
          </w:tcPr>
          <w:p w14:paraId="0DA40E73" w14:textId="77777777" w:rsidR="007145CE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321" w:type="dxa"/>
          </w:tcPr>
          <w:p w14:paraId="69CB1775" w14:textId="77777777" w:rsidR="007145CE" w:rsidRDefault="00000000">
            <w:pPr>
              <w:pStyle w:val="Compact"/>
            </w:pPr>
            <w:r>
              <w:t>Permeability relative to domain scale</w:t>
            </w:r>
          </w:p>
        </w:tc>
        <w:tc>
          <w:tcPr>
            <w:tcW w:w="2048" w:type="dxa"/>
          </w:tcPr>
          <w:p w14:paraId="2F4FE0DC" w14:textId="77777777" w:rsidR="007145CE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7145CE" w14:paraId="15EF0B2E" w14:textId="77777777">
        <w:tc>
          <w:tcPr>
            <w:tcW w:w="955" w:type="dxa"/>
          </w:tcPr>
          <w:p w14:paraId="05423F25" w14:textId="77777777" w:rsidR="007145CE" w:rsidRDefault="00000000">
            <w:pPr>
              <w:pStyle w:val="Compact"/>
            </w:pPr>
            <w:r>
              <w:t>Timescale ratio</w:t>
            </w:r>
          </w:p>
        </w:tc>
        <w:tc>
          <w:tcPr>
            <w:tcW w:w="1092" w:type="dxa"/>
          </w:tcPr>
          <w:p w14:paraId="597D2E6E" w14:textId="77777777" w:rsidR="007145C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m:rPr>
                        <m:nor/>
                      </m:rPr>
                      <m:t>bio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m:rPr>
                        <m:nor/>
                      </m:rPr>
                      <m:t>mech</m:t>
                    </m:r>
                  </m:sub>
                </m:sSub>
              </m:oMath>
            </m:oMathPara>
          </w:p>
        </w:tc>
        <w:tc>
          <w:tcPr>
            <w:tcW w:w="1502" w:type="dxa"/>
          </w:tcPr>
          <w:p w14:paraId="326B1072" w14:textId="77777777" w:rsidR="007145C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m:rPr>
                        <m:nor/>
                      </m:rPr>
                      <m:t>bridge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m:rPr>
                        <m:nor/>
                      </m:rPr>
                      <m:t>damp</m:t>
                    </m:r>
                  </m:sub>
                </m:sSub>
              </m:oMath>
            </m:oMathPara>
          </w:p>
        </w:tc>
        <w:tc>
          <w:tcPr>
            <w:tcW w:w="2321" w:type="dxa"/>
          </w:tcPr>
          <w:p w14:paraId="5062C120" w14:textId="77777777" w:rsidR="007145CE" w:rsidRDefault="00000000">
            <w:pPr>
              <w:pStyle w:val="Compact"/>
            </w:pPr>
            <w:r>
              <w:t>Biological vs. mechanical relaxation time</w:t>
            </w:r>
          </w:p>
        </w:tc>
        <w:tc>
          <w:tcPr>
            <w:tcW w:w="2048" w:type="dxa"/>
          </w:tcPr>
          <w:p w14:paraId="7797CF0D" w14:textId="77777777" w:rsidR="007145CE" w:rsidRDefault="00000000">
            <w:pPr>
              <w:pStyle w:val="Compact"/>
            </w:pPr>
            <w:r>
              <w:t>100 – 1000</w:t>
            </w:r>
          </w:p>
        </w:tc>
      </w:tr>
      <w:tr w:rsidR="007145CE" w14:paraId="0B2F5554" w14:textId="77777777">
        <w:tc>
          <w:tcPr>
            <w:tcW w:w="955" w:type="dxa"/>
          </w:tcPr>
          <w:p w14:paraId="0E8C94F1" w14:textId="77777777" w:rsidR="007145CE" w:rsidRDefault="00000000">
            <w:pPr>
              <w:pStyle w:val="Compact"/>
            </w:pPr>
            <w:r>
              <w:t>Clutch engagement</w:t>
            </w:r>
          </w:p>
        </w:tc>
        <w:tc>
          <w:tcPr>
            <w:tcW w:w="1092" w:type="dxa"/>
          </w:tcPr>
          <w:p w14:paraId="423AA1FD" w14:textId="77777777" w:rsidR="007145CE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ξ</m:t>
                </m:r>
              </m:oMath>
            </m:oMathPara>
          </w:p>
        </w:tc>
        <w:tc>
          <w:tcPr>
            <w:tcW w:w="1502" w:type="dxa"/>
          </w:tcPr>
          <w:p w14:paraId="5E6548D7" w14:textId="77777777" w:rsidR="007145C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m:t>on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m:t>on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m:t>off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321" w:type="dxa"/>
          </w:tcPr>
          <w:p w14:paraId="6EA84974" w14:textId="77777777" w:rsidR="007145CE" w:rsidRDefault="00000000">
            <w:pPr>
              <w:pStyle w:val="Compact"/>
            </w:pPr>
            <w:r>
              <w:t>Steady-state fraction of bound clutches</w:t>
            </w:r>
          </w:p>
        </w:tc>
        <w:tc>
          <w:tcPr>
            <w:tcW w:w="2048" w:type="dxa"/>
          </w:tcPr>
          <w:p w14:paraId="4916CFD1" w14:textId="77777777" w:rsidR="007145CE" w:rsidRDefault="00000000">
            <w:pPr>
              <w:pStyle w:val="Compact"/>
            </w:pPr>
            <w:r>
              <w:t>0.5 – 0.95</w:t>
            </w:r>
          </w:p>
        </w:tc>
      </w:tr>
    </w:tbl>
    <w:p w14:paraId="31E9272C" w14:textId="77777777" w:rsidR="007145CE" w:rsidRDefault="00000000">
      <w:pPr>
        <w:pStyle w:val="BodyText"/>
      </w:pPr>
      <w:r>
        <w:rPr>
          <w:b/>
          <w:bCs/>
        </w:rPr>
        <w:t xml:space="preserve">Motor-clutch engagement </w:t>
      </w:r>
      <m:oMath>
        <m:r>
          <w:rPr>
            <w:rFonts w:ascii="Cambria Math" w:hAnsi="Cambria Math"/>
          </w:rPr>
          <m:t>β</m:t>
        </m:r>
      </m:oMath>
      <w:r>
        <w:rPr>
          <w:b/>
          <w:bCs/>
        </w:rPr>
        <w:t>.</w:t>
      </w:r>
      <w:r>
        <w:t xml:space="preserve"> This is the master variable of the model. It captures the nonlinear coupling between substrate stiffness and cell force output. For soft gels (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1</m:t>
        </m:r>
      </m:oMath>
      <w:r>
        <w:t xml:space="preserve"> kPa),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≪</m:t>
        </m:r>
        <m:r>
          <w:rPr>
            <w:rFonts w:ascii="Cambria Math" w:hAnsi="Cambria Math"/>
          </w:rPr>
          <m:t>1</m:t>
        </m:r>
      </m:oMath>
      <w:r>
        <w:t xml:space="preserve"> and cells generate negligible traction. For stiff gels (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50</m:t>
        </m:r>
      </m:oMath>
      <w:r>
        <w:t xml:space="preserve"> kPa),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 and </w:t>
      </w:r>
      <w:r>
        <w:lastRenderedPageBreak/>
        <w:t>cells approach their stall force. Substituting the default parameters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75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5.0</m:t>
        </m:r>
      </m:oMath>
      <w:r>
        <w:t xml:space="preserve"> nN/</w:t>
      </w:r>
      <m:oMath>
        <m:r>
          <w:rPr>
            <w:rFonts w:ascii="Cambria Math" w:hAnsi="Cambria Math"/>
          </w:rPr>
          <m:t>μ</m:t>
        </m:r>
      </m:oMath>
      <w:r>
        <w:t xml:space="preserve">m,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10 μ</m:t>
        </m:r>
      </m:oMath>
      <w:r>
        <w:t>m):</w:t>
      </w:r>
    </w:p>
    <w:p w14:paraId="58908A8A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opt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5.0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375 </m:t>
          </m:r>
          <m:r>
            <m:rPr>
              <m:nor/>
            </m:rPr>
            <m:t>nN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μ</m:t>
          </m:r>
          <m:r>
            <m:rPr>
              <m:nor/>
            </m:rPr>
            <m:t>m</m:t>
          </m:r>
        </m:oMath>
      </m:oMathPara>
    </w:p>
    <w:p w14:paraId="3C1FBBE1" w14:textId="77777777" w:rsidR="007145CE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sub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/(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0.45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)≈</m:t>
          </m:r>
          <m:r>
            <w:rPr>
              <w:rFonts w:ascii="Cambria Math" w:hAnsi="Cambria Math"/>
            </w:rPr>
            <m:t>40.0 E </m:t>
          </m:r>
          <m:r>
            <m:rPr>
              <m:nor/>
            </m:rPr>
            <m:t>nN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μ</m:t>
          </m:r>
          <m:r>
            <m:rPr>
              <m:nor/>
            </m:rPr>
            <m:t>m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m:rPr>
              <m:nor/>
            </m:rPr>
            <m:t xml:space="preserve"> in kPa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8778839" w14:textId="77777777" w:rsidR="007145CE" w:rsidRDefault="00000000">
      <w:pPr>
        <w:pStyle w:val="FirstParagraph"/>
      </w:pPr>
      <w:r>
        <w:t xml:space="preserve">So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40E</m:t>
        </m:r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40E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375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giving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0.10</m:t>
        </m:r>
      </m:oMath>
      <w:r>
        <w:t xml:space="preserve"> at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kPa and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0.84</m:t>
        </m:r>
      </m:oMath>
      <w:r>
        <w:t xml:space="preserve"> at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 xml:space="preserve"> kPa.</w:t>
      </w:r>
    </w:p>
    <w:p w14:paraId="0CB1B240" w14:textId="77777777" w:rsidR="007145CE" w:rsidRDefault="00000000">
      <w:pPr>
        <w:pStyle w:val="BodyText"/>
      </w:pPr>
      <w:r>
        <w:rPr>
          <w:b/>
          <w:bCs/>
        </w:rPr>
        <w:t>Compaction number Ca.</w:t>
      </w:r>
      <w:r>
        <w:t xml:space="preserve"> This ratio determines whether cell forces are sufficient to deform the granular packing. When </w:t>
      </w:r>
      <m:oMath>
        <m:r>
          <m:rPr>
            <m:nor/>
          </m:rPr>
          <m:t>Ca</m:t>
        </m:r>
        <m:r>
          <m:rPr>
            <m:sty m:val="p"/>
          </m:rPr>
          <w:rPr>
            <w:rFonts w:ascii="Cambria Math" w:hAnsi="Cambria Math"/>
          </w:rPr>
          <m:t>≪</m:t>
        </m:r>
        <m:r>
          <w:rPr>
            <w:rFonts w:ascii="Cambria Math" w:hAnsi="Cambria Math"/>
          </w:rPr>
          <m:t>1</m:t>
        </m:r>
      </m:oMath>
      <w:r>
        <w:t xml:space="preserve">, the scaffold is essentially rigid on the cell force scale. Significant compaction requires </w:t>
      </w:r>
      <m:oMath>
        <m:r>
          <m:rPr>
            <m:nor/>
          </m:rPr>
          <m:t>Ca</m:t>
        </m:r>
        <m:r>
          <m:rPr>
            <m:sty m:val="p"/>
          </m:rPr>
          <w:rPr>
            <w:rFonts w:ascii="Cambria Math" w:hAnsi="Cambria Math"/>
          </w:rPr>
          <m:t>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Ca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Ca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is set by the jamming resistance.</w:t>
      </w:r>
    </w:p>
    <w:p w14:paraId="180FF5ED" w14:textId="77777777" w:rsidR="007145CE" w:rsidRDefault="00000000">
      <w:pPr>
        <w:pStyle w:val="BodyText"/>
      </w:pPr>
      <w:r>
        <w:rPr>
          <w:b/>
          <w:bCs/>
        </w:rPr>
        <w:t>Timescale ratio.</w:t>
      </w:r>
      <w:r>
        <w:t xml:space="preserve"> The mechanical relaxation 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damp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h is much shorter than the biological timescales of bridge formation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2</m:t>
        </m:r>
      </m:oMath>
      <w:r>
        <w:t xml:space="preserve"> h) and senescence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sen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24</m:t>
        </m:r>
      </m:oMath>
      <w:r>
        <w:t xml:space="preserve"> h). This separation of scales justifies the quasistatic (overdamped) approximation.</w:t>
      </w:r>
    </w:p>
    <w:p w14:paraId="375A532C" w14:textId="77777777" w:rsidR="007145CE" w:rsidRDefault="00000000">
      <w:pPr>
        <w:pStyle w:val="Heading3"/>
      </w:pPr>
      <w:bookmarkStart w:id="29" w:name="scaling-laws"/>
      <w:bookmarkEnd w:id="28"/>
      <w:r>
        <w:t>6.2 Scaling Laws</w:t>
      </w:r>
    </w:p>
    <w:p w14:paraId="1F35A32A" w14:textId="77777777" w:rsidR="007145CE" w:rsidRDefault="00000000">
      <w:pPr>
        <w:pStyle w:val="FirstParagraph"/>
      </w:pPr>
      <w:r>
        <w:t xml:space="preserve">The engagement ratio </w:t>
      </w:r>
      <m:oMath>
        <m:r>
          <w:rPr>
            <w:rFonts w:ascii="Cambria Math" w:hAnsi="Cambria Math"/>
          </w:rPr>
          <m:t>β</m:t>
        </m:r>
      </m:oMath>
      <w:r>
        <w:t xml:space="preserve"> controls the key scaling relationships:</w:t>
      </w:r>
    </w:p>
    <w:p w14:paraId="67C1567A" w14:textId="77777777" w:rsidR="007145CE" w:rsidRDefault="00000000">
      <w:pPr>
        <w:numPr>
          <w:ilvl w:val="0"/>
          <w:numId w:val="4"/>
        </w:numPr>
      </w:pPr>
      <w:r>
        <w:rPr>
          <w:b/>
          <w:bCs/>
        </w:rPr>
        <w:t>Traction force: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cell</m:t>
            </m:r>
          </m:sub>
        </m:sSub>
        <m:r>
          <m:rPr>
            <m:sty m:val="p"/>
          </m:rPr>
          <w:rPr>
            <w:rFonts w:ascii="Cambria Math" w:hAnsi="Cambria Math"/>
          </w:rPr>
          <m:t>∝</m:t>
        </m:r>
        <m:r>
          <w:rPr>
            <w:rFonts w:ascii="Cambria Math" w:hAnsi="Cambria Math"/>
          </w:rPr>
          <m:t>β</m:t>
        </m:r>
      </m:oMath>
      <w:r>
        <w:t>, since the stall force, clutch engagement, and FA maturity are bounded.</w:t>
      </w:r>
    </w:p>
    <w:p w14:paraId="7F1F6673" w14:textId="77777777" w:rsidR="007145CE" w:rsidRDefault="00000000">
      <w:pPr>
        <w:numPr>
          <w:ilvl w:val="0"/>
          <w:numId w:val="4"/>
        </w:numPr>
      </w:pPr>
      <w:r>
        <w:rPr>
          <w:b/>
          <w:bCs/>
        </w:rPr>
        <w:t>Compaction efficiency:</w:t>
      </w:r>
      <w:r>
        <w:t xml:space="preserve"> The fraction of initial void space eliminated by cell-driven compaction scales with </w:t>
      </w:r>
      <m:oMath>
        <m:r>
          <w:rPr>
            <w:rFonts w:ascii="Cambria Math" w:hAnsi="Cambria Math"/>
          </w:rPr>
          <m:t>β</m:t>
        </m:r>
      </m:oMath>
      <w:r>
        <w:t>: stronger engagement drives more compaction before equilibrium is reached.</w:t>
      </w:r>
    </w:p>
    <w:p w14:paraId="72AA4BB3" w14:textId="77777777" w:rsidR="007145CE" w:rsidRDefault="00000000">
      <w:pPr>
        <w:numPr>
          <w:ilvl w:val="0"/>
          <w:numId w:val="4"/>
        </w:numPr>
      </w:pPr>
      <w:r>
        <w:rPr>
          <w:b/>
          <w:bCs/>
        </w:rPr>
        <w:t>Spreading rate: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spread</m:t>
            </m:r>
          </m:sub>
          <m:sup>
            <m:r>
              <m:rPr>
                <m:nor/>
              </m:rPr>
              <m:t>eff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spread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β</m:t>
        </m:r>
      </m:oMath>
      <w:r>
        <w:t xml:space="preserve"> (for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0.2</m:t>
        </m:r>
      </m:oMath>
      <w:r>
        <w:t>), so stiffer substrates yield faster spreading and earlier onset of traction.</w:t>
      </w:r>
    </w:p>
    <w:p w14:paraId="0A2710E2" w14:textId="77777777" w:rsidR="007145CE" w:rsidRDefault="00000000">
      <w:pPr>
        <w:numPr>
          <w:ilvl w:val="0"/>
          <w:numId w:val="4"/>
        </w:numPr>
      </w:pPr>
      <w:r>
        <w:rPr>
          <w:b/>
          <w:bCs/>
        </w:rPr>
        <w:t>Permeability evolution:</w:t>
      </w:r>
      <w:r>
        <w:t xml:space="preserve"> As compaction increases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nor/>
              </m:rPr>
              <m:t>solid</m:t>
            </m:r>
          </m:sub>
        </m:sSub>
      </m:oMath>
      <w:r>
        <w:t>, permeability decreases via the Kozeny-Carman relation. The feedback loop is:</w:t>
      </w:r>
    </w:p>
    <w:p w14:paraId="17BF7583" w14:textId="77777777" w:rsidR="007145CE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↑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cell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↑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nor/>
                </m:rPr>
                <m:t>solid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↑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 k</m:t>
          </m:r>
          <m:r>
            <m:rPr>
              <m:sty m:val="p"/>
            </m:rPr>
            <w:rPr>
              <w:rFonts w:ascii="Cambria Math" w:hAnsi="Cambria Math"/>
            </w:rPr>
            <m:t>↓</m:t>
          </m:r>
        </m:oMath>
      </m:oMathPara>
    </w:p>
    <w:p w14:paraId="270BDA0A" w14:textId="77777777" w:rsidR="007145CE" w:rsidRDefault="00000000">
      <w:pPr>
        <w:pStyle w:val="Heading3"/>
      </w:pPr>
      <w:bookmarkStart w:id="30" w:name="dimensionless-compaction-ode"/>
      <w:bookmarkEnd w:id="29"/>
      <w:r>
        <w:t>6.3 Dimensionless Compaction ODE</w:t>
      </w:r>
    </w:p>
    <w:p w14:paraId="0CB874FF" w14:textId="77777777" w:rsidR="007145CE" w:rsidRDefault="00000000">
      <w:pPr>
        <w:pStyle w:val="FirstParagraph"/>
      </w:pPr>
      <w:r>
        <w:t xml:space="preserve">Let </w:t>
      </w:r>
      <m:oMath>
        <m:r>
          <m:rPr>
            <m:sty m:val="p"/>
          </m:rPr>
          <w:rPr>
            <w:rFonts w:ascii="Cambria Math" w:hAnsi="Cambria Math"/>
          </w:rPr>
          <m:t>Φ=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(normalized functional fraction) and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bridge</m:t>
            </m:r>
          </m:sub>
        </m:sSub>
      </m:oMath>
      <w:r>
        <w:t xml:space="preserve"> (normalized time). The mean-field ODE becomes:</w:t>
      </w:r>
    </w:p>
    <w:p w14:paraId="1B6D196E" w14:textId="77777777" w:rsidR="007145CE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=-Φ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(Φ)</m:t>
              </m:r>
            </m:e>
          </m:d>
        </m:oMath>
      </m:oMathPara>
    </w:p>
    <w:p w14:paraId="43754CAE" w14:textId="77777777" w:rsidR="007145CE" w:rsidRDefault="00000000">
      <w:pPr>
        <w:pStyle w:val="FirstParagraph"/>
      </w:pPr>
      <w:r>
        <w:t>where:</w:t>
      </w:r>
    </w:p>
    <w:p w14:paraId="060B8023" w14:textId="77777777" w:rsidR="007145CE" w:rsidRDefault="00000000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cell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 is the dimensionless driving term, which ramps from zero as bridges form and saturates when all eligible cells are bridging.</w:t>
      </w:r>
    </w:p>
    <w:p w14:paraId="023F78CA" w14:textId="77777777" w:rsidR="007145CE" w:rsidRDefault="00000000">
      <w:pPr>
        <w:numPr>
          <w:ilvl w:val="0"/>
          <w:numId w:val="5"/>
        </w:numPr>
      </w:pPr>
      <m:oMath>
        <m:r>
          <w:rPr>
            <w:rFonts w:ascii="Cambria Math" w:hAnsi="Cambria Math"/>
          </w:rPr>
          <w:lastRenderedPageBreak/>
          <m:t>R</m:t>
        </m:r>
        <m:r>
          <m:rPr>
            <m:sty m:val="p"/>
          </m:rPr>
          <w:rPr>
            <w:rFonts w:ascii="Cambria Math" w:hAnsi="Cambria Math"/>
          </w:rPr>
          <m:t>(Φ)=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resist</m:t>
            </m:r>
          </m:sub>
        </m:sSub>
        <m:r>
          <m:rPr>
            <m:sty m:val="p"/>
          </m:rPr>
          <w:rPr>
            <w:rFonts w:ascii="Cambria Math" w:hAnsi="Cambria Math"/>
          </w:rPr>
          <m:t>(Φ)/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 is the dimensionless resistance, which is zero for </w:t>
      </w:r>
      <m:oMath>
        <m:r>
          <m:rPr>
            <m:sty m:val="p"/>
          </m:rPr>
          <w:rPr>
            <w:rFonts w:ascii="Cambria Math" w:hAnsi="Cambria Math"/>
          </w:rPr>
          <m:t>Φ&lt;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and diverges as </w:t>
      </w:r>
      <m:oMath>
        <m:r>
          <m:rPr>
            <m:sty m:val="p"/>
          </m:rPr>
          <w:rPr>
            <w:rFonts w:ascii="Cambria Math" w:hAnsi="Cambria Math"/>
          </w:rPr>
          <m:t>Φ→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from below.</w:t>
      </w:r>
    </w:p>
    <w:p w14:paraId="58098817" w14:textId="77777777" w:rsidR="007145CE" w:rsidRDefault="00000000">
      <w:pPr>
        <w:pStyle w:val="FirstParagraph"/>
      </w:pPr>
      <w:r>
        <w:t xml:space="preserve">Equilibrium is reached when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The final compaction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m:rPr>
                <m:nor/>
              </m:rPr>
              <m:t>eq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depends on </w:t>
      </w:r>
      <m:oMath>
        <m:r>
          <w:rPr>
            <w:rFonts w:ascii="Cambria Math" w:hAnsi="Cambria Math"/>
          </w:rPr>
          <m:t>β</m:t>
        </m:r>
      </m:oMath>
      <w:r>
        <w:t>, cell density, and granule stiffness through the dimensionless groups defined above.</w:t>
      </w:r>
    </w:p>
    <w:p w14:paraId="00B6C8BB" w14:textId="77777777" w:rsidR="007145CE" w:rsidRDefault="001050FF">
      <w:r>
        <w:rPr>
          <w:noProof/>
        </w:rPr>
      </w:r>
      <w:r>
        <w:pict w14:anchorId="68431DED">
          <v:rect id="Horizontal Line 7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F3F6766" w14:textId="77777777" w:rsidR="007145CE" w:rsidRDefault="00000000">
      <w:pPr>
        <w:pStyle w:val="Heading2"/>
      </w:pPr>
      <w:bookmarkStart w:id="31" w:name="tissue-architecture-characterization"/>
      <w:bookmarkEnd w:id="27"/>
      <w:bookmarkEnd w:id="30"/>
      <w:r>
        <w:t>7. Tissue Architecture Characterization</w:t>
      </w:r>
    </w:p>
    <w:p w14:paraId="3E6EC079" w14:textId="77777777" w:rsidR="007145CE" w:rsidRDefault="00000000">
      <w:pPr>
        <w:pStyle w:val="FirstParagraph"/>
      </w:pPr>
      <w:r>
        <w:t>The goal of scaffold design is to produce a microstructure that recapitulates the architecture of a target organ. We define a descriptor vector and an architectural distance metric for quantitative comparison.</w:t>
      </w:r>
    </w:p>
    <w:p w14:paraId="39DAB01C" w14:textId="77777777" w:rsidR="007145CE" w:rsidRDefault="00000000">
      <w:pPr>
        <w:pStyle w:val="Heading3"/>
      </w:pPr>
      <w:bookmarkStart w:id="32" w:name="descriptor-vector"/>
      <w:r>
        <w:t>7.1 Descriptor Vector</w:t>
      </w:r>
    </w:p>
    <w:p w14:paraId="15A2E6F5" w14:textId="77777777" w:rsidR="007145CE" w:rsidRDefault="00000000">
      <w:pPr>
        <w:pStyle w:val="FirstParagraph"/>
      </w:pPr>
      <w:r>
        <w:t xml:space="preserve">The tissue architecture is characterized by a vector </w:t>
      </w:r>
      <m:oMath>
        <m:r>
          <m:rPr>
            <m:sty m:val="b"/>
          </m:rP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sup>
        </m:sSup>
      </m:oMath>
      <w:r>
        <w:t xml:space="preserve"> whose components fall into six categories:</w:t>
      </w:r>
    </w:p>
    <w:p w14:paraId="2583151B" w14:textId="77777777" w:rsidR="007145CE" w:rsidRDefault="00000000">
      <w:pPr>
        <w:pStyle w:val="BodyText"/>
      </w:pPr>
      <w:r>
        <w:rPr>
          <w:b/>
          <w:bCs/>
        </w:rPr>
        <w:t>Volume fractions.</w:t>
      </w:r>
      <w:r>
        <w:t xml:space="preserve"> - </w:t>
      </w:r>
      <m:oMath>
        <m:r>
          <m:rPr>
            <m:nor/>
          </m:rPr>
          <m:t>BV/TV</m:t>
        </m:r>
      </m:oMath>
      <w:r>
        <w:t xml:space="preserve">: bone (or solid) volume / total volume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- Porosity: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nor/>
          </m:rPr>
          <m:t>BV/TV</m:t>
        </m:r>
      </m:oMath>
    </w:p>
    <w:p w14:paraId="30CD66F4" w14:textId="77777777" w:rsidR="007145CE" w:rsidRDefault="00000000">
      <w:pPr>
        <w:pStyle w:val="BodyText"/>
      </w:pPr>
      <w:r>
        <w:rPr>
          <w:b/>
          <w:bCs/>
        </w:rPr>
        <w:t>Morphometry (Hildebrand and Ruegsegger, 1997).</w:t>
      </w:r>
      <w:r>
        <w:t xml:space="preserve"> - </w:t>
      </w:r>
      <m:oMath>
        <m:r>
          <m:rPr>
            <m:nor/>
          </m:rPr>
          <m:t>Tb.Th</m:t>
        </m:r>
      </m:oMath>
      <w:r>
        <w:t xml:space="preserve">: trabecular (strand) thickness — mean thickness of the solid phase - </w:t>
      </w:r>
      <m:oMath>
        <m:r>
          <m:rPr>
            <m:nor/>
          </m:rPr>
          <m:t>Tb.Sp</m:t>
        </m:r>
      </m:oMath>
      <w:r>
        <w:t xml:space="preserve">: trabecular separation — mean pore diameter - </w:t>
      </w:r>
      <m:oMath>
        <m:r>
          <m:rPr>
            <m:nor/>
          </m:rPr>
          <m:t>Tb.N</m:t>
        </m:r>
      </m:oMath>
      <w:r>
        <w:t xml:space="preserve">: trabecular number = </w:t>
      </w:r>
      <m:oMath>
        <m:r>
          <m:rPr>
            <m:nor/>
          </m:rPr>
          <m:t>BV/TV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Tb.Th</m:t>
        </m:r>
      </m:oMath>
      <w:r>
        <w:t xml:space="preserve"> - </w:t>
      </w:r>
      <m:oMath>
        <m:r>
          <m:rPr>
            <m:nor/>
          </m:rPr>
          <m:t>SMI</m:t>
        </m:r>
      </m:oMath>
      <w:r>
        <w:t>: structure model index (0 = plates, 3 = rods, 4 = spheres)</w:t>
      </w:r>
    </w:p>
    <w:p w14:paraId="52F376AE" w14:textId="77777777" w:rsidR="007145CE" w:rsidRDefault="00000000">
      <w:pPr>
        <w:pStyle w:val="BodyText"/>
      </w:pPr>
      <w:r>
        <w:rPr>
          <w:b/>
          <w:bCs/>
        </w:rPr>
        <w:t>Topology.</w:t>
      </w:r>
      <w:r>
        <w:t xml:space="preserve"> - </w:t>
      </w:r>
      <m:oMath>
        <m:r>
          <w:rPr>
            <w:rFonts w:ascii="Cambria Math" w:hAnsi="Cambria Math"/>
          </w:rPr>
          <m:t>χ</m:t>
        </m:r>
      </m:oMath>
      <w:r>
        <w:t xml:space="preserve">: Euler characteristic of the solid phase (genus proxy) - Connectivity density: </w:t>
      </w:r>
      <m:oMath>
        <m:r>
          <m:rPr>
            <m:nor/>
          </m:rPr>
          <m:t>Conn.D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χ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V</m:t>
        </m:r>
      </m:oMath>
      <w:r>
        <w:t xml:space="preserve"> (number of connections per unit volume)</w:t>
      </w:r>
    </w:p>
    <w:p w14:paraId="611CDB75" w14:textId="77777777" w:rsidR="007145CE" w:rsidRDefault="00000000">
      <w:pPr>
        <w:pStyle w:val="BodyText"/>
      </w:pPr>
      <w:r>
        <w:rPr>
          <w:b/>
          <w:bCs/>
        </w:rPr>
        <w:t>Spatial statistics.</w:t>
      </w:r>
      <w:r>
        <w:t xml:space="preserve">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two-point correlation function of the solid phase - </w:t>
      </w:r>
      <m:oMath>
        <m:r>
          <w:rPr>
            <w:rFonts w:ascii="Cambria Math" w:hAnsi="Cambria Math"/>
          </w:rPr>
          <m:t>ξ</m:t>
        </m:r>
      </m:oMath>
      <w:r>
        <w:t xml:space="preserve">: correlation length (exponential decay constant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) - Chord length distribution: probability density of intercept lengths through solid and void phases</w:t>
      </w:r>
    </w:p>
    <w:p w14:paraId="2B1C0713" w14:textId="77777777" w:rsidR="007145CE" w:rsidRDefault="00000000">
      <w:pPr>
        <w:pStyle w:val="BodyText"/>
      </w:pPr>
      <w:r>
        <w:rPr>
          <w:b/>
          <w:bCs/>
        </w:rPr>
        <w:t>Anisotropy (Harrigan and Mann, 1984).</w:t>
      </w:r>
      <w:r>
        <w:t xml:space="preserve"> - MIL tensor: mean intercept length tensor - </w:t>
      </w:r>
      <m:oMath>
        <m:r>
          <m:rPr>
            <m:nor/>
          </m:rPr>
          <m:t>DA</m:t>
        </m:r>
      </m:oMath>
      <w:r>
        <w:t xml:space="preserve">: degree of anisotropy =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>
        <w:t xml:space="preserve"> - </w:t>
      </w:r>
      <m:oMath>
        <m:r>
          <m:rPr>
            <m:nor/>
          </m:rPr>
          <m:t>FA</m:t>
        </m:r>
      </m:oMath>
      <w:r>
        <w:t>: fractional anisotropy (analogous to diffusion tensor FA)</w:t>
      </w:r>
    </w:p>
    <w:p w14:paraId="6D482922" w14:textId="77777777" w:rsidR="007145CE" w:rsidRDefault="00000000">
      <w:pPr>
        <w:pStyle w:val="BodyText"/>
      </w:pPr>
      <w:r>
        <w:rPr>
          <w:b/>
          <w:bCs/>
        </w:rPr>
        <w:t>Transport.</w:t>
      </w:r>
      <w:r>
        <w:t xml:space="preserve"> - </w:t>
      </w:r>
      <m:oMath>
        <m:r>
          <w:rPr>
            <w:rFonts w:ascii="Cambria Math" w:hAnsi="Cambria Math"/>
          </w:rPr>
          <m:t>τ</m:t>
        </m:r>
      </m:oMath>
      <w:r>
        <w:t xml:space="preserve">: tortuosity (effective path length / straight-line distance) - </w:t>
      </w:r>
      <m:oMath>
        <m:r>
          <w:rPr>
            <w:rFonts w:ascii="Cambria Math" w:hAnsi="Cambria Math"/>
          </w:rPr>
          <m:t>k</m:t>
        </m:r>
      </m:oMath>
      <w:r>
        <w:t>: Kozeny-Carman permeability</w:t>
      </w:r>
    </w:p>
    <w:p w14:paraId="045EF744" w14:textId="77777777" w:rsidR="007145CE" w:rsidRDefault="00000000">
      <w:pPr>
        <w:pStyle w:val="Heading3"/>
      </w:pPr>
      <w:bookmarkStart w:id="33" w:name="architectural-distance"/>
      <w:bookmarkEnd w:id="32"/>
      <w:r>
        <w:t>7.2 Architectural Distance</w:t>
      </w:r>
    </w:p>
    <w:p w14:paraId="4A408D32" w14:textId="77777777" w:rsidR="007145CE" w:rsidRDefault="00000000">
      <w:pPr>
        <w:pStyle w:val="FirstParagraph"/>
      </w:pPr>
      <w:r>
        <w:t xml:space="preserve">Given a GELLS scaffold descriptor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d</m:t>
            </m:r>
          </m:e>
          <m:sup>
            <m:r>
              <m:rPr>
                <m:nor/>
              </m:rPr>
              <m:t>GELLS</m:t>
            </m:r>
          </m:sup>
        </m:sSup>
      </m:oMath>
      <w:r>
        <w:t xml:space="preserve"> and a target organ descriptor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d</m:t>
            </m:r>
          </m:e>
          <m:sup>
            <m:r>
              <m:rPr>
                <m:nor/>
              </m:rPr>
              <m:t>organ</m:t>
            </m:r>
          </m:sup>
        </m:sSup>
      </m:oMath>
      <w:r>
        <w:t xml:space="preserve"> with population standard deviation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σ</m:t>
            </m:r>
          </m:e>
          <m:sup>
            <m:r>
              <m:rPr>
                <m:nor/>
              </m:rPr>
              <m:t>organ</m:t>
            </m:r>
          </m:sup>
        </m:sSup>
      </m:oMath>
      <w:r>
        <w:t>, the architectural distance is:</w:t>
      </w:r>
    </w:p>
    <w:p w14:paraId="2975986C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arch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  <m:sup>
                              <m:r>
                                <m:rPr>
                                  <m:nor/>
                                </m:rPr>
                                <m:t>GELLS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  <m:sup>
                              <m:r>
                                <m:rPr>
                                  <m:nor/>
                                </m:rPr>
                                <m:t>organ</m:t>
                              </m:r>
                            </m:sup>
                          </m:sSubSup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  <m:sup>
                              <m:r>
                                <m:rPr>
                                  <m:nor/>
                                </m:rPr>
                                <m:t>organ</m:t>
                              </m:r>
                            </m:sup>
                          </m:sSub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1F65383C" w14:textId="77777777" w:rsidR="007145CE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are importance weights. Log-transforms are applied to scale-dependent quantities (Tb.Th, Tb.Sp, </w:t>
      </w:r>
      <m:oMath>
        <m:r>
          <w:rPr>
            <w:rFonts w:ascii="Cambria Math" w:hAnsi="Cambria Math"/>
          </w:rPr>
          <m:t>k</m:t>
        </m:r>
      </m:oMath>
      <w:r>
        <w:t xml:space="preserve">, </w:t>
      </w:r>
      <m:oMath>
        <m:r>
          <w:rPr>
            <w:rFonts w:ascii="Cambria Math" w:hAnsi="Cambria Math"/>
          </w:rPr>
          <m:t>ξ</m:t>
        </m:r>
      </m:oMath>
      <w:r>
        <w:t>) before computing the distance, so that fractional deviations are penalized equally across scales:</w:t>
      </w:r>
    </w:p>
    <w:p w14:paraId="092B16D7" w14:textId="77777777" w:rsidR="007145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for scale-dependent descriptors</m:t>
          </m:r>
        </m:oMath>
      </m:oMathPara>
    </w:p>
    <w:p w14:paraId="5517DCB1" w14:textId="77777777" w:rsidR="007145CE" w:rsidRDefault="00000000">
      <w:pPr>
        <w:pStyle w:val="Heading3"/>
      </w:pPr>
      <w:bookmarkStart w:id="34" w:name="organ-system-targets"/>
      <w:bookmarkEnd w:id="33"/>
      <w:r>
        <w:t>7.3 Organ System Targets</w:t>
      </w:r>
    </w:p>
    <w:p w14:paraId="0F7A610C" w14:textId="77777777" w:rsidR="007145CE" w:rsidRDefault="00000000">
      <w:pPr>
        <w:pStyle w:val="FirstParagraph"/>
      </w:pPr>
      <w:r>
        <w:t>Representative architectural parameters for potential scaffold targets are summarized below. Values are drawn from quantitative histomorphometry and micro-CT studies.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52"/>
        <w:gridCol w:w="752"/>
        <w:gridCol w:w="1722"/>
        <w:gridCol w:w="1830"/>
        <w:gridCol w:w="2045"/>
        <w:gridCol w:w="430"/>
        <w:gridCol w:w="2045"/>
      </w:tblGrid>
      <w:tr w:rsidR="007145CE" w14:paraId="42965007" w14:textId="77777777" w:rsidTr="00714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22" w:type="dxa"/>
          </w:tcPr>
          <w:p w14:paraId="64E9CEAB" w14:textId="77777777" w:rsidR="007145CE" w:rsidRDefault="00000000">
            <w:pPr>
              <w:pStyle w:val="Compact"/>
            </w:pPr>
            <w:r>
              <w:t>Organ</w:t>
            </w:r>
          </w:p>
        </w:tc>
        <w:tc>
          <w:tcPr>
            <w:tcW w:w="622" w:type="dxa"/>
          </w:tcPr>
          <w:p w14:paraId="78AA50A2" w14:textId="77777777" w:rsidR="007145CE" w:rsidRDefault="00000000">
            <w:pPr>
              <w:pStyle w:val="Compact"/>
            </w:pPr>
            <w:r>
              <w:t>BV/TV</w:t>
            </w:r>
          </w:p>
        </w:tc>
        <w:tc>
          <w:tcPr>
            <w:tcW w:w="1423" w:type="dxa"/>
          </w:tcPr>
          <w:p w14:paraId="38E440E0" w14:textId="77777777" w:rsidR="007145CE" w:rsidRDefault="00000000">
            <w:pPr>
              <w:pStyle w:val="Compact"/>
            </w:pPr>
            <w:r>
              <w:t>Tb.Th (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m)</w:t>
            </w:r>
          </w:p>
        </w:tc>
        <w:tc>
          <w:tcPr>
            <w:tcW w:w="1512" w:type="dxa"/>
          </w:tcPr>
          <w:p w14:paraId="2799AC1D" w14:textId="77777777" w:rsidR="007145CE" w:rsidRDefault="00000000">
            <w:pPr>
              <w:pStyle w:val="Compact"/>
            </w:pPr>
            <w:r>
              <w:t>Tb.Sp (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m)</w:t>
            </w:r>
          </w:p>
        </w:tc>
        <w:tc>
          <w:tcPr>
            <w:tcW w:w="1690" w:type="dxa"/>
          </w:tcPr>
          <w:p w14:paraId="4D6CAD1A" w14:textId="77777777" w:rsidR="007145CE" w:rsidRDefault="00000000">
            <w:pPr>
              <w:pStyle w:val="Compact"/>
            </w:pPr>
            <w:r>
              <w:t>Tb.N (mm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  <w:r>
              <w:t>)</w:t>
            </w:r>
          </w:p>
        </w:tc>
        <w:tc>
          <w:tcPr>
            <w:tcW w:w="355" w:type="dxa"/>
          </w:tcPr>
          <w:p w14:paraId="5D398CBE" w14:textId="77777777" w:rsidR="007145CE" w:rsidRDefault="00000000">
            <w:pPr>
              <w:pStyle w:val="Compact"/>
            </w:pPr>
            <w:r>
              <w:t>DA</w:t>
            </w:r>
          </w:p>
        </w:tc>
        <w:tc>
          <w:tcPr>
            <w:tcW w:w="1690" w:type="dxa"/>
          </w:tcPr>
          <w:p w14:paraId="03D94E1D" w14:textId="77777777" w:rsidR="007145CE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(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m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)</w:t>
            </w:r>
          </w:p>
        </w:tc>
      </w:tr>
      <w:tr w:rsidR="007145CE" w14:paraId="4D90D109" w14:textId="77777777">
        <w:tc>
          <w:tcPr>
            <w:tcW w:w="622" w:type="dxa"/>
          </w:tcPr>
          <w:p w14:paraId="1B88FDCD" w14:textId="77777777" w:rsidR="007145CE" w:rsidRDefault="00000000">
            <w:pPr>
              <w:pStyle w:val="Compact"/>
            </w:pPr>
            <w:r>
              <w:t>Trabecular bone (vertebral)</w:t>
            </w:r>
          </w:p>
        </w:tc>
        <w:tc>
          <w:tcPr>
            <w:tcW w:w="622" w:type="dxa"/>
          </w:tcPr>
          <w:p w14:paraId="717D7278" w14:textId="77777777" w:rsidR="007145CE" w:rsidRDefault="00000000">
            <w:pPr>
              <w:pStyle w:val="Compact"/>
            </w:pPr>
            <w:r>
              <w:t>0.12–0.25</w:t>
            </w:r>
          </w:p>
        </w:tc>
        <w:tc>
          <w:tcPr>
            <w:tcW w:w="1423" w:type="dxa"/>
          </w:tcPr>
          <w:p w14:paraId="749D4CFE" w14:textId="77777777" w:rsidR="007145CE" w:rsidRDefault="00000000">
            <w:pPr>
              <w:pStyle w:val="Compact"/>
            </w:pPr>
            <w:r>
              <w:t>100–200</w:t>
            </w:r>
          </w:p>
        </w:tc>
        <w:tc>
          <w:tcPr>
            <w:tcW w:w="1512" w:type="dxa"/>
          </w:tcPr>
          <w:p w14:paraId="519F9F96" w14:textId="77777777" w:rsidR="007145CE" w:rsidRDefault="00000000">
            <w:pPr>
              <w:pStyle w:val="Compact"/>
            </w:pPr>
            <w:r>
              <w:t>500–1000</w:t>
            </w:r>
          </w:p>
        </w:tc>
        <w:tc>
          <w:tcPr>
            <w:tcW w:w="1690" w:type="dxa"/>
          </w:tcPr>
          <w:p w14:paraId="73BA2C4F" w14:textId="77777777" w:rsidR="007145CE" w:rsidRDefault="00000000">
            <w:pPr>
              <w:pStyle w:val="Compact"/>
            </w:pPr>
            <w:r>
              <w:t>1.0–1.8</w:t>
            </w:r>
          </w:p>
        </w:tc>
        <w:tc>
          <w:tcPr>
            <w:tcW w:w="355" w:type="dxa"/>
          </w:tcPr>
          <w:p w14:paraId="4842C557" w14:textId="77777777" w:rsidR="007145CE" w:rsidRDefault="00000000">
            <w:pPr>
              <w:pStyle w:val="Compact"/>
            </w:pPr>
            <w:r>
              <w:t>0.3–0.7</w:t>
            </w:r>
          </w:p>
        </w:tc>
        <w:tc>
          <w:tcPr>
            <w:tcW w:w="1690" w:type="dxa"/>
          </w:tcPr>
          <w:p w14:paraId="449970FF" w14:textId="77777777" w:rsidR="007145CE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  <w:r>
              <w:t>–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  <w:tr w:rsidR="007145CE" w14:paraId="11172279" w14:textId="77777777">
        <w:tc>
          <w:tcPr>
            <w:tcW w:w="622" w:type="dxa"/>
          </w:tcPr>
          <w:p w14:paraId="47B01D69" w14:textId="77777777" w:rsidR="007145CE" w:rsidRDefault="00000000">
            <w:pPr>
              <w:pStyle w:val="Compact"/>
            </w:pPr>
            <w:r>
              <w:t>Lung alveoli</w:t>
            </w:r>
          </w:p>
        </w:tc>
        <w:tc>
          <w:tcPr>
            <w:tcW w:w="622" w:type="dxa"/>
          </w:tcPr>
          <w:p w14:paraId="4A652880" w14:textId="77777777" w:rsidR="007145CE" w:rsidRDefault="00000000">
            <w:pPr>
              <w:pStyle w:val="Compact"/>
            </w:pPr>
            <w:r>
              <w:t>0.10–0.15</w:t>
            </w:r>
          </w:p>
        </w:tc>
        <w:tc>
          <w:tcPr>
            <w:tcW w:w="1423" w:type="dxa"/>
          </w:tcPr>
          <w:p w14:paraId="25CF8ACC" w14:textId="77777777" w:rsidR="007145CE" w:rsidRDefault="00000000">
            <w:pPr>
              <w:pStyle w:val="Compact"/>
            </w:pPr>
            <w:r>
              <w:t>5–15</w:t>
            </w:r>
          </w:p>
        </w:tc>
        <w:tc>
          <w:tcPr>
            <w:tcW w:w="1512" w:type="dxa"/>
          </w:tcPr>
          <w:p w14:paraId="260C74D9" w14:textId="77777777" w:rsidR="007145CE" w:rsidRDefault="00000000">
            <w:pPr>
              <w:pStyle w:val="Compact"/>
            </w:pPr>
            <w:r>
              <w:t>100–300</w:t>
            </w:r>
          </w:p>
        </w:tc>
        <w:tc>
          <w:tcPr>
            <w:tcW w:w="1690" w:type="dxa"/>
          </w:tcPr>
          <w:p w14:paraId="46EB8046" w14:textId="77777777" w:rsidR="007145CE" w:rsidRDefault="00000000">
            <w:pPr>
              <w:pStyle w:val="Compact"/>
            </w:pPr>
            <w:r>
              <w:t>5–10</w:t>
            </w:r>
          </w:p>
        </w:tc>
        <w:tc>
          <w:tcPr>
            <w:tcW w:w="355" w:type="dxa"/>
          </w:tcPr>
          <w:p w14:paraId="53A4D64B" w14:textId="77777777" w:rsidR="007145CE" w:rsidRDefault="00000000">
            <w:pPr>
              <w:pStyle w:val="Compact"/>
            </w:pPr>
            <w:r>
              <w:t>0.1–0.3</w:t>
            </w:r>
          </w:p>
        </w:tc>
        <w:tc>
          <w:tcPr>
            <w:tcW w:w="1690" w:type="dxa"/>
          </w:tcPr>
          <w:p w14:paraId="75BDE56B" w14:textId="77777777" w:rsidR="007145CE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>–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</w:tc>
      </w:tr>
      <w:tr w:rsidR="007145CE" w14:paraId="49F2900F" w14:textId="77777777">
        <w:tc>
          <w:tcPr>
            <w:tcW w:w="622" w:type="dxa"/>
          </w:tcPr>
          <w:p w14:paraId="3F924550" w14:textId="77777777" w:rsidR="007145CE" w:rsidRDefault="00000000">
            <w:pPr>
              <w:pStyle w:val="Compact"/>
            </w:pPr>
            <w:r>
              <w:t>Liver (hepatic lobule)</w:t>
            </w:r>
          </w:p>
        </w:tc>
        <w:tc>
          <w:tcPr>
            <w:tcW w:w="622" w:type="dxa"/>
          </w:tcPr>
          <w:p w14:paraId="6979E13B" w14:textId="77777777" w:rsidR="007145CE" w:rsidRDefault="00000000">
            <w:pPr>
              <w:pStyle w:val="Compact"/>
            </w:pPr>
            <w:r>
              <w:t>0.80–0.90</w:t>
            </w:r>
          </w:p>
        </w:tc>
        <w:tc>
          <w:tcPr>
            <w:tcW w:w="1423" w:type="dxa"/>
          </w:tcPr>
          <w:p w14:paraId="03C2861B" w14:textId="77777777" w:rsidR="007145CE" w:rsidRDefault="00000000">
            <w:pPr>
              <w:pStyle w:val="Compact"/>
            </w:pPr>
            <w:r>
              <w:t>200–500</w:t>
            </w:r>
          </w:p>
        </w:tc>
        <w:tc>
          <w:tcPr>
            <w:tcW w:w="1512" w:type="dxa"/>
          </w:tcPr>
          <w:p w14:paraId="589F5BFA" w14:textId="77777777" w:rsidR="007145CE" w:rsidRDefault="00000000">
            <w:pPr>
              <w:pStyle w:val="Compact"/>
            </w:pPr>
            <w:r>
              <w:t>10–30 (sinusoid)</w:t>
            </w:r>
          </w:p>
        </w:tc>
        <w:tc>
          <w:tcPr>
            <w:tcW w:w="1690" w:type="dxa"/>
          </w:tcPr>
          <w:p w14:paraId="74985910" w14:textId="77777777" w:rsidR="007145CE" w:rsidRDefault="00000000">
            <w:pPr>
              <w:pStyle w:val="Compact"/>
            </w:pPr>
            <w:r>
              <w:t>2–4</w:t>
            </w:r>
          </w:p>
        </w:tc>
        <w:tc>
          <w:tcPr>
            <w:tcW w:w="355" w:type="dxa"/>
          </w:tcPr>
          <w:p w14:paraId="139DB373" w14:textId="77777777" w:rsidR="007145CE" w:rsidRDefault="00000000">
            <w:pPr>
              <w:pStyle w:val="Compact"/>
            </w:pPr>
            <w:r>
              <w:t>0.1–0.2</w:t>
            </w:r>
          </w:p>
        </w:tc>
        <w:tc>
          <w:tcPr>
            <w:tcW w:w="1690" w:type="dxa"/>
          </w:tcPr>
          <w:p w14:paraId="23FA0730" w14:textId="77777777" w:rsidR="007145CE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t>–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</w:tc>
      </w:tr>
      <w:tr w:rsidR="007145CE" w14:paraId="0FF7ADDC" w14:textId="77777777">
        <w:tc>
          <w:tcPr>
            <w:tcW w:w="622" w:type="dxa"/>
          </w:tcPr>
          <w:p w14:paraId="798D5E32" w14:textId="77777777" w:rsidR="007145CE" w:rsidRDefault="00000000">
            <w:pPr>
              <w:pStyle w:val="Compact"/>
            </w:pPr>
            <w:r>
              <w:t>Kidney cortex</w:t>
            </w:r>
          </w:p>
        </w:tc>
        <w:tc>
          <w:tcPr>
            <w:tcW w:w="622" w:type="dxa"/>
          </w:tcPr>
          <w:p w14:paraId="3F63A0B2" w14:textId="77777777" w:rsidR="007145CE" w:rsidRDefault="00000000">
            <w:pPr>
              <w:pStyle w:val="Compact"/>
            </w:pPr>
            <w:r>
              <w:t>0.70–0.85</w:t>
            </w:r>
          </w:p>
        </w:tc>
        <w:tc>
          <w:tcPr>
            <w:tcW w:w="1423" w:type="dxa"/>
          </w:tcPr>
          <w:p w14:paraId="6C18A228" w14:textId="77777777" w:rsidR="007145CE" w:rsidRDefault="00000000">
            <w:pPr>
              <w:pStyle w:val="Compact"/>
            </w:pPr>
            <w:r>
              <w:t>50–150</w:t>
            </w:r>
          </w:p>
        </w:tc>
        <w:tc>
          <w:tcPr>
            <w:tcW w:w="1512" w:type="dxa"/>
          </w:tcPr>
          <w:p w14:paraId="0811BC0A" w14:textId="77777777" w:rsidR="007145CE" w:rsidRDefault="00000000">
            <w:pPr>
              <w:pStyle w:val="Compact"/>
            </w:pPr>
            <w:r>
              <w:t>20–60</w:t>
            </w:r>
          </w:p>
        </w:tc>
        <w:tc>
          <w:tcPr>
            <w:tcW w:w="1690" w:type="dxa"/>
          </w:tcPr>
          <w:p w14:paraId="2B678781" w14:textId="77777777" w:rsidR="007145CE" w:rsidRDefault="00000000">
            <w:pPr>
              <w:pStyle w:val="Compact"/>
            </w:pPr>
            <w:r>
              <w:t>3–6</w:t>
            </w:r>
          </w:p>
        </w:tc>
        <w:tc>
          <w:tcPr>
            <w:tcW w:w="355" w:type="dxa"/>
          </w:tcPr>
          <w:p w14:paraId="3DC6185C" w14:textId="77777777" w:rsidR="007145CE" w:rsidRDefault="00000000">
            <w:pPr>
              <w:pStyle w:val="Compact"/>
            </w:pPr>
            <w:r>
              <w:t>0.2–0.4</w:t>
            </w:r>
          </w:p>
        </w:tc>
        <w:tc>
          <w:tcPr>
            <w:tcW w:w="1690" w:type="dxa"/>
          </w:tcPr>
          <w:p w14:paraId="73A1599C" w14:textId="77777777" w:rsidR="007145CE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t>–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7145CE" w14:paraId="265519EF" w14:textId="77777777">
        <w:tc>
          <w:tcPr>
            <w:tcW w:w="622" w:type="dxa"/>
          </w:tcPr>
          <w:p w14:paraId="2BD591E3" w14:textId="77777777" w:rsidR="007145CE" w:rsidRDefault="00000000">
            <w:pPr>
              <w:pStyle w:val="Compact"/>
            </w:pPr>
            <w:r>
              <w:t>Cardiac muscle</w:t>
            </w:r>
          </w:p>
        </w:tc>
        <w:tc>
          <w:tcPr>
            <w:tcW w:w="622" w:type="dxa"/>
          </w:tcPr>
          <w:p w14:paraId="3B4A7773" w14:textId="77777777" w:rsidR="007145CE" w:rsidRDefault="00000000">
            <w:pPr>
              <w:pStyle w:val="Compact"/>
            </w:pPr>
            <w:r>
              <w:t>0.75–0.85</w:t>
            </w:r>
          </w:p>
        </w:tc>
        <w:tc>
          <w:tcPr>
            <w:tcW w:w="1423" w:type="dxa"/>
          </w:tcPr>
          <w:p w14:paraId="32D54348" w14:textId="77777777" w:rsidR="007145CE" w:rsidRDefault="00000000">
            <w:pPr>
              <w:pStyle w:val="Compact"/>
            </w:pPr>
            <w:r>
              <w:t>10–25</w:t>
            </w:r>
          </w:p>
        </w:tc>
        <w:tc>
          <w:tcPr>
            <w:tcW w:w="1512" w:type="dxa"/>
          </w:tcPr>
          <w:p w14:paraId="3A82E617" w14:textId="77777777" w:rsidR="007145CE" w:rsidRDefault="00000000">
            <w:pPr>
              <w:pStyle w:val="Compact"/>
            </w:pPr>
            <w:r>
              <w:t>5–15</w:t>
            </w:r>
          </w:p>
        </w:tc>
        <w:tc>
          <w:tcPr>
            <w:tcW w:w="1690" w:type="dxa"/>
          </w:tcPr>
          <w:p w14:paraId="4AC1DE64" w14:textId="77777777" w:rsidR="007145CE" w:rsidRDefault="00000000">
            <w:pPr>
              <w:pStyle w:val="Compact"/>
            </w:pPr>
            <w:r>
              <w:t>10–20</w:t>
            </w:r>
          </w:p>
        </w:tc>
        <w:tc>
          <w:tcPr>
            <w:tcW w:w="355" w:type="dxa"/>
          </w:tcPr>
          <w:p w14:paraId="0A7D7A99" w14:textId="77777777" w:rsidR="007145CE" w:rsidRDefault="00000000">
            <w:pPr>
              <w:pStyle w:val="Compact"/>
            </w:pPr>
            <w:r>
              <w:t>0.5–0.</w:t>
            </w:r>
            <w:r>
              <w:lastRenderedPageBreak/>
              <w:t>8</w:t>
            </w:r>
          </w:p>
        </w:tc>
        <w:tc>
          <w:tcPr>
            <w:tcW w:w="1690" w:type="dxa"/>
          </w:tcPr>
          <w:p w14:paraId="0AD4F203" w14:textId="77777777" w:rsidR="007145CE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  <w:r>
              <w:t>–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</w:tc>
      </w:tr>
      <w:tr w:rsidR="007145CE" w14:paraId="0649BC59" w14:textId="77777777">
        <w:tc>
          <w:tcPr>
            <w:tcW w:w="622" w:type="dxa"/>
          </w:tcPr>
          <w:p w14:paraId="29D0AC2F" w14:textId="77777777" w:rsidR="007145CE" w:rsidRDefault="00000000">
            <w:pPr>
              <w:pStyle w:val="Compact"/>
            </w:pPr>
            <w:r>
              <w:t>Pancreatic islet</w:t>
            </w:r>
          </w:p>
        </w:tc>
        <w:tc>
          <w:tcPr>
            <w:tcW w:w="622" w:type="dxa"/>
          </w:tcPr>
          <w:p w14:paraId="456A500E" w14:textId="77777777" w:rsidR="007145CE" w:rsidRDefault="00000000">
            <w:pPr>
              <w:pStyle w:val="Compact"/>
            </w:pPr>
            <w:r>
              <w:t>0.60–0.75</w:t>
            </w:r>
          </w:p>
        </w:tc>
        <w:tc>
          <w:tcPr>
            <w:tcW w:w="1423" w:type="dxa"/>
          </w:tcPr>
          <w:p w14:paraId="1A8DFFC8" w14:textId="77777777" w:rsidR="007145CE" w:rsidRDefault="00000000">
            <w:pPr>
              <w:pStyle w:val="Compact"/>
            </w:pPr>
            <w:r>
              <w:t>30–80</w:t>
            </w:r>
          </w:p>
        </w:tc>
        <w:tc>
          <w:tcPr>
            <w:tcW w:w="1512" w:type="dxa"/>
          </w:tcPr>
          <w:p w14:paraId="549A5533" w14:textId="77777777" w:rsidR="007145CE" w:rsidRDefault="00000000">
            <w:pPr>
              <w:pStyle w:val="Compact"/>
            </w:pPr>
            <w:r>
              <w:t>10–30</w:t>
            </w:r>
          </w:p>
        </w:tc>
        <w:tc>
          <w:tcPr>
            <w:tcW w:w="1690" w:type="dxa"/>
          </w:tcPr>
          <w:p w14:paraId="3FC3728C" w14:textId="77777777" w:rsidR="007145CE" w:rsidRDefault="00000000">
            <w:pPr>
              <w:pStyle w:val="Compact"/>
            </w:pPr>
            <w:r>
              <w:t>5–10</w:t>
            </w:r>
          </w:p>
        </w:tc>
        <w:tc>
          <w:tcPr>
            <w:tcW w:w="355" w:type="dxa"/>
          </w:tcPr>
          <w:p w14:paraId="480E49B6" w14:textId="77777777" w:rsidR="007145CE" w:rsidRDefault="00000000">
            <w:pPr>
              <w:pStyle w:val="Compact"/>
            </w:pPr>
            <w:r>
              <w:t>0.1–0.2</w:t>
            </w:r>
          </w:p>
        </w:tc>
        <w:tc>
          <w:tcPr>
            <w:tcW w:w="1690" w:type="dxa"/>
          </w:tcPr>
          <w:p w14:paraId="672EB7B0" w14:textId="77777777" w:rsidR="007145CE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t>–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7145CE" w14:paraId="2863DE87" w14:textId="77777777">
        <w:tc>
          <w:tcPr>
            <w:tcW w:w="622" w:type="dxa"/>
          </w:tcPr>
          <w:p w14:paraId="55CB5AE7" w14:textId="77777777" w:rsidR="007145CE" w:rsidRDefault="00000000">
            <w:pPr>
              <w:pStyle w:val="Compact"/>
            </w:pPr>
            <w:r>
              <w:t>Intestinal mucosa</w:t>
            </w:r>
          </w:p>
        </w:tc>
        <w:tc>
          <w:tcPr>
            <w:tcW w:w="622" w:type="dxa"/>
          </w:tcPr>
          <w:p w14:paraId="756B2F13" w14:textId="77777777" w:rsidR="007145CE" w:rsidRDefault="00000000">
            <w:pPr>
              <w:pStyle w:val="Compact"/>
            </w:pPr>
            <w:r>
              <w:t>0.50–0.70</w:t>
            </w:r>
          </w:p>
        </w:tc>
        <w:tc>
          <w:tcPr>
            <w:tcW w:w="1423" w:type="dxa"/>
          </w:tcPr>
          <w:p w14:paraId="2BF9DFF8" w14:textId="77777777" w:rsidR="007145CE" w:rsidRDefault="00000000">
            <w:pPr>
              <w:pStyle w:val="Compact"/>
            </w:pPr>
            <w:r>
              <w:t>50–200</w:t>
            </w:r>
          </w:p>
        </w:tc>
        <w:tc>
          <w:tcPr>
            <w:tcW w:w="1512" w:type="dxa"/>
          </w:tcPr>
          <w:p w14:paraId="2C11EE82" w14:textId="77777777" w:rsidR="007145CE" w:rsidRDefault="00000000">
            <w:pPr>
              <w:pStyle w:val="Compact"/>
            </w:pPr>
            <w:r>
              <w:t>30–100</w:t>
            </w:r>
          </w:p>
        </w:tc>
        <w:tc>
          <w:tcPr>
            <w:tcW w:w="1690" w:type="dxa"/>
          </w:tcPr>
          <w:p w14:paraId="46F7BAA8" w14:textId="77777777" w:rsidR="007145CE" w:rsidRDefault="00000000">
            <w:pPr>
              <w:pStyle w:val="Compact"/>
            </w:pPr>
            <w:r>
              <w:t>3–8</w:t>
            </w:r>
          </w:p>
        </w:tc>
        <w:tc>
          <w:tcPr>
            <w:tcW w:w="355" w:type="dxa"/>
          </w:tcPr>
          <w:p w14:paraId="28C0992C" w14:textId="77777777" w:rsidR="007145CE" w:rsidRDefault="00000000">
            <w:pPr>
              <w:pStyle w:val="Compact"/>
            </w:pPr>
            <w:r>
              <w:t>0.3–0.6</w:t>
            </w:r>
          </w:p>
        </w:tc>
        <w:tc>
          <w:tcPr>
            <w:tcW w:w="1690" w:type="dxa"/>
          </w:tcPr>
          <w:p w14:paraId="7FC0F42A" w14:textId="77777777" w:rsidR="007145CE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  <w:r>
              <w:t>–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</w:tbl>
    <w:p w14:paraId="1A5CB0D8" w14:textId="77777777" w:rsidR="007145CE" w:rsidRDefault="00000000">
      <w:pPr>
        <w:pStyle w:val="BodyText"/>
      </w:pPr>
      <w:r>
        <w:t>These targets define the feasible design space: scaffold parameters (</w:t>
      </w:r>
      <m:oMath>
        <m:r>
          <w:rPr>
            <w:rFonts w:ascii="Cambria Math" w:hAnsi="Cambria Math"/>
          </w:rPr>
          <m:t>E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granule size distribution, cell density) should be chosen to minimize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arch</m:t>
            </m:r>
          </m:sub>
        </m:sSub>
      </m:oMath>
      <w:r>
        <w:t xml:space="preserve"> for the desired organ.</w:t>
      </w:r>
    </w:p>
    <w:p w14:paraId="70F9131A" w14:textId="77777777" w:rsidR="007145CE" w:rsidRDefault="001050FF">
      <w:r>
        <w:rPr>
          <w:noProof/>
        </w:rPr>
      </w:r>
      <w:r>
        <w:pict w14:anchorId="4345DEFE">
          <v:rect id="Horizontal Line 8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E5EB4F9" w14:textId="77777777" w:rsidR="007145CE" w:rsidRDefault="00000000">
      <w:pPr>
        <w:pStyle w:val="Heading2"/>
      </w:pPr>
      <w:bookmarkStart w:id="35" w:name="coupled-prediction-chain"/>
      <w:bookmarkEnd w:id="31"/>
      <w:bookmarkEnd w:id="34"/>
      <w:r>
        <w:t>8. Coupled Prediction Chain</w:t>
      </w:r>
    </w:p>
    <w:p w14:paraId="325176EB" w14:textId="77777777" w:rsidR="007145CE" w:rsidRDefault="00000000">
      <w:pPr>
        <w:pStyle w:val="FirstParagraph"/>
      </w:pPr>
      <w:r>
        <w:t>The complete prediction chain links substrate stiffness to scaffold transport properties and tissue architecture:</w:t>
      </w:r>
    </w:p>
    <w:p w14:paraId="7A4BF3A1" w14:textId="77777777" w:rsidR="007145CE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cell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 k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 Q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,Δ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ECE54A9" w14:textId="77777777" w:rsidR="007145CE" w:rsidRDefault="00000000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Q</m:t>
        </m:r>
      </m:oMath>
      <w:r>
        <w:t xml:space="preserve"> is the volumetric flow rate through the scaffold under a pressure drop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</m:t>
        </m:r>
      </m:oMath>
      <w:r>
        <w:t>. Each arrow represents a functional dependence:</w:t>
      </w:r>
    </w:p>
    <w:p w14:paraId="5C92A3E5" w14:textId="77777777" w:rsidR="007145CE" w:rsidRDefault="00000000">
      <w:pPr>
        <w:numPr>
          <w:ilvl w:val="0"/>
          <w:numId w:val="6"/>
        </w:numPr>
      </w:pPr>
      <w:r>
        <w:rPr>
          <w:b/>
          <w:bCs/>
        </w:rPr>
        <w:t>Stiffness sensing.</w:t>
      </w:r>
      <w:r>
        <w:t xml:space="preserve"> The substrate modulus </w:t>
      </w:r>
      <m:oMath>
        <m:r>
          <w:rPr>
            <w:rFonts w:ascii="Cambria Math" w:hAnsi="Cambria Math"/>
          </w:rPr>
          <m:t>E</m:t>
        </m:r>
      </m:oMath>
      <w:r>
        <w:t xml:space="preserve"> determines the motor-clutch engagement </w:t>
      </w:r>
      <m:oMath>
        <m:r>
          <w:rPr>
            <w:rFonts w:ascii="Cambria Math" w:hAnsi="Cambria Math"/>
          </w:rPr>
          <m:t>β</m:t>
        </m:r>
      </m:oMath>
      <w:r>
        <w:t xml:space="preserve"> and hence the cell traction force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cell</m:t>
            </m:r>
          </m:sub>
        </m:sSub>
      </m:oMath>
      <w:r>
        <w:t>.</w:t>
      </w:r>
    </w:p>
    <w:p w14:paraId="00A6737E" w14:textId="77777777" w:rsidR="007145CE" w:rsidRDefault="00000000">
      <w:pPr>
        <w:numPr>
          <w:ilvl w:val="0"/>
          <w:numId w:val="6"/>
        </w:numPr>
      </w:pPr>
      <w:r>
        <w:rPr>
          <w:b/>
          <w:bCs/>
        </w:rPr>
        <w:t>Force generation.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cell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emerges from the combination of motor-clutch force, bridge kinetics, and focal adhesion maturation.</w:t>
      </w:r>
    </w:p>
    <w:p w14:paraId="0CA96073" w14:textId="77777777" w:rsidR="007145CE" w:rsidRDefault="00000000">
      <w:pPr>
        <w:numPr>
          <w:ilvl w:val="0"/>
          <w:numId w:val="6"/>
        </w:numPr>
      </w:pPr>
      <w:r>
        <w:rPr>
          <w:b/>
          <w:bCs/>
        </w:rPr>
        <w:t>Compaction.</w:t>
      </w:r>
      <w:r>
        <w:t xml:space="preserve"> The net stress drives compaction: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increases (functional granules pack more densely) while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decreases.</w:t>
      </w:r>
    </w:p>
    <w:p w14:paraId="58E5CDAE" w14:textId="77777777" w:rsidR="007145CE" w:rsidRDefault="00000000">
      <w:pPr>
        <w:numPr>
          <w:ilvl w:val="0"/>
          <w:numId w:val="6"/>
        </w:numPr>
      </w:pPr>
      <w:r>
        <w:rPr>
          <w:b/>
          <w:bCs/>
        </w:rPr>
        <w:t>Transport.</w:t>
      </w:r>
      <w:r>
        <w:t xml:space="preserve"> Permeability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tracks porosity through Kozeny-Carman, closing the loop between scaffold mechanics and nutrient transport.</w:t>
      </w:r>
    </w:p>
    <w:p w14:paraId="03107082" w14:textId="77777777" w:rsidR="007145CE" w:rsidRDefault="00000000">
      <w:pPr>
        <w:numPr>
          <w:ilvl w:val="0"/>
          <w:numId w:val="6"/>
        </w:numPr>
      </w:pPr>
      <w:r>
        <w:rPr>
          <w:b/>
          <w:bCs/>
        </w:rPr>
        <w:t>Architecture.</w:t>
      </w:r>
      <w:r>
        <w:t xml:space="preserve"> The final microstructure is characterized by the descriptor vector </w:t>
      </w:r>
      <m:oMath>
        <m:r>
          <m:rPr>
            <m:sty m:val="b"/>
          </m:rPr>
          <w:rPr>
            <w:rFonts w:ascii="Cambria Math" w:hAnsi="Cambria Math"/>
          </w:rPr>
          <m:t>d</m:t>
        </m:r>
      </m:oMath>
      <w:r>
        <w:t xml:space="preserve">, which is compared to organ targets via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arch</m:t>
            </m:r>
          </m:sub>
        </m:sSub>
      </m:oMath>
      <w:r>
        <w:t>.</w:t>
      </w:r>
    </w:p>
    <w:p w14:paraId="28B8D065" w14:textId="77777777" w:rsidR="007145CE" w:rsidRDefault="00000000">
      <w:pPr>
        <w:pStyle w:val="FirstParagraph"/>
      </w:pPr>
      <w:r>
        <w:t>The DEM simulation resolves steps 1–4 directly at the particle scale. The mean-field model (Section 5) provides an analytical approximation that enables rapid parameter exploration before committing to full DEM runs.</w:t>
      </w:r>
    </w:p>
    <w:p w14:paraId="551F69C4" w14:textId="77777777" w:rsidR="007145CE" w:rsidRDefault="001050FF">
      <w:r>
        <w:rPr>
          <w:noProof/>
        </w:rPr>
      </w:r>
      <w:r>
        <w:pict w14:anchorId="7E53587B">
          <v:rect id="Horizontal Line 9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1296217" w14:textId="77777777" w:rsidR="007145CE" w:rsidRDefault="00000000">
      <w:pPr>
        <w:pStyle w:val="Heading2"/>
      </w:pPr>
      <w:bookmarkStart w:id="36" w:name="experimental-validation"/>
      <w:bookmarkEnd w:id="35"/>
      <w:r>
        <w:t>9. Experimental Validation</w:t>
      </w:r>
    </w:p>
    <w:p w14:paraId="1BA4D6B0" w14:textId="77777777" w:rsidR="007145CE" w:rsidRDefault="00000000">
      <w:pPr>
        <w:pStyle w:val="FirstParagraph"/>
      </w:pPr>
      <w:r>
        <w:t>The model connects to experiments through four independent measurement modalities:</w:t>
      </w:r>
    </w:p>
    <w:p w14:paraId="1DCCD89C" w14:textId="77777777" w:rsidR="007145CE" w:rsidRDefault="00000000">
      <w:pPr>
        <w:pStyle w:val="BodyText"/>
      </w:pPr>
      <w:r>
        <w:rPr>
          <w:b/>
          <w:bCs/>
        </w:rPr>
        <w:t>Phase evolution from volumetric imaging.</w:t>
      </w:r>
      <w:r>
        <w:t xml:space="preserve"> Confocal or light-sheet microscopy provides time-resolved maps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Spatially averaged trajectories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can be fit to the mean-field ODE (Section 5) to extract the effective viscosity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 and cell stress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cell</m:t>
            </m:r>
          </m:sub>
        </m:sSub>
      </m:oMath>
      <w:r>
        <w:t xml:space="preserve">. The ratio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cell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 gives the compaction rate directly.</w:t>
      </w:r>
    </w:p>
    <w:p w14:paraId="569E94C3" w14:textId="77777777" w:rsidR="007145CE" w:rsidRDefault="00000000">
      <w:pPr>
        <w:pStyle w:val="BodyText"/>
      </w:pPr>
      <w:r>
        <w:rPr>
          <w:b/>
          <w:bCs/>
        </w:rPr>
        <w:t>Interstitial flow from particle image velocimetry.</w:t>
      </w:r>
      <w:r>
        <w:t xml:space="preserve"> PIV with fluorescent microspheres in the void space yields the pore-scale velocity field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Spatial averaging gives the Darcy flux, from which the permeability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extracted. Comparison to the Kozeny-Carman prediction (Section 4.4) validates the relationship between compaction and transport.</w:t>
      </w:r>
    </w:p>
    <w:p w14:paraId="1CBDF09B" w14:textId="77777777" w:rsidR="007145CE" w:rsidRDefault="00000000">
      <w:pPr>
        <w:pStyle w:val="BodyText"/>
      </w:pPr>
      <w:r>
        <w:rPr>
          <w:b/>
          <w:bCs/>
        </w:rPr>
        <w:t>Cell traction from traction force microscopy.</w:t>
      </w:r>
      <w:r>
        <w:t xml:space="preserve"> Cells on hydrogel substrates of known stiffness generate displacement fields measurable by embedded fluorescent beads. Inversion yields the traction stress, which can be fit to the motor-clutch model (Section 2.5) to determine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stall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opt</m:t>
            </m:r>
          </m:sub>
        </m:sSub>
      </m:oMath>
      <w:r>
        <w:t xml:space="preserve">, and the engagement curve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DC43623" w14:textId="77777777" w:rsidR="007145CE" w:rsidRDefault="00000000">
      <w:pPr>
        <w:pStyle w:val="BodyText"/>
      </w:pPr>
      <w:r>
        <w:rPr>
          <w:b/>
          <w:bCs/>
        </w:rPr>
        <w:t>Tissue architecture from histology and micro-CT.</w:t>
      </w:r>
      <w:r>
        <w:t xml:space="preserve"> Histological sections or micro-CT reconstructions of both the scaffold and native organ tissue yield the descriptor vectors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d</m:t>
            </m:r>
          </m:e>
          <m:sup>
            <m:r>
              <m:rPr>
                <m:nor/>
              </m:rPr>
              <m:t>GELLS</m:t>
            </m:r>
          </m:sup>
        </m:sSup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d</m:t>
            </m:r>
          </m:e>
          <m:sup>
            <m:r>
              <m:rPr>
                <m:nor/>
              </m:rPr>
              <m:t>organ</m:t>
            </m:r>
          </m:sup>
        </m:sSup>
      </m:oMath>
      <w:r>
        <w:t xml:space="preserve">. The architectural distance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arch</m:t>
            </m:r>
          </m:sub>
        </m:sSub>
      </m:oMath>
      <w:r>
        <w:t xml:space="preserve"> (Section 7.2) quantifies how closely the scaffold recapitulates the target organ. Minimization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arch</m:t>
            </m:r>
          </m:sub>
        </m:sSub>
      </m:oMath>
      <w:r>
        <w:t xml:space="preserve"> over the design parameter space constitutes the scaffold optimization problem.</w:t>
      </w:r>
    </w:p>
    <w:p w14:paraId="2B5DAFA9" w14:textId="77777777" w:rsidR="007145CE" w:rsidRDefault="001050FF">
      <w:r>
        <w:rPr>
          <w:noProof/>
        </w:rPr>
      </w:r>
      <w:r>
        <w:pict w14:anchorId="2368EDE2">
          <v:rect id="Horizontal Line 10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428C328" w14:textId="77777777" w:rsidR="007145CE" w:rsidRDefault="00000000">
      <w:pPr>
        <w:pStyle w:val="Heading2"/>
      </w:pPr>
      <w:bookmarkStart w:id="37" w:name="X6cf79913d371687ff16d3b073ae1c96af62c33c"/>
      <w:bookmarkEnd w:id="36"/>
      <w:r>
        <w:t>10. Computational Results: 24-Run Design of Experiments</w:t>
      </w:r>
    </w:p>
    <w:p w14:paraId="6AD3AA6C" w14:textId="77777777" w:rsidR="007145CE" w:rsidRDefault="00000000">
      <w:pPr>
        <w:pStyle w:val="FirstParagraph"/>
      </w:pPr>
      <w:r>
        <w:t xml:space="preserve">The complete mathematical framework was applied to a 24-run fractional factorial Design of Experiments (DOE). Each run simulates 3D granular scaffold compaction in a </w:t>
      </w:r>
      <m:oMath>
        <m:r>
          <w:rPr>
            <w:rFonts w:ascii="Cambria Math" w:hAnsi="Cambria Math"/>
          </w:rPr>
          <m:t>514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514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514 μ</m:t>
        </m:r>
        <m:r>
          <m:rPr>
            <m:nor/>
          </m:rPr>
          <m:t>m</m:t>
        </m:r>
      </m:oMath>
      <w:r>
        <w:t xml:space="preserve"> domain with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​208</m:t>
        </m:r>
      </m:oMath>
      <w:r>
        <w:t xml:space="preserve"> superellipsoidal granules over 10–38 hours. The five DOE factors are: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7"/>
        <w:gridCol w:w="1038"/>
        <w:gridCol w:w="1234"/>
        <w:gridCol w:w="1285"/>
      </w:tblGrid>
      <w:tr w:rsidR="007145CE" w14:paraId="5F53D434" w14:textId="77777777" w:rsidTr="00714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3DE9B8" w14:textId="77777777" w:rsidR="007145CE" w:rsidRDefault="00000000">
            <w:pPr>
              <w:pStyle w:val="Compact"/>
            </w:pPr>
            <w:r>
              <w:t>Factor</w:t>
            </w:r>
          </w:p>
        </w:tc>
        <w:tc>
          <w:tcPr>
            <w:tcW w:w="0" w:type="auto"/>
          </w:tcPr>
          <w:p w14:paraId="433C14AE" w14:textId="77777777" w:rsidR="007145CE" w:rsidRDefault="00000000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72F23312" w14:textId="77777777" w:rsidR="007145CE" w:rsidRDefault="00000000">
            <w:pPr>
              <w:pStyle w:val="Compact"/>
            </w:pPr>
            <w:r>
              <w:t>Low Level</w:t>
            </w:r>
          </w:p>
        </w:tc>
        <w:tc>
          <w:tcPr>
            <w:tcW w:w="0" w:type="auto"/>
          </w:tcPr>
          <w:p w14:paraId="509E2DE7" w14:textId="77777777" w:rsidR="007145CE" w:rsidRDefault="00000000">
            <w:pPr>
              <w:pStyle w:val="Compact"/>
            </w:pPr>
            <w:r>
              <w:t>High Level</w:t>
            </w:r>
          </w:p>
        </w:tc>
      </w:tr>
      <w:tr w:rsidR="007145CE" w14:paraId="537EB660" w14:textId="77777777">
        <w:tc>
          <w:tcPr>
            <w:tcW w:w="0" w:type="auto"/>
          </w:tcPr>
          <w:p w14:paraId="2E00AE33" w14:textId="77777777" w:rsidR="007145CE" w:rsidRDefault="00000000">
            <w:pPr>
              <w:pStyle w:val="Compact"/>
            </w:pPr>
            <w:r>
              <w:t>A: Modulus</w:t>
            </w:r>
          </w:p>
        </w:tc>
        <w:tc>
          <w:tcPr>
            <w:tcW w:w="0" w:type="auto"/>
          </w:tcPr>
          <w:p w14:paraId="6B27B62A" w14:textId="77777777" w:rsidR="007145CE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</w:tcPr>
          <w:p w14:paraId="6D8448B7" w14:textId="77777777" w:rsidR="007145CE" w:rsidRDefault="00000000">
            <w:pPr>
              <w:pStyle w:val="Compact"/>
            </w:pPr>
            <w:r>
              <w:t>2 kPa</w:t>
            </w:r>
          </w:p>
        </w:tc>
        <w:tc>
          <w:tcPr>
            <w:tcW w:w="0" w:type="auto"/>
          </w:tcPr>
          <w:p w14:paraId="06E67E0F" w14:textId="77777777" w:rsidR="007145CE" w:rsidRDefault="00000000">
            <w:pPr>
              <w:pStyle w:val="Compact"/>
            </w:pPr>
            <w:r>
              <w:t>50 kPa</w:t>
            </w:r>
          </w:p>
        </w:tc>
      </w:tr>
      <w:tr w:rsidR="007145CE" w14:paraId="79FC5198" w14:textId="77777777">
        <w:tc>
          <w:tcPr>
            <w:tcW w:w="0" w:type="auto"/>
          </w:tcPr>
          <w:p w14:paraId="3F27722B" w14:textId="77777777" w:rsidR="007145CE" w:rsidRDefault="00000000">
            <w:pPr>
              <w:pStyle w:val="Compact"/>
            </w:pPr>
            <w:r>
              <w:t>B: Cells/granule</w:t>
            </w:r>
          </w:p>
        </w:tc>
        <w:tc>
          <w:tcPr>
            <w:tcW w:w="0" w:type="auto"/>
          </w:tcPr>
          <w:p w14:paraId="6753A7AC" w14:textId="77777777" w:rsidR="007145C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F545957" w14:textId="77777777" w:rsidR="007145C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1F408A4" w14:textId="77777777" w:rsidR="007145CE" w:rsidRDefault="00000000">
            <w:pPr>
              <w:pStyle w:val="Compact"/>
            </w:pPr>
            <w:r>
              <w:t>8</w:t>
            </w:r>
          </w:p>
        </w:tc>
      </w:tr>
      <w:tr w:rsidR="007145CE" w14:paraId="6B589909" w14:textId="77777777">
        <w:tc>
          <w:tcPr>
            <w:tcW w:w="0" w:type="auto"/>
          </w:tcPr>
          <w:p w14:paraId="5FD32223" w14:textId="77777777" w:rsidR="007145CE" w:rsidRDefault="00000000">
            <w:pPr>
              <w:pStyle w:val="Compact"/>
            </w:pPr>
            <w:r>
              <w:t>C: Functional radius</w:t>
            </w:r>
          </w:p>
        </w:tc>
        <w:tc>
          <w:tcPr>
            <w:tcW w:w="0" w:type="auto"/>
          </w:tcPr>
          <w:p w14:paraId="41D18489" w14:textId="77777777" w:rsidR="007145C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DD66439" w14:textId="77777777" w:rsidR="007145CE" w:rsidRDefault="00000000">
            <w:pPr>
              <w:pStyle w:val="Compact"/>
            </w:pPr>
            <w:r>
              <w:t xml:space="preserve">30 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m</w:t>
            </w:r>
          </w:p>
        </w:tc>
        <w:tc>
          <w:tcPr>
            <w:tcW w:w="0" w:type="auto"/>
          </w:tcPr>
          <w:p w14:paraId="44CF9A20" w14:textId="77777777" w:rsidR="007145CE" w:rsidRDefault="00000000">
            <w:pPr>
              <w:pStyle w:val="Compact"/>
            </w:pPr>
            <w:r>
              <w:t xml:space="preserve">60 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m</w:t>
            </w:r>
          </w:p>
        </w:tc>
      </w:tr>
      <w:tr w:rsidR="007145CE" w14:paraId="6B2D5F69" w14:textId="77777777">
        <w:tc>
          <w:tcPr>
            <w:tcW w:w="0" w:type="auto"/>
          </w:tcPr>
          <w:p w14:paraId="40F3DF30" w14:textId="77777777" w:rsidR="007145CE" w:rsidRDefault="00000000">
            <w:pPr>
              <w:pStyle w:val="Compact"/>
            </w:pPr>
            <w:r>
              <w:t>D: Composition</w:t>
            </w:r>
          </w:p>
        </w:tc>
        <w:tc>
          <w:tcPr>
            <w:tcW w:w="0" w:type="auto"/>
          </w:tcPr>
          <w:p w14:paraId="66C60416" w14:textId="77777777" w:rsidR="007145C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5979D0D" w14:textId="77777777" w:rsidR="007145CE" w:rsidRDefault="00000000">
            <w:pPr>
              <w:pStyle w:val="Compact"/>
            </w:pPr>
            <w:r>
              <w:t>0.2/0.4</w:t>
            </w:r>
          </w:p>
        </w:tc>
        <w:tc>
          <w:tcPr>
            <w:tcW w:w="0" w:type="auto"/>
          </w:tcPr>
          <w:p w14:paraId="3470EC7E" w14:textId="77777777" w:rsidR="007145CE" w:rsidRDefault="00000000">
            <w:pPr>
              <w:pStyle w:val="Compact"/>
            </w:pPr>
            <w:r>
              <w:t>0.4/0.2</w:t>
            </w:r>
          </w:p>
        </w:tc>
      </w:tr>
      <w:tr w:rsidR="007145CE" w14:paraId="4E46E2C6" w14:textId="77777777">
        <w:tc>
          <w:tcPr>
            <w:tcW w:w="0" w:type="auto"/>
          </w:tcPr>
          <w:p w14:paraId="46B21D7B" w14:textId="77777777" w:rsidR="007145CE" w:rsidRDefault="00000000">
            <w:pPr>
              <w:pStyle w:val="Compact"/>
            </w:pPr>
            <w:r>
              <w:t>E: Adhesion/friction</w:t>
            </w:r>
          </w:p>
        </w:tc>
        <w:tc>
          <w:tcPr>
            <w:tcW w:w="0" w:type="auto"/>
          </w:tcPr>
          <w:p w14:paraId="3A21C589" w14:textId="77777777" w:rsidR="007145CE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adh</m:t>
                  </m:r>
                </m:sub>
              </m:sSub>
            </m:oMath>
            <w: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</w:p>
        </w:tc>
        <w:tc>
          <w:tcPr>
            <w:tcW w:w="0" w:type="auto"/>
          </w:tcPr>
          <w:p w14:paraId="3CA3E80B" w14:textId="77777777" w:rsidR="007145CE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7709CE93" w14:textId="77777777" w:rsidR="007145CE" w:rsidRDefault="00000000">
            <w:pPr>
              <w:pStyle w:val="Compact"/>
            </w:pPr>
            <w:r>
              <w:t>high</w:t>
            </w:r>
          </w:p>
        </w:tc>
      </w:tr>
    </w:tbl>
    <w:p w14:paraId="1076AC0F" w14:textId="77777777" w:rsidR="007145CE" w:rsidRDefault="00000000">
      <w:pPr>
        <w:pStyle w:val="Heading3"/>
      </w:pPr>
      <w:bookmarkStart w:id="38" w:name="mean-field-model-fitting"/>
      <w:r>
        <w:lastRenderedPageBreak/>
        <w:t>10.1 Mean-Field Model Fitting</w:t>
      </w:r>
    </w:p>
    <w:p w14:paraId="33B38508" w14:textId="77777777" w:rsidR="007145CE" w:rsidRDefault="00000000">
      <w:pPr>
        <w:pStyle w:val="FirstParagraph"/>
      </w:pPr>
      <w:r>
        <w:t xml:space="preserve">The mean-field ODE (Section 5) was fitted to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time series of each run by optimizing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nor/>
              </m:rPr>
              <m:t>eff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α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All 23 runs with data produced convergent fits. Runs with high substrate stiffness (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 xml:space="preserve"> kPa) exhibited the strongest compaction: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6"/>
        <w:gridCol w:w="1225"/>
        <w:gridCol w:w="779"/>
        <w:gridCol w:w="5123"/>
        <w:gridCol w:w="1893"/>
      </w:tblGrid>
      <w:tr w:rsidR="007145CE" w14:paraId="5483DAF4" w14:textId="77777777" w:rsidTr="00714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0" w:type="dxa"/>
          </w:tcPr>
          <w:p w14:paraId="0903459F" w14:textId="77777777" w:rsidR="007145CE" w:rsidRDefault="00000000">
            <w:pPr>
              <w:pStyle w:val="Compact"/>
            </w:pPr>
            <w:r>
              <w:t>Run</w:t>
            </w:r>
          </w:p>
        </w:tc>
        <w:tc>
          <w:tcPr>
            <w:tcW w:w="1013" w:type="dxa"/>
          </w:tcPr>
          <w:p w14:paraId="5D92A3B3" w14:textId="77777777" w:rsidR="007145CE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E</m:t>
              </m:r>
            </m:oMath>
            <w:r>
              <w:t xml:space="preserve"> (kPa)</w:t>
            </w:r>
          </w:p>
        </w:tc>
        <w:tc>
          <w:tcPr>
            <w:tcW w:w="644" w:type="dxa"/>
          </w:tcPr>
          <w:p w14:paraId="5D9EFA0B" w14:textId="77777777" w:rsidR="007145CE" w:rsidRDefault="00000000">
            <w:pPr>
              <w:pStyle w:val="Compac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236" w:type="dxa"/>
          </w:tcPr>
          <w:p w14:paraId="36EB670A" w14:textId="77777777" w:rsidR="007145CE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</m:oMath>
            <w:r>
              <w:t xml:space="preserve"> (nN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</m:oMath>
            <w:r>
              <w:t>h/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m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)</w:t>
            </w:r>
          </w:p>
        </w:tc>
        <w:tc>
          <w:tcPr>
            <w:tcW w:w="1565" w:type="dxa"/>
          </w:tcPr>
          <w:p w14:paraId="7FDCCBD0" w14:textId="77777777" w:rsidR="007145CE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</w:tr>
      <w:tr w:rsidR="007145CE" w14:paraId="512DD4CC" w14:textId="77777777">
        <w:tc>
          <w:tcPr>
            <w:tcW w:w="460" w:type="dxa"/>
          </w:tcPr>
          <w:p w14:paraId="6173AE29" w14:textId="77777777" w:rsidR="007145CE" w:rsidRDefault="00000000">
            <w:pPr>
              <w:pStyle w:val="Compact"/>
            </w:pPr>
            <w:r>
              <w:t>DOE_10</w:t>
            </w:r>
          </w:p>
        </w:tc>
        <w:tc>
          <w:tcPr>
            <w:tcW w:w="1013" w:type="dxa"/>
          </w:tcPr>
          <w:p w14:paraId="2DED4DD6" w14:textId="77777777" w:rsidR="007145CE" w:rsidRDefault="00000000">
            <w:pPr>
              <w:pStyle w:val="Compact"/>
            </w:pPr>
            <w:r>
              <w:t>50</w:t>
            </w:r>
          </w:p>
        </w:tc>
        <w:tc>
          <w:tcPr>
            <w:tcW w:w="644" w:type="dxa"/>
          </w:tcPr>
          <w:p w14:paraId="03CFD6A6" w14:textId="77777777" w:rsidR="007145CE" w:rsidRDefault="00000000">
            <w:pPr>
              <w:pStyle w:val="Compact"/>
            </w:pPr>
            <w:r>
              <w:t>0.630</w:t>
            </w:r>
          </w:p>
        </w:tc>
        <w:tc>
          <w:tcPr>
            <w:tcW w:w="4236" w:type="dxa"/>
          </w:tcPr>
          <w:p w14:paraId="576A51DB" w14:textId="77777777" w:rsidR="007145CE" w:rsidRDefault="00000000">
            <w:pPr>
              <w:pStyle w:val="Compact"/>
            </w:pPr>
            <w:r>
              <w:t>0.0023</w:t>
            </w:r>
          </w:p>
        </w:tc>
        <w:tc>
          <w:tcPr>
            <w:tcW w:w="1565" w:type="dxa"/>
          </w:tcPr>
          <w:p w14:paraId="24D31733" w14:textId="77777777" w:rsidR="007145CE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0.040</m:t>
                </m:r>
              </m:oMath>
            </m:oMathPara>
          </w:p>
        </w:tc>
      </w:tr>
      <w:tr w:rsidR="007145CE" w14:paraId="5BCDD914" w14:textId="77777777">
        <w:tc>
          <w:tcPr>
            <w:tcW w:w="460" w:type="dxa"/>
          </w:tcPr>
          <w:p w14:paraId="664964B5" w14:textId="77777777" w:rsidR="007145CE" w:rsidRDefault="00000000">
            <w:pPr>
              <w:pStyle w:val="Compact"/>
            </w:pPr>
            <w:r>
              <w:t>DOE_22</w:t>
            </w:r>
          </w:p>
        </w:tc>
        <w:tc>
          <w:tcPr>
            <w:tcW w:w="1013" w:type="dxa"/>
          </w:tcPr>
          <w:p w14:paraId="28A9625A" w14:textId="77777777" w:rsidR="007145CE" w:rsidRDefault="00000000">
            <w:pPr>
              <w:pStyle w:val="Compact"/>
            </w:pPr>
            <w:r>
              <w:t>50</w:t>
            </w:r>
          </w:p>
        </w:tc>
        <w:tc>
          <w:tcPr>
            <w:tcW w:w="644" w:type="dxa"/>
          </w:tcPr>
          <w:p w14:paraId="052ECE12" w14:textId="77777777" w:rsidR="007145CE" w:rsidRDefault="00000000">
            <w:pPr>
              <w:pStyle w:val="Compact"/>
            </w:pPr>
            <w:r>
              <w:t>0.200</w:t>
            </w:r>
          </w:p>
        </w:tc>
        <w:tc>
          <w:tcPr>
            <w:tcW w:w="4236" w:type="dxa"/>
          </w:tcPr>
          <w:p w14:paraId="6FA444EE" w14:textId="77777777" w:rsidR="007145CE" w:rsidRDefault="00000000">
            <w:pPr>
              <w:pStyle w:val="Compact"/>
            </w:pPr>
            <w:r>
              <w:t>0.0054</w:t>
            </w:r>
          </w:p>
        </w:tc>
        <w:tc>
          <w:tcPr>
            <w:tcW w:w="1565" w:type="dxa"/>
          </w:tcPr>
          <w:p w14:paraId="0BF547BD" w14:textId="77777777" w:rsidR="007145CE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0.061</m:t>
                </m:r>
              </m:oMath>
            </m:oMathPara>
          </w:p>
        </w:tc>
      </w:tr>
      <w:tr w:rsidR="007145CE" w14:paraId="1D107179" w14:textId="77777777">
        <w:tc>
          <w:tcPr>
            <w:tcW w:w="460" w:type="dxa"/>
          </w:tcPr>
          <w:p w14:paraId="030DAFAF" w14:textId="77777777" w:rsidR="007145CE" w:rsidRDefault="00000000">
            <w:pPr>
              <w:pStyle w:val="Compact"/>
            </w:pPr>
            <w:r>
              <w:t>DOE_08</w:t>
            </w:r>
          </w:p>
        </w:tc>
        <w:tc>
          <w:tcPr>
            <w:tcW w:w="1013" w:type="dxa"/>
          </w:tcPr>
          <w:p w14:paraId="3F1970C4" w14:textId="77777777" w:rsidR="007145CE" w:rsidRDefault="00000000">
            <w:pPr>
              <w:pStyle w:val="Compact"/>
            </w:pPr>
            <w:r>
              <w:t>50</w:t>
            </w:r>
          </w:p>
        </w:tc>
        <w:tc>
          <w:tcPr>
            <w:tcW w:w="644" w:type="dxa"/>
          </w:tcPr>
          <w:p w14:paraId="4E07DEC7" w14:textId="77777777" w:rsidR="007145CE" w:rsidRDefault="00000000">
            <w:pPr>
              <w:pStyle w:val="Compact"/>
            </w:pPr>
            <w:r>
              <w:t>0.185</w:t>
            </w:r>
          </w:p>
        </w:tc>
        <w:tc>
          <w:tcPr>
            <w:tcW w:w="4236" w:type="dxa"/>
          </w:tcPr>
          <w:p w14:paraId="1EFA6564" w14:textId="77777777" w:rsidR="007145CE" w:rsidRDefault="00000000">
            <w:pPr>
              <w:pStyle w:val="Compact"/>
            </w:pPr>
            <w:r>
              <w:t>0.0043</w:t>
            </w:r>
          </w:p>
        </w:tc>
        <w:tc>
          <w:tcPr>
            <w:tcW w:w="1565" w:type="dxa"/>
          </w:tcPr>
          <w:p w14:paraId="071072CA" w14:textId="77777777" w:rsidR="007145CE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0.073</m:t>
                </m:r>
              </m:oMath>
            </m:oMathPara>
          </w:p>
        </w:tc>
      </w:tr>
      <w:tr w:rsidR="007145CE" w14:paraId="3FD9E4DA" w14:textId="77777777">
        <w:tc>
          <w:tcPr>
            <w:tcW w:w="460" w:type="dxa"/>
          </w:tcPr>
          <w:p w14:paraId="1ADDEA61" w14:textId="77777777" w:rsidR="007145CE" w:rsidRDefault="00000000">
            <w:pPr>
              <w:pStyle w:val="Compact"/>
            </w:pPr>
            <w:r>
              <w:t>DOE_18</w:t>
            </w:r>
          </w:p>
        </w:tc>
        <w:tc>
          <w:tcPr>
            <w:tcW w:w="1013" w:type="dxa"/>
          </w:tcPr>
          <w:p w14:paraId="4E754049" w14:textId="77777777" w:rsidR="007145CE" w:rsidRDefault="00000000">
            <w:pPr>
              <w:pStyle w:val="Compact"/>
            </w:pPr>
            <w:r>
              <w:t>50</w:t>
            </w:r>
          </w:p>
        </w:tc>
        <w:tc>
          <w:tcPr>
            <w:tcW w:w="644" w:type="dxa"/>
          </w:tcPr>
          <w:p w14:paraId="03302171" w14:textId="77777777" w:rsidR="007145CE" w:rsidRDefault="00000000">
            <w:pPr>
              <w:pStyle w:val="Compact"/>
            </w:pPr>
            <w:r>
              <w:t>0.121</w:t>
            </w:r>
          </w:p>
        </w:tc>
        <w:tc>
          <w:tcPr>
            <w:tcW w:w="4236" w:type="dxa"/>
          </w:tcPr>
          <w:p w14:paraId="687F9542" w14:textId="77777777" w:rsidR="007145CE" w:rsidRDefault="00000000">
            <w:pPr>
              <w:pStyle w:val="Compact"/>
            </w:pPr>
            <w:r>
              <w:t>0.0049</w:t>
            </w:r>
          </w:p>
        </w:tc>
        <w:tc>
          <w:tcPr>
            <w:tcW w:w="1565" w:type="dxa"/>
          </w:tcPr>
          <w:p w14:paraId="018E0170" w14:textId="77777777" w:rsidR="007145CE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0.141</m:t>
                </m:r>
              </m:oMath>
            </m:oMathPara>
          </w:p>
        </w:tc>
      </w:tr>
      <w:tr w:rsidR="007145CE" w14:paraId="2A232CE7" w14:textId="77777777">
        <w:tc>
          <w:tcPr>
            <w:tcW w:w="460" w:type="dxa"/>
          </w:tcPr>
          <w:p w14:paraId="252D5DC2" w14:textId="77777777" w:rsidR="007145CE" w:rsidRDefault="00000000">
            <w:pPr>
              <w:pStyle w:val="Compact"/>
            </w:pPr>
            <w:r>
              <w:t>DOE_12</w:t>
            </w:r>
          </w:p>
        </w:tc>
        <w:tc>
          <w:tcPr>
            <w:tcW w:w="1013" w:type="dxa"/>
          </w:tcPr>
          <w:p w14:paraId="5872A342" w14:textId="77777777" w:rsidR="007145CE" w:rsidRDefault="00000000">
            <w:pPr>
              <w:pStyle w:val="Compact"/>
            </w:pPr>
            <w:r>
              <w:t>50</w:t>
            </w:r>
          </w:p>
        </w:tc>
        <w:tc>
          <w:tcPr>
            <w:tcW w:w="644" w:type="dxa"/>
          </w:tcPr>
          <w:p w14:paraId="40EDF544" w14:textId="77777777" w:rsidR="007145CE" w:rsidRDefault="00000000">
            <w:pPr>
              <w:pStyle w:val="Compact"/>
            </w:pPr>
            <w:r>
              <w:t>0.122</w:t>
            </w:r>
          </w:p>
        </w:tc>
        <w:tc>
          <w:tcPr>
            <w:tcW w:w="4236" w:type="dxa"/>
          </w:tcPr>
          <w:p w14:paraId="03E706D3" w14:textId="77777777" w:rsidR="007145CE" w:rsidRDefault="00000000">
            <w:pPr>
              <w:pStyle w:val="Compact"/>
            </w:pPr>
            <w:r>
              <w:t>0.013</w:t>
            </w:r>
          </w:p>
        </w:tc>
        <w:tc>
          <w:tcPr>
            <w:tcW w:w="1565" w:type="dxa"/>
          </w:tcPr>
          <w:p w14:paraId="50FD8D51" w14:textId="77777777" w:rsidR="007145CE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0.035</m:t>
                </m:r>
              </m:oMath>
            </m:oMathPara>
          </w:p>
        </w:tc>
      </w:tr>
    </w:tbl>
    <w:p w14:paraId="227E508B" w14:textId="77777777" w:rsidR="007145CE" w:rsidRDefault="00000000">
      <w:pPr>
        <w:pStyle w:val="BodyText"/>
      </w:pPr>
      <w:r>
        <w:t xml:space="preserve">The fitted effective viscosity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nor/>
              </m:rPr>
              <m:t>eff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>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nN</w:t>
      </w:r>
      <m:oMath>
        <m:r>
          <m:rPr>
            <m:sty m:val="p"/>
          </m:rPr>
          <w:rPr>
            <w:rFonts w:ascii="Cambria Math" w:hAnsi="Cambria Math"/>
          </w:rPr>
          <m:t>⋅</m:t>
        </m:r>
      </m:oMath>
      <w:r>
        <w:t>h/</w:t>
      </w:r>
      <m:oMath>
        <m:r>
          <w:rPr>
            <w:rFonts w:ascii="Cambria Math" w:hAnsi="Cambria Math"/>
          </w:rPr>
          <m:t>μ</m:t>
        </m:r>
      </m:oMath>
      <w:r>
        <w:t>m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​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consistent with the overdamped granular assembly at low volume fractions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0.92</m:t>
        </m:r>
      </m:oMath>
      <w:r>
        <w:t xml:space="preserve">). Runs with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kPa produced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0.2</m:t>
        </m:r>
      </m:oMath>
      <w:r>
        <w:t>, yielding weaker cell traction and minimal net compaction (</w:t>
      </w:r>
      <m:oMath>
        <m:r>
          <m:rPr>
            <m:sty m:val="p"/>
          </m:rPr>
          <w:rPr>
            <w:rFonts w:ascii="Cambria Math" w:hAnsi="Cambria Math"/>
          </w:rPr>
          <m:t>|Δ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0.01</m:t>
        </m:r>
      </m:oMath>
      <w:r>
        <w:t>), which limits the ODE’s predictive power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).</w:t>
      </w:r>
    </w:p>
    <w:p w14:paraId="62E4A7EE" w14:textId="77777777" w:rsidR="007145CE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D686F73" wp14:editId="0A887A3A">
            <wp:extent cx="5029200" cy="3106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4194" w14:textId="77777777" w:rsidR="007145CE" w:rsidRDefault="00000000">
      <w:pPr>
        <w:jc w:val="center"/>
      </w:pPr>
      <w:r>
        <w:rPr>
          <w:i/>
          <w:color w:val="505050"/>
          <w:sz w:val="18"/>
        </w:rPr>
        <w:t>Figure 1. DOE_10 compaction fit (E = 50.0 kPa, R² = 0.630).</w:t>
      </w:r>
    </w:p>
    <w:p w14:paraId="3FDFCF17" w14:textId="77777777" w:rsidR="007145CE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0C5C8AE" wp14:editId="2EB08B3C">
            <wp:extent cx="5029200" cy="31405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76A8" w14:textId="77777777" w:rsidR="007145CE" w:rsidRDefault="00000000">
      <w:pPr>
        <w:jc w:val="center"/>
      </w:pPr>
      <w:r>
        <w:rPr>
          <w:i/>
          <w:color w:val="505050"/>
          <w:sz w:val="18"/>
        </w:rPr>
        <w:t>Figure 2. DOE_22 compaction fit (E = 50.0 kPa, R² = 0.200).</w:t>
      </w:r>
    </w:p>
    <w:p w14:paraId="2D8CC195" w14:textId="77777777" w:rsidR="007145CE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5DA5656" wp14:editId="642EFD67">
            <wp:extent cx="5029200" cy="3106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2D99" w14:textId="77777777" w:rsidR="007145CE" w:rsidRDefault="00000000">
      <w:pPr>
        <w:jc w:val="center"/>
      </w:pPr>
      <w:r>
        <w:rPr>
          <w:i/>
          <w:color w:val="505050"/>
          <w:sz w:val="18"/>
        </w:rPr>
        <w:t>Figure 3. DOE_08 compaction fit (E = 50.0 kPa, R² = 0.185).</w:t>
      </w:r>
    </w:p>
    <w:p w14:paraId="58411076" w14:textId="77777777" w:rsidR="007145CE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9BC424A" wp14:editId="464803F9">
            <wp:extent cx="5029200" cy="3143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5C74" w14:textId="77777777" w:rsidR="007145CE" w:rsidRDefault="00000000">
      <w:pPr>
        <w:jc w:val="center"/>
      </w:pPr>
      <w:r>
        <w:rPr>
          <w:i/>
          <w:color w:val="505050"/>
          <w:sz w:val="18"/>
        </w:rPr>
        <w:t>Figure 4. DOE_12 compaction fit (E = 50.0 kPa, R² = 0.122).</w:t>
      </w:r>
    </w:p>
    <w:p w14:paraId="41E4A2F6" w14:textId="77777777" w:rsidR="007145CE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3CD414C" wp14:editId="044ED249">
            <wp:extent cx="5029200" cy="31758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8284" w14:textId="77777777" w:rsidR="007145CE" w:rsidRDefault="00000000">
      <w:pPr>
        <w:jc w:val="center"/>
      </w:pPr>
      <w:r>
        <w:rPr>
          <w:i/>
          <w:color w:val="505050"/>
          <w:sz w:val="18"/>
        </w:rPr>
        <w:t>Figure 5. DOE_18 compaction fit (E = 50.0 kPa, R² = 0.121).</w:t>
      </w:r>
    </w:p>
    <w:p w14:paraId="41380946" w14:textId="77777777" w:rsidR="007145CE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EE5ED8B" wp14:editId="35D6E216">
            <wp:extent cx="5029200" cy="3110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9DEB" w14:textId="77777777" w:rsidR="007145CE" w:rsidRDefault="00000000">
      <w:pPr>
        <w:jc w:val="center"/>
      </w:pPr>
      <w:r>
        <w:rPr>
          <w:i/>
          <w:color w:val="505050"/>
          <w:sz w:val="18"/>
        </w:rPr>
        <w:t>Figure 6. DOE_10 stress balance -- cell stress vs. resistance.</w:t>
      </w:r>
    </w:p>
    <w:p w14:paraId="345F11E5" w14:textId="77777777" w:rsidR="007145CE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FAC31BF" wp14:editId="5BFD385D">
            <wp:extent cx="5029200" cy="20642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49A5" w14:textId="77777777" w:rsidR="007145CE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C6828AC" wp14:editId="62ECFCA3">
            <wp:extent cx="5029200" cy="40360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ta_collap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3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1568" w14:textId="77777777" w:rsidR="007145CE" w:rsidRDefault="00000000">
      <w:pPr>
        <w:jc w:val="center"/>
      </w:pPr>
      <w:r>
        <w:rPr>
          <w:i/>
          <w:color w:val="505050"/>
          <w:sz w:val="18"/>
        </w:rPr>
        <w:t>Figure 9. Data collapse by motor-clutch engagement ratio β.</w:t>
      </w:r>
    </w:p>
    <w:p w14:paraId="5CEE2825" w14:textId="77777777" w:rsidR="007145CE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8A4F539" wp14:editId="2B6056C9">
            <wp:extent cx="5029200" cy="201348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_scal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0CE7" w14:textId="77777777" w:rsidR="007145CE" w:rsidRDefault="00000000">
      <w:pPr>
        <w:jc w:val="center"/>
      </w:pPr>
      <w:r>
        <w:rPr>
          <w:i/>
          <w:color w:val="505050"/>
          <w:sz w:val="18"/>
        </w:rPr>
        <w:t>Figure 10. Compaction scaling with cellular capillary number Ca.</w:t>
      </w:r>
    </w:p>
    <w:p w14:paraId="5306BE40" w14:textId="77777777" w:rsidR="007145CE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9EE3703" wp14:editId="32C12756">
            <wp:extent cx="5029200" cy="389741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mming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9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9044" w14:textId="77777777" w:rsidR="007145CE" w:rsidRDefault="00000000">
      <w:pPr>
        <w:jc w:val="center"/>
      </w:pPr>
      <w:r>
        <w:rPr>
          <w:i/>
          <w:color w:val="505050"/>
          <w:sz w:val="18"/>
        </w:rPr>
        <w:t>Figure 11. Jamming diagram: compaction vs. φ_solid/φ_J.</w:t>
      </w:r>
    </w:p>
    <w:p w14:paraId="37545393" w14:textId="77777777" w:rsidR="007145CE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70EDF64" wp14:editId="509CCE4D">
            <wp:extent cx="5029200" cy="559739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ance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9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0432" w14:textId="77777777" w:rsidR="007145CE" w:rsidRDefault="00000000">
      <w:pPr>
        <w:jc w:val="center"/>
      </w:pPr>
      <w:r>
        <w:rPr>
          <w:i/>
          <w:color w:val="505050"/>
          <w:sz w:val="18"/>
        </w:rPr>
        <w:t>Figure 17. Architectural distance heatmap: DOE runs vs. 7 organ targets.</w:t>
      </w:r>
    </w:p>
    <w:p w14:paraId="4308CB2E" w14:textId="77777777" w:rsidR="007145CE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AA34B0C" wp14:editId="5582D47D">
            <wp:extent cx="5029200" cy="405102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scape_trabecular_bo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7575" w14:textId="77777777" w:rsidR="007145CE" w:rsidRDefault="00000000">
      <w:pPr>
        <w:jc w:val="center"/>
      </w:pPr>
      <w:r>
        <w:rPr>
          <w:i/>
          <w:color w:val="505050"/>
          <w:sz w:val="18"/>
        </w:rPr>
        <w:t>Figure 18. Optimization landscape for trabecular bone target.</w:t>
      </w:r>
    </w:p>
    <w:p w14:paraId="7311E9DC" w14:textId="77777777" w:rsidR="007145CE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71EA40B" wp14:editId="0D87EB4D">
            <wp:extent cx="5029200" cy="201891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sition_effec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8D64" w14:textId="77777777" w:rsidR="007145CE" w:rsidRDefault="00000000">
      <w:pPr>
        <w:jc w:val="center"/>
      </w:pPr>
      <w:r>
        <w:rPr>
          <w:i/>
          <w:color w:val="505050"/>
          <w:sz w:val="18"/>
        </w:rPr>
        <w:t>Figure 12. Effect of composition ratio on compaction.</w:t>
      </w:r>
    </w:p>
    <w:p w14:paraId="344E0188" w14:textId="77777777" w:rsidR="007145CE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25AB061" wp14:editId="5C2D570C">
            <wp:extent cx="5029200" cy="12999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tor_main_effec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9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8DD5" w14:textId="77777777" w:rsidR="007145CE" w:rsidRDefault="00000000">
      <w:pPr>
        <w:jc w:val="center"/>
      </w:pPr>
      <w:r>
        <w:rPr>
          <w:i/>
          <w:color w:val="505050"/>
          <w:sz w:val="18"/>
        </w:rPr>
        <w:t>Figure 13. DOE main effects of 5 factors on Δφ_f.</w:t>
      </w:r>
    </w:p>
    <w:p w14:paraId="4A56EC89" w14:textId="77777777" w:rsidR="007145CE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2715115" wp14:editId="604077C8">
            <wp:extent cx="5029200" cy="51847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tor_interac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1A8A" w14:textId="77777777" w:rsidR="007145CE" w:rsidRDefault="00000000">
      <w:pPr>
        <w:jc w:val="center"/>
      </w:pPr>
      <w:r>
        <w:rPr>
          <w:i/>
          <w:color w:val="505050"/>
          <w:sz w:val="18"/>
        </w:rPr>
        <w:t>Figure 14. DOE factor interaction effects.</w:t>
      </w:r>
    </w:p>
    <w:p w14:paraId="08AFE0A6" w14:textId="77777777" w:rsidR="007145CE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44015BD" wp14:editId="498EC495">
            <wp:extent cx="5029200" cy="622499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ensionless_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2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02D7" w14:textId="77777777" w:rsidR="007145CE" w:rsidRDefault="00000000">
      <w:pPr>
        <w:jc w:val="center"/>
      </w:pPr>
      <w:r>
        <w:rPr>
          <w:i/>
          <w:color w:val="505050"/>
          <w:sz w:val="18"/>
        </w:rPr>
        <w:t>Figure 15. Dimensionless analysis dashboard (all groups).</w:t>
      </w:r>
    </w:p>
    <w:p w14:paraId="585BD755" w14:textId="77777777" w:rsidR="007145CE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5186891" wp14:editId="14702D63">
            <wp:extent cx="5029200" cy="399340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spa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9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C0ED" w14:textId="77777777" w:rsidR="007145CE" w:rsidRDefault="00000000">
      <w:pPr>
        <w:jc w:val="center"/>
      </w:pPr>
      <w:r>
        <w:rPr>
          <w:i/>
          <w:color w:val="505050"/>
          <w:sz w:val="18"/>
        </w:rPr>
        <w:t>Figure 16. Phase space trajectories across DOE.</w:t>
      </w:r>
    </w:p>
    <w:p w14:paraId="58D63743" w14:textId="77777777" w:rsidR="007145CE" w:rsidRDefault="00000000">
      <w:pPr>
        <w:jc w:val="center"/>
      </w:pPr>
      <w:r>
        <w:rPr>
          <w:i/>
          <w:color w:val="505050"/>
          <w:sz w:val="18"/>
        </w:rPr>
        <w:t>Figure 7. DOE_10 Kozeny-Carman permeability evolution.</w:t>
      </w:r>
    </w:p>
    <w:p w14:paraId="2D12E626" w14:textId="77777777" w:rsidR="007145CE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E89F6F9" wp14:editId="7DD47749">
            <wp:extent cx="5029200" cy="31050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0D5B" w14:textId="77777777" w:rsidR="007145CE" w:rsidRDefault="00000000">
      <w:pPr>
        <w:jc w:val="center"/>
      </w:pPr>
      <w:r>
        <w:rPr>
          <w:i/>
          <w:color w:val="505050"/>
          <w:sz w:val="18"/>
        </w:rPr>
        <w:t>Figure 8. DOE_10 three-phase volume fraction evolution.</w:t>
      </w:r>
    </w:p>
    <w:p w14:paraId="215135D3" w14:textId="77777777" w:rsidR="007145CE" w:rsidRDefault="00000000">
      <w:pPr>
        <w:pStyle w:val="Heading3"/>
      </w:pPr>
      <w:bookmarkStart w:id="39" w:name="coarse-grained-continuum-quantities"/>
      <w:bookmarkEnd w:id="38"/>
      <w:r>
        <w:lastRenderedPageBreak/>
        <w:t>10.2 Coarse-Grained Continuum Quantities</w:t>
      </w:r>
    </w:p>
    <w:p w14:paraId="438AAA5B" w14:textId="77777777" w:rsidR="007145CE" w:rsidRDefault="00000000">
      <w:pPr>
        <w:pStyle w:val="FirstParagraph"/>
      </w:pPr>
      <w:r>
        <w:t>The Love–Weber stress tensor (Section 3.1), strain-rate tensor (Section 3.2), and effective viscosity (Section 3.3) were extracted from all 22 runs with snapshot data. Key findings:</w:t>
      </w:r>
    </w:p>
    <w:p w14:paraId="39B64292" w14:textId="77777777" w:rsidR="007145C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Contact pressure</w:t>
      </w:r>
      <w:r>
        <w:t xml:space="preserve"> ranges from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|∼</m:t>
        </m:r>
        <m:r>
          <w:rPr>
            <w:rFonts w:ascii="Cambria Math" w:hAnsi="Cambria Math"/>
          </w:rPr>
          <m:t>0.01</m:t>
        </m:r>
      </m:oMath>
      <w:r>
        <w:t xml:space="preserve"> kPa (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kPa runs) to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|∼</m:t>
        </m:r>
        <m:r>
          <w:rPr>
            <w:rFonts w:ascii="Cambria Math" w:hAnsi="Cambria Math"/>
          </w:rPr>
          <m:t>2</m:t>
        </m:r>
      </m:oMath>
      <w:r>
        <w:t xml:space="preserve"> kPa (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 xml:space="preserve"> kPa runs), scaling approximately linearly with modulus.</w:t>
      </w:r>
    </w:p>
    <w:p w14:paraId="2024A8E4" w14:textId="77777777" w:rsidR="007145C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Coordination number</w:t>
      </w:r>
      <w:r>
        <w:t xml:space="preserve"> at the final timepoint: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0.13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1.67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High-adhesion, high-modulus runs (DOE_08, DOE_18) reach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1.4</m:t>
        </m:r>
      </m:oMath>
      <w:r>
        <w:t xml:space="preserve">, approaching the frictional jamming onset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4</m:t>
        </m:r>
      </m:oMath>
      <w:r>
        <w:t xml:space="preserve"> from below.</w:t>
      </w:r>
    </w:p>
    <w:p w14:paraId="3970021A" w14:textId="77777777" w:rsidR="007145CE" w:rsidRDefault="00000000">
      <w:pPr>
        <w:pStyle w:val="Compact"/>
        <w:numPr>
          <w:ilvl w:val="0"/>
          <w:numId w:val="7"/>
        </w:numPr>
      </w:pPr>
      <w:r>
        <w:t>Pressure relaxation is pronounced: initial contact stresses decay by 50–90% over the simulation duration as the packing equilibrates under cell-driven forces.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83"/>
        <w:gridCol w:w="1778"/>
        <w:gridCol w:w="1778"/>
        <w:gridCol w:w="1095"/>
        <w:gridCol w:w="4242"/>
      </w:tblGrid>
      <w:tr w:rsidR="007145CE" w14:paraId="60785F2A" w14:textId="77777777" w:rsidTr="00714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5" w:type="dxa"/>
          </w:tcPr>
          <w:p w14:paraId="190D8008" w14:textId="77777777" w:rsidR="007145CE" w:rsidRDefault="00000000">
            <w:pPr>
              <w:pStyle w:val="Compact"/>
            </w:pPr>
            <w:r>
              <w:t>Run</w:t>
            </w:r>
          </w:p>
        </w:tc>
        <w:tc>
          <w:tcPr>
            <w:tcW w:w="1470" w:type="dxa"/>
          </w:tcPr>
          <w:p w14:paraId="35F56B8E" w14:textId="77777777" w:rsidR="007145CE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t xml:space="preserve"> (kPa)</w:t>
            </w:r>
          </w:p>
        </w:tc>
        <w:tc>
          <w:tcPr>
            <w:tcW w:w="1470" w:type="dxa"/>
          </w:tcPr>
          <w:p w14:paraId="232BE65A" w14:textId="77777777" w:rsidR="007145CE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>
              <w:t xml:space="preserve"> (kPa)</w:t>
            </w:r>
          </w:p>
        </w:tc>
        <w:tc>
          <w:tcPr>
            <w:tcW w:w="905" w:type="dxa"/>
          </w:tcPr>
          <w:p w14:paraId="6630D446" w14:textId="77777777" w:rsidR="007145C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3507" w:type="dxa"/>
          </w:tcPr>
          <w:p w14:paraId="7A4C6980" w14:textId="77777777" w:rsidR="007145CE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nor/>
                    </m:rPr>
                    <m:t>vM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>
              <w:t xml:space="preserve"> (kPa)</w:t>
            </w:r>
          </w:p>
        </w:tc>
      </w:tr>
      <w:tr w:rsidR="007145CE" w14:paraId="57804C88" w14:textId="77777777">
        <w:tc>
          <w:tcPr>
            <w:tcW w:w="565" w:type="dxa"/>
          </w:tcPr>
          <w:p w14:paraId="04E7BE48" w14:textId="77777777" w:rsidR="007145CE" w:rsidRDefault="00000000">
            <w:pPr>
              <w:pStyle w:val="Compact"/>
            </w:pPr>
            <w:r>
              <w:t>DOE_08</w:t>
            </w:r>
          </w:p>
        </w:tc>
        <w:tc>
          <w:tcPr>
            <w:tcW w:w="1470" w:type="dxa"/>
          </w:tcPr>
          <w:p w14:paraId="497B7279" w14:textId="77777777" w:rsidR="007145CE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1.94</m:t>
                </m:r>
              </m:oMath>
            </m:oMathPara>
          </w:p>
        </w:tc>
        <w:tc>
          <w:tcPr>
            <w:tcW w:w="1470" w:type="dxa"/>
          </w:tcPr>
          <w:p w14:paraId="1FE36D24" w14:textId="77777777" w:rsidR="007145CE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0.09</m:t>
                </m:r>
              </m:oMath>
            </m:oMathPara>
          </w:p>
        </w:tc>
        <w:tc>
          <w:tcPr>
            <w:tcW w:w="905" w:type="dxa"/>
          </w:tcPr>
          <w:p w14:paraId="72DEC81B" w14:textId="77777777" w:rsidR="007145CE" w:rsidRDefault="00000000">
            <w:pPr>
              <w:pStyle w:val="Compact"/>
            </w:pPr>
            <w:r>
              <w:t>1.67</w:t>
            </w:r>
          </w:p>
        </w:tc>
        <w:tc>
          <w:tcPr>
            <w:tcW w:w="3507" w:type="dxa"/>
          </w:tcPr>
          <w:p w14:paraId="67AF9F54" w14:textId="77777777" w:rsidR="007145CE" w:rsidRDefault="00000000">
            <w:pPr>
              <w:pStyle w:val="Compact"/>
            </w:pPr>
            <w:r>
              <w:t>0.17</w:t>
            </w:r>
          </w:p>
        </w:tc>
      </w:tr>
      <w:tr w:rsidR="007145CE" w14:paraId="21E1804F" w14:textId="77777777">
        <w:tc>
          <w:tcPr>
            <w:tcW w:w="565" w:type="dxa"/>
          </w:tcPr>
          <w:p w14:paraId="7004D046" w14:textId="77777777" w:rsidR="007145CE" w:rsidRDefault="00000000">
            <w:pPr>
              <w:pStyle w:val="Compact"/>
            </w:pPr>
            <w:r>
              <w:t>DOE_18</w:t>
            </w:r>
          </w:p>
        </w:tc>
        <w:tc>
          <w:tcPr>
            <w:tcW w:w="1470" w:type="dxa"/>
          </w:tcPr>
          <w:p w14:paraId="03B70997" w14:textId="77777777" w:rsidR="007145CE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0.34</m:t>
                </m:r>
              </m:oMath>
            </m:oMathPara>
          </w:p>
        </w:tc>
        <w:tc>
          <w:tcPr>
            <w:tcW w:w="1470" w:type="dxa"/>
          </w:tcPr>
          <w:p w14:paraId="1FF79896" w14:textId="77777777" w:rsidR="007145CE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0.30</m:t>
                </m:r>
              </m:oMath>
            </m:oMathPara>
          </w:p>
        </w:tc>
        <w:tc>
          <w:tcPr>
            <w:tcW w:w="905" w:type="dxa"/>
          </w:tcPr>
          <w:p w14:paraId="78A564D7" w14:textId="77777777" w:rsidR="007145CE" w:rsidRDefault="00000000">
            <w:pPr>
              <w:pStyle w:val="Compact"/>
            </w:pPr>
            <w:r>
              <w:t>1.45</w:t>
            </w:r>
          </w:p>
        </w:tc>
        <w:tc>
          <w:tcPr>
            <w:tcW w:w="3507" w:type="dxa"/>
          </w:tcPr>
          <w:p w14:paraId="7C1A8EB4" w14:textId="77777777" w:rsidR="007145CE" w:rsidRDefault="00000000">
            <w:pPr>
              <w:pStyle w:val="Compact"/>
            </w:pPr>
            <w:r>
              <w:t>0.52</w:t>
            </w:r>
          </w:p>
        </w:tc>
      </w:tr>
      <w:tr w:rsidR="007145CE" w14:paraId="2D5AB17D" w14:textId="77777777">
        <w:tc>
          <w:tcPr>
            <w:tcW w:w="565" w:type="dxa"/>
          </w:tcPr>
          <w:p w14:paraId="63042659" w14:textId="77777777" w:rsidR="007145CE" w:rsidRDefault="00000000">
            <w:pPr>
              <w:pStyle w:val="Compact"/>
            </w:pPr>
            <w:r>
              <w:t>DOE_04</w:t>
            </w:r>
          </w:p>
        </w:tc>
        <w:tc>
          <w:tcPr>
            <w:tcW w:w="1470" w:type="dxa"/>
          </w:tcPr>
          <w:p w14:paraId="31400165" w14:textId="77777777" w:rsidR="007145CE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1.21</m:t>
                </m:r>
              </m:oMath>
            </m:oMathPara>
          </w:p>
        </w:tc>
        <w:tc>
          <w:tcPr>
            <w:tcW w:w="1470" w:type="dxa"/>
          </w:tcPr>
          <w:p w14:paraId="7F824A17" w14:textId="77777777" w:rsidR="007145CE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0.29</m:t>
                </m:r>
              </m:oMath>
            </m:oMathPara>
          </w:p>
        </w:tc>
        <w:tc>
          <w:tcPr>
            <w:tcW w:w="905" w:type="dxa"/>
          </w:tcPr>
          <w:p w14:paraId="446162B8" w14:textId="77777777" w:rsidR="007145CE" w:rsidRDefault="00000000">
            <w:pPr>
              <w:pStyle w:val="Compact"/>
            </w:pPr>
            <w:r>
              <w:t>1.05</w:t>
            </w:r>
          </w:p>
        </w:tc>
        <w:tc>
          <w:tcPr>
            <w:tcW w:w="3507" w:type="dxa"/>
          </w:tcPr>
          <w:p w14:paraId="67150B2D" w14:textId="77777777" w:rsidR="007145CE" w:rsidRDefault="00000000">
            <w:pPr>
              <w:pStyle w:val="Compact"/>
            </w:pPr>
            <w:r>
              <w:t>0.51</w:t>
            </w:r>
          </w:p>
        </w:tc>
      </w:tr>
      <w:tr w:rsidR="007145CE" w14:paraId="41E64226" w14:textId="77777777">
        <w:tc>
          <w:tcPr>
            <w:tcW w:w="565" w:type="dxa"/>
          </w:tcPr>
          <w:p w14:paraId="0B57D0B8" w14:textId="77777777" w:rsidR="007145CE" w:rsidRDefault="00000000">
            <w:pPr>
              <w:pStyle w:val="Compact"/>
            </w:pPr>
            <w:r>
              <w:t>DOE_20</w:t>
            </w:r>
          </w:p>
        </w:tc>
        <w:tc>
          <w:tcPr>
            <w:tcW w:w="1470" w:type="dxa"/>
          </w:tcPr>
          <w:p w14:paraId="42EEE12F" w14:textId="77777777" w:rsidR="007145CE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0.34</m:t>
                </m:r>
              </m:oMath>
            </m:oMathPara>
          </w:p>
        </w:tc>
        <w:tc>
          <w:tcPr>
            <w:tcW w:w="1470" w:type="dxa"/>
          </w:tcPr>
          <w:p w14:paraId="6141A6B5" w14:textId="77777777" w:rsidR="007145CE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0.17</m:t>
                </m:r>
              </m:oMath>
            </m:oMathPara>
          </w:p>
        </w:tc>
        <w:tc>
          <w:tcPr>
            <w:tcW w:w="905" w:type="dxa"/>
          </w:tcPr>
          <w:p w14:paraId="2EA55767" w14:textId="77777777" w:rsidR="007145CE" w:rsidRDefault="00000000">
            <w:pPr>
              <w:pStyle w:val="Compact"/>
            </w:pPr>
            <w:r>
              <w:t>1.36</w:t>
            </w:r>
          </w:p>
        </w:tc>
        <w:tc>
          <w:tcPr>
            <w:tcW w:w="3507" w:type="dxa"/>
          </w:tcPr>
          <w:p w14:paraId="1816E89B" w14:textId="77777777" w:rsidR="007145CE" w:rsidRDefault="00000000">
            <w:pPr>
              <w:pStyle w:val="Compact"/>
            </w:pPr>
            <w:r>
              <w:t>0.30</w:t>
            </w:r>
          </w:p>
        </w:tc>
      </w:tr>
    </w:tbl>
    <w:p w14:paraId="39847C5A" w14:textId="77777777" w:rsidR="007145CE" w:rsidRDefault="00000000">
      <w:pPr>
        <w:pStyle w:val="Heading3"/>
      </w:pPr>
      <w:bookmarkStart w:id="40" w:name="dimensionless-analysis-1"/>
      <w:bookmarkEnd w:id="39"/>
      <w:r>
        <w:t>10.3 Dimensionless Analysis</w:t>
      </w:r>
    </w:p>
    <w:p w14:paraId="2AA36CA7" w14:textId="77777777" w:rsidR="007145CE" w:rsidRDefault="00000000">
      <w:pPr>
        <w:pStyle w:val="FirstParagraph"/>
      </w:pPr>
      <w:r>
        <w:t xml:space="preserve">The motor-clutch engagement ratio </w:t>
      </w:r>
      <m:oMath>
        <m:r>
          <w:rPr>
            <w:rFonts w:ascii="Cambria Math" w:hAnsi="Cambria Math"/>
          </w:rPr>
          <m:t>β</m:t>
        </m:r>
      </m:oMath>
      <w:r>
        <w:t xml:space="preserve"> and cellular capillary number </w:t>
      </w:r>
      <m:oMath>
        <m:r>
          <m:rPr>
            <m:nor/>
          </m:rPr>
          <m:t>Ca</m:t>
        </m:r>
      </m:oMath>
      <w:r>
        <w:t xml:space="preserve"> were computed for all 23 runs (Section 6):</w:t>
      </w:r>
    </w:p>
    <w:p w14:paraId="5A8C01FB" w14:textId="77777777" w:rsidR="007145CE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m:t>sub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m:t>sub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m:t>opt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0.181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 0.846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4834E6AE" w14:textId="77777777" w:rsidR="007145CE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Ca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nor/>
                    </m:rPr>
                    <m:t>cell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0.21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 17.66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30827BA7" w14:textId="77777777" w:rsidR="007145CE" w:rsidRDefault="00000000">
      <w:pPr>
        <w:pStyle w:val="FirstParagraph"/>
      </w:pPr>
      <w:r>
        <w:t xml:space="preserve">The data collapse by </w:t>
      </w:r>
      <m:oMath>
        <m:r>
          <w:rPr>
            <w:rFonts w:ascii="Cambria Math" w:hAnsi="Cambria Math"/>
          </w:rPr>
          <m:t>β</m:t>
        </m:r>
      </m:oMath>
      <w:r>
        <w:t xml:space="preserve"> reveals two distinct regimes:</w:t>
      </w:r>
    </w:p>
    <w:p w14:paraId="18CE725D" w14:textId="77777777" w:rsidR="007145CE" w:rsidRDefault="00000000">
      <w:pPr>
        <w:numPr>
          <w:ilvl w:val="0"/>
          <w:numId w:val="8"/>
        </w:numPr>
      </w:pPr>
      <w:r>
        <w:rPr>
          <w:b/>
          <w:bCs/>
        </w:rPr>
        <w:t>Low-</w:t>
      </w:r>
      <m:oMath>
        <m:r>
          <w:rPr>
            <w:rFonts w:ascii="Cambria Math" w:hAnsi="Cambria Math"/>
          </w:rPr>
          <m:t>β</m:t>
        </m:r>
      </m:oMath>
      <w:r>
        <w:rPr>
          <w:b/>
          <w:bCs/>
        </w:rPr>
        <w:t xml:space="preserve"> regime</w:t>
      </w:r>
      <w:r>
        <w:t xml:space="preserve"> (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0.3</m:t>
        </m:r>
      </m:oMath>
      <w:r>
        <w:t xml:space="preserve">,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kPa): Cell traction is substrate-limited. Compaction is negligible (</w:t>
      </w:r>
      <m:oMath>
        <m:r>
          <m:rPr>
            <m:sty m:val="p"/>
          </m:rPr>
          <w:rPr>
            <w:rFonts w:ascii="Cambria Math" w:hAnsi="Cambria Math"/>
          </w:rPr>
          <m:t>|Δ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0.01</m:t>
        </m:r>
      </m:oMath>
      <w:r>
        <w:t>) regardless of other parameters. The system is in a force-starved state.</w:t>
      </w:r>
    </w:p>
    <w:p w14:paraId="43061235" w14:textId="77777777" w:rsidR="007145CE" w:rsidRDefault="00000000">
      <w:pPr>
        <w:numPr>
          <w:ilvl w:val="0"/>
          <w:numId w:val="8"/>
        </w:numPr>
      </w:pPr>
      <w:r>
        <w:rPr>
          <w:b/>
          <w:bCs/>
        </w:rPr>
        <w:lastRenderedPageBreak/>
        <w:t>High-</w:t>
      </w:r>
      <m:oMath>
        <m:r>
          <w:rPr>
            <w:rFonts w:ascii="Cambria Math" w:hAnsi="Cambria Math"/>
          </w:rPr>
          <m:t>β</m:t>
        </m:r>
      </m:oMath>
      <w:r>
        <w:rPr>
          <w:b/>
          <w:bCs/>
        </w:rPr>
        <w:t xml:space="preserve"> regime</w:t>
      </w:r>
      <w:r>
        <w:t xml:space="preserve"> (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0.8</m:t>
        </m:r>
      </m:oMath>
      <w:r>
        <w:t xml:space="preserve">,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 xml:space="preserve"> kPa): Cell traction saturates toward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stall</m:t>
            </m:r>
          </m:sub>
        </m:sSub>
      </m:oMath>
      <w:r>
        <w:t>. Compaction magnitude is controlled by adhesion, composition ratio, and cell number rather than substrate stiffness alone.</w:t>
      </w:r>
    </w:p>
    <w:p w14:paraId="5AF54C7A" w14:textId="77777777" w:rsidR="007145CE" w:rsidRDefault="00000000">
      <w:pPr>
        <w:pStyle w:val="FirstParagraph"/>
      </w:pPr>
      <w:r>
        <w:t xml:space="preserve">The capillary number Ca shows an inverse relationship with compaction: low-Ca (high-modulus) runs exhibit the largest </w:t>
      </w:r>
      <m:oMath>
        <m:r>
          <m:rPr>
            <m:sty m:val="p"/>
          </m:rPr>
          <w:rPr>
            <w:rFonts w:ascii="Cambria Math" w:hAnsi="Cambria Math"/>
          </w:rPr>
          <m:t>|Δ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because the scaffold is stiff enough to transmit cell forces without excessive deformation at each contact.</w:t>
      </w:r>
    </w:p>
    <w:p w14:paraId="0F83BA44" w14:textId="77777777" w:rsidR="007145CE" w:rsidRDefault="00000000">
      <w:pPr>
        <w:pStyle w:val="Heading3"/>
      </w:pPr>
      <w:bookmarkStart w:id="41" w:name="tissue-architecture-descriptors"/>
      <w:bookmarkEnd w:id="40"/>
      <w:r>
        <w:t>10.4 Tissue Architecture Descriptors</w:t>
      </w:r>
    </w:p>
    <w:p w14:paraId="4B8D834A" w14:textId="77777777" w:rsidR="007145CE" w:rsidRDefault="00000000">
      <w:pPr>
        <w:pStyle w:val="FirstParagraph"/>
      </w:pPr>
      <w:r>
        <w:t>The 22-descriptor tissue vector (Section 7.1) was computed from the final 3D phase fields of each run. Key descriptors across the DOE: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24"/>
        <w:gridCol w:w="995"/>
        <w:gridCol w:w="1587"/>
        <w:gridCol w:w="791"/>
      </w:tblGrid>
      <w:tr w:rsidR="007145CE" w14:paraId="3147E238" w14:textId="77777777" w:rsidTr="00714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F29DC1" w14:textId="77777777" w:rsidR="007145CE" w:rsidRDefault="00000000">
            <w:pPr>
              <w:pStyle w:val="Compact"/>
            </w:pPr>
            <w:r>
              <w:t>Descriptor</w:t>
            </w:r>
          </w:p>
        </w:tc>
        <w:tc>
          <w:tcPr>
            <w:tcW w:w="0" w:type="auto"/>
          </w:tcPr>
          <w:p w14:paraId="0C9AAFDC" w14:textId="77777777" w:rsidR="007145CE" w:rsidRDefault="00000000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25594DFC" w14:textId="77777777" w:rsidR="007145CE" w:rsidRDefault="00000000">
            <w:pPr>
              <w:pStyle w:val="Compact"/>
            </w:pPr>
            <w:r>
              <w:t>Range</w:t>
            </w:r>
          </w:p>
        </w:tc>
        <w:tc>
          <w:tcPr>
            <w:tcW w:w="0" w:type="auto"/>
          </w:tcPr>
          <w:p w14:paraId="6E1185D3" w14:textId="77777777" w:rsidR="007145CE" w:rsidRDefault="00000000">
            <w:pPr>
              <w:pStyle w:val="Compact"/>
            </w:pPr>
            <w:r>
              <w:t>Units</w:t>
            </w:r>
          </w:p>
        </w:tc>
      </w:tr>
      <w:tr w:rsidR="007145CE" w14:paraId="00E3FD06" w14:textId="77777777">
        <w:tc>
          <w:tcPr>
            <w:tcW w:w="0" w:type="auto"/>
          </w:tcPr>
          <w:p w14:paraId="2DBE4DD8" w14:textId="77777777" w:rsidR="007145CE" w:rsidRDefault="00000000">
            <w:pPr>
              <w:pStyle w:val="Compact"/>
            </w:pPr>
            <w:r>
              <w:t>Bone volume fraction</w:t>
            </w:r>
          </w:p>
        </w:tc>
        <w:tc>
          <w:tcPr>
            <w:tcW w:w="0" w:type="auto"/>
          </w:tcPr>
          <w:p w14:paraId="78BD2697" w14:textId="77777777" w:rsidR="007145CE" w:rsidRDefault="00000000">
            <w:pPr>
              <w:pStyle w:val="Compact"/>
            </w:pPr>
            <w:r>
              <w:t>BV/TV</w:t>
            </w:r>
          </w:p>
        </w:tc>
        <w:tc>
          <w:tcPr>
            <w:tcW w:w="0" w:type="auto"/>
          </w:tcPr>
          <w:p w14:paraId="0B7E67DE" w14:textId="77777777" w:rsidR="007145CE" w:rsidRDefault="00000000">
            <w:pPr>
              <w:pStyle w:val="Compact"/>
            </w:pPr>
            <w:r>
              <w:t>0.139 – 0.576</w:t>
            </w:r>
          </w:p>
        </w:tc>
        <w:tc>
          <w:tcPr>
            <w:tcW w:w="0" w:type="auto"/>
          </w:tcPr>
          <w:p w14:paraId="0B63709D" w14:textId="77777777" w:rsidR="007145CE" w:rsidRDefault="00000000">
            <w:pPr>
              <w:pStyle w:val="Compact"/>
            </w:pPr>
            <w:r>
              <w:t>–</w:t>
            </w:r>
          </w:p>
        </w:tc>
      </w:tr>
      <w:tr w:rsidR="007145CE" w14:paraId="7B5E1B71" w14:textId="77777777">
        <w:tc>
          <w:tcPr>
            <w:tcW w:w="0" w:type="auto"/>
          </w:tcPr>
          <w:p w14:paraId="456E7551" w14:textId="77777777" w:rsidR="007145CE" w:rsidRDefault="00000000">
            <w:pPr>
              <w:pStyle w:val="Compact"/>
            </w:pPr>
            <w:r>
              <w:t>Trabecular thickness</w:t>
            </w:r>
          </w:p>
        </w:tc>
        <w:tc>
          <w:tcPr>
            <w:tcW w:w="0" w:type="auto"/>
          </w:tcPr>
          <w:p w14:paraId="39978FBA" w14:textId="77777777" w:rsidR="007145CE" w:rsidRDefault="00000000">
            <w:pPr>
              <w:pStyle w:val="Compact"/>
            </w:pPr>
            <w:r>
              <w:t>Tb.Th</w:t>
            </w:r>
          </w:p>
        </w:tc>
        <w:tc>
          <w:tcPr>
            <w:tcW w:w="0" w:type="auto"/>
          </w:tcPr>
          <w:p w14:paraId="067195B6" w14:textId="77777777" w:rsidR="007145CE" w:rsidRDefault="00000000">
            <w:pPr>
              <w:pStyle w:val="Compact"/>
            </w:pPr>
            <w:r>
              <w:t>19.2 – 39.1</w:t>
            </w:r>
          </w:p>
        </w:tc>
        <w:tc>
          <w:tcPr>
            <w:tcW w:w="0" w:type="auto"/>
          </w:tcPr>
          <w:p w14:paraId="4E891100" w14:textId="77777777" w:rsidR="007145CE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m</w:t>
            </w:r>
          </w:p>
        </w:tc>
      </w:tr>
      <w:tr w:rsidR="007145CE" w14:paraId="26B65D99" w14:textId="77777777">
        <w:tc>
          <w:tcPr>
            <w:tcW w:w="0" w:type="auto"/>
          </w:tcPr>
          <w:p w14:paraId="644FB436" w14:textId="77777777" w:rsidR="007145CE" w:rsidRDefault="00000000">
            <w:pPr>
              <w:pStyle w:val="Compact"/>
            </w:pPr>
            <w:r>
              <w:t>Trabecular spacing</w:t>
            </w:r>
          </w:p>
        </w:tc>
        <w:tc>
          <w:tcPr>
            <w:tcW w:w="0" w:type="auto"/>
          </w:tcPr>
          <w:p w14:paraId="60C166B0" w14:textId="77777777" w:rsidR="007145CE" w:rsidRDefault="00000000">
            <w:pPr>
              <w:pStyle w:val="Compact"/>
            </w:pPr>
            <w:r>
              <w:t>Tb.Sp</w:t>
            </w:r>
          </w:p>
        </w:tc>
        <w:tc>
          <w:tcPr>
            <w:tcW w:w="0" w:type="auto"/>
          </w:tcPr>
          <w:p w14:paraId="768D5D6E" w14:textId="77777777" w:rsidR="007145CE" w:rsidRDefault="00000000">
            <w:pPr>
              <w:pStyle w:val="Compact"/>
            </w:pPr>
            <w:r>
              <w:t>23.8 – 64.1</w:t>
            </w:r>
          </w:p>
        </w:tc>
        <w:tc>
          <w:tcPr>
            <w:tcW w:w="0" w:type="auto"/>
          </w:tcPr>
          <w:p w14:paraId="28462997" w14:textId="77777777" w:rsidR="007145CE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m</w:t>
            </w:r>
          </w:p>
        </w:tc>
      </w:tr>
      <w:tr w:rsidR="007145CE" w14:paraId="7445F37C" w14:textId="77777777">
        <w:tc>
          <w:tcPr>
            <w:tcW w:w="0" w:type="auto"/>
          </w:tcPr>
          <w:p w14:paraId="3D3184F5" w14:textId="77777777" w:rsidR="007145CE" w:rsidRDefault="00000000">
            <w:pPr>
              <w:pStyle w:val="Compact"/>
            </w:pPr>
            <w:r>
              <w:t>Trabecular number</w:t>
            </w:r>
          </w:p>
        </w:tc>
        <w:tc>
          <w:tcPr>
            <w:tcW w:w="0" w:type="auto"/>
          </w:tcPr>
          <w:p w14:paraId="2FC684B2" w14:textId="77777777" w:rsidR="007145CE" w:rsidRDefault="00000000">
            <w:pPr>
              <w:pStyle w:val="Compact"/>
            </w:pPr>
            <w:r>
              <w:t>Tb.N</w:t>
            </w:r>
          </w:p>
        </w:tc>
        <w:tc>
          <w:tcPr>
            <w:tcW w:w="0" w:type="auto"/>
          </w:tcPr>
          <w:p w14:paraId="6DDD6466" w14:textId="77777777" w:rsidR="007145CE" w:rsidRDefault="00000000">
            <w:pPr>
              <w:pStyle w:val="Compact"/>
            </w:pPr>
            <w:r>
              <w:t>0.009 – 0.020</w:t>
            </w:r>
          </w:p>
        </w:tc>
        <w:tc>
          <w:tcPr>
            <w:tcW w:w="0" w:type="auto"/>
          </w:tcPr>
          <w:p w14:paraId="61617EAF" w14:textId="77777777" w:rsidR="007145CE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m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</w:tc>
      </w:tr>
      <w:tr w:rsidR="007145CE" w14:paraId="68BF0794" w14:textId="77777777">
        <w:tc>
          <w:tcPr>
            <w:tcW w:w="0" w:type="auto"/>
          </w:tcPr>
          <w:p w14:paraId="3A9ADC2D" w14:textId="77777777" w:rsidR="007145CE" w:rsidRDefault="00000000">
            <w:pPr>
              <w:pStyle w:val="Compact"/>
            </w:pPr>
            <w:r>
              <w:t>Structure Model Index</w:t>
            </w:r>
          </w:p>
        </w:tc>
        <w:tc>
          <w:tcPr>
            <w:tcW w:w="0" w:type="auto"/>
          </w:tcPr>
          <w:p w14:paraId="61FD750D" w14:textId="77777777" w:rsidR="007145CE" w:rsidRDefault="00000000">
            <w:pPr>
              <w:pStyle w:val="Compact"/>
            </w:pPr>
            <w:r>
              <w:t>SMI</w:t>
            </w:r>
          </w:p>
        </w:tc>
        <w:tc>
          <w:tcPr>
            <w:tcW w:w="0" w:type="auto"/>
          </w:tcPr>
          <w:p w14:paraId="5380513B" w14:textId="77777777" w:rsidR="007145CE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2.71</m:t>
              </m:r>
            </m:oMath>
            <w:r>
              <w:t xml:space="preserve"> – 1.80</w:t>
            </w:r>
          </w:p>
        </w:tc>
        <w:tc>
          <w:tcPr>
            <w:tcW w:w="0" w:type="auto"/>
          </w:tcPr>
          <w:p w14:paraId="7CB938A5" w14:textId="77777777" w:rsidR="007145CE" w:rsidRDefault="00000000">
            <w:pPr>
              <w:pStyle w:val="Compact"/>
            </w:pPr>
            <w:r>
              <w:t>–</w:t>
            </w:r>
          </w:p>
        </w:tc>
      </w:tr>
      <w:tr w:rsidR="007145CE" w14:paraId="01661374" w14:textId="77777777">
        <w:tc>
          <w:tcPr>
            <w:tcW w:w="0" w:type="auto"/>
          </w:tcPr>
          <w:p w14:paraId="0392995A" w14:textId="77777777" w:rsidR="007145CE" w:rsidRDefault="00000000">
            <w:pPr>
              <w:pStyle w:val="Compact"/>
            </w:pPr>
            <w:r>
              <w:t>Degree of anisotropy</w:t>
            </w:r>
          </w:p>
        </w:tc>
        <w:tc>
          <w:tcPr>
            <w:tcW w:w="0" w:type="auto"/>
          </w:tcPr>
          <w:p w14:paraId="2A11CA58" w14:textId="77777777" w:rsidR="007145CE" w:rsidRDefault="00000000">
            <w:pPr>
              <w:pStyle w:val="Compact"/>
            </w:pPr>
            <w:r>
              <w:t>DA</w:t>
            </w:r>
          </w:p>
        </w:tc>
        <w:tc>
          <w:tcPr>
            <w:tcW w:w="0" w:type="auto"/>
          </w:tcPr>
          <w:p w14:paraId="078C51BD" w14:textId="77777777" w:rsidR="007145CE" w:rsidRDefault="00000000">
            <w:pPr>
              <w:pStyle w:val="Compact"/>
            </w:pPr>
            <w:r>
              <w:t>1.05 – 1.37</w:t>
            </w:r>
          </w:p>
        </w:tc>
        <w:tc>
          <w:tcPr>
            <w:tcW w:w="0" w:type="auto"/>
          </w:tcPr>
          <w:p w14:paraId="2D2862E1" w14:textId="77777777" w:rsidR="007145CE" w:rsidRDefault="00000000">
            <w:pPr>
              <w:pStyle w:val="Compact"/>
            </w:pPr>
            <w:r>
              <w:t>–</w:t>
            </w:r>
          </w:p>
        </w:tc>
      </w:tr>
      <w:tr w:rsidR="007145CE" w14:paraId="3B001E6B" w14:textId="77777777">
        <w:tc>
          <w:tcPr>
            <w:tcW w:w="0" w:type="auto"/>
          </w:tcPr>
          <w:p w14:paraId="44050815" w14:textId="77777777" w:rsidR="007145CE" w:rsidRDefault="00000000">
            <w:pPr>
              <w:pStyle w:val="Compact"/>
            </w:pPr>
            <w:r>
              <w:t>Tortuosity</w:t>
            </w:r>
          </w:p>
        </w:tc>
        <w:tc>
          <w:tcPr>
            <w:tcW w:w="0" w:type="auto"/>
          </w:tcPr>
          <w:p w14:paraId="1013D74A" w14:textId="77777777" w:rsidR="007145CE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  <w:tc>
          <w:tcPr>
            <w:tcW w:w="0" w:type="auto"/>
          </w:tcPr>
          <w:p w14:paraId="6436DFAA" w14:textId="77777777" w:rsidR="007145CE" w:rsidRDefault="00000000">
            <w:pPr>
              <w:pStyle w:val="Compact"/>
            </w:pPr>
            <w:r>
              <w:t>14.2 – 349.7</w:t>
            </w:r>
          </w:p>
        </w:tc>
        <w:tc>
          <w:tcPr>
            <w:tcW w:w="0" w:type="auto"/>
          </w:tcPr>
          <w:p w14:paraId="282F55ED" w14:textId="77777777" w:rsidR="007145CE" w:rsidRDefault="00000000">
            <w:pPr>
              <w:pStyle w:val="Compact"/>
            </w:pPr>
            <w:r>
              <w:t>–</w:t>
            </w:r>
          </w:p>
        </w:tc>
      </w:tr>
      <w:tr w:rsidR="007145CE" w14:paraId="24910BCD" w14:textId="77777777">
        <w:tc>
          <w:tcPr>
            <w:tcW w:w="0" w:type="auto"/>
          </w:tcPr>
          <w:p w14:paraId="0E9BC6FD" w14:textId="77777777" w:rsidR="007145CE" w:rsidRDefault="00000000">
            <w:pPr>
              <w:pStyle w:val="Compact"/>
            </w:pPr>
            <w:r>
              <w:t>Kozeny-Carman permeability</w:t>
            </w:r>
          </w:p>
        </w:tc>
        <w:tc>
          <w:tcPr>
            <w:tcW w:w="0" w:type="auto"/>
          </w:tcPr>
          <w:p w14:paraId="092DA2C4" w14:textId="77777777" w:rsidR="007145CE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</w:tcPr>
          <w:p w14:paraId="36C9FE4A" w14:textId="77777777" w:rsidR="007145CE" w:rsidRDefault="00000000">
            <w:pPr>
              <w:pStyle w:val="Compact"/>
            </w:pPr>
            <w:r>
              <w:t>2.7 – 85.4</w:t>
            </w:r>
          </w:p>
        </w:tc>
        <w:tc>
          <w:tcPr>
            <w:tcW w:w="0" w:type="auto"/>
          </w:tcPr>
          <w:p w14:paraId="7E2D227D" w14:textId="77777777" w:rsidR="007145CE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m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6B7E6AA5" w14:textId="77777777" w:rsidR="007145CE" w:rsidRDefault="00000000">
      <w:pPr>
        <w:pStyle w:val="BodyText"/>
      </w:pPr>
      <w:r>
        <w:t xml:space="preserve">The composition factor (D) dominates BV/TV: runs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</m:t>
        </m:r>
      </m:oMath>
      <w:r>
        <w:t xml:space="preserve"> produce </w:t>
      </w:r>
      <m:oMath>
        <m:r>
          <m:rPr>
            <m:nor/>
          </m:rPr>
          <m:t>BV/TV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0.35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0.58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while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</m:t>
        </m:r>
      </m:oMath>
      <w:r>
        <w:t xml:space="preserve"> runs yield </w:t>
      </w:r>
      <m:oMath>
        <m:r>
          <m:rPr>
            <m:nor/>
          </m:rPr>
          <m:t>BV/TV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0.14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0.20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SMI transitions from plate-like (</w:t>
      </w:r>
      <m:oMath>
        <m:r>
          <m:rPr>
            <m:nor/>
          </m:rPr>
          <m:t>SMI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) at high BV/TV to rod-like (</w:t>
      </w:r>
      <m:oMath>
        <m:r>
          <m:rPr>
            <m:nor/>
          </m:rPr>
          <m:t>SMI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>) at low BV/TV, consistent with trabecular bone morphology literature.</w:t>
      </w:r>
    </w:p>
    <w:p w14:paraId="6BCE3E77" w14:textId="77777777" w:rsidR="007145CE" w:rsidRDefault="00000000">
      <w:pPr>
        <w:pStyle w:val="Heading3"/>
      </w:pPr>
      <w:bookmarkStart w:id="42" w:name="architectural-distance-to-organ-targets"/>
      <w:bookmarkEnd w:id="41"/>
      <w:r>
        <w:t>10.5 Architectural Distance to Organ Targets</w:t>
      </w:r>
    </w:p>
    <w:p w14:paraId="623F451A" w14:textId="77777777" w:rsidR="007145CE" w:rsidRDefault="00000000">
      <w:pPr>
        <w:pStyle w:val="FirstParagraph"/>
      </w:pPr>
      <w:r>
        <w:t xml:space="preserve">The weighted architectural distance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arch</m:t>
            </m:r>
          </m:sub>
        </m:sSub>
      </m:oMath>
      <w:r>
        <w:t xml:space="preserve"> (Section 7.2) was computed between each DOE run’s final tissue state and the 7 organ targets (Section 7.3). The closest scaffold-organ matches: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8"/>
        <w:gridCol w:w="798"/>
        <w:gridCol w:w="2234"/>
        <w:gridCol w:w="3032"/>
        <w:gridCol w:w="2554"/>
      </w:tblGrid>
      <w:tr w:rsidR="007145CE" w14:paraId="3536BAF7" w14:textId="77777777" w:rsidTr="00714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</w:tcPr>
          <w:p w14:paraId="304AE99D" w14:textId="77777777" w:rsidR="007145CE" w:rsidRDefault="00000000">
            <w:pPr>
              <w:pStyle w:val="Compact"/>
            </w:pPr>
            <w:r>
              <w:t>Rank</w:t>
            </w:r>
          </w:p>
        </w:tc>
        <w:tc>
          <w:tcPr>
            <w:tcW w:w="660" w:type="dxa"/>
          </w:tcPr>
          <w:p w14:paraId="44F0E67B" w14:textId="77777777" w:rsidR="007145CE" w:rsidRDefault="00000000">
            <w:pPr>
              <w:pStyle w:val="Compact"/>
            </w:pPr>
            <w:r>
              <w:t>Run</w:t>
            </w:r>
          </w:p>
        </w:tc>
        <w:tc>
          <w:tcPr>
            <w:tcW w:w="1848" w:type="dxa"/>
          </w:tcPr>
          <w:p w14:paraId="68C6CA3B" w14:textId="77777777" w:rsidR="007145CE" w:rsidRDefault="00000000">
            <w:pPr>
              <w:pStyle w:val="Compact"/>
            </w:pPr>
            <w:r>
              <w:t>Target Organ</w:t>
            </w:r>
          </w:p>
        </w:tc>
        <w:tc>
          <w:tcPr>
            <w:tcW w:w="2508" w:type="dxa"/>
          </w:tcPr>
          <w:p w14:paraId="2D493990" w14:textId="77777777" w:rsidR="007145C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m:t>arch</m:t>
                    </m:r>
                  </m:sub>
                </m:sSub>
              </m:oMath>
            </m:oMathPara>
          </w:p>
        </w:tc>
        <w:tc>
          <w:tcPr>
            <w:tcW w:w="2112" w:type="dxa"/>
          </w:tcPr>
          <w:p w14:paraId="6D321403" w14:textId="77777777" w:rsidR="007145CE" w:rsidRDefault="00000000">
            <w:pPr>
              <w:pStyle w:val="Compact"/>
            </w:pPr>
            <w:r>
              <w:t>Key Parameters</w:t>
            </w:r>
          </w:p>
        </w:tc>
      </w:tr>
      <w:tr w:rsidR="007145CE" w14:paraId="6007A636" w14:textId="77777777">
        <w:tc>
          <w:tcPr>
            <w:tcW w:w="792" w:type="dxa"/>
          </w:tcPr>
          <w:p w14:paraId="0FAF6396" w14:textId="77777777" w:rsidR="007145CE" w:rsidRDefault="00000000">
            <w:pPr>
              <w:pStyle w:val="Compact"/>
            </w:pPr>
            <w:r>
              <w:t>1</w:t>
            </w:r>
          </w:p>
        </w:tc>
        <w:tc>
          <w:tcPr>
            <w:tcW w:w="660" w:type="dxa"/>
          </w:tcPr>
          <w:p w14:paraId="568C1A67" w14:textId="77777777" w:rsidR="007145CE" w:rsidRDefault="00000000">
            <w:pPr>
              <w:pStyle w:val="Compact"/>
            </w:pPr>
            <w:r>
              <w:t>DOE_22</w:t>
            </w:r>
          </w:p>
        </w:tc>
        <w:tc>
          <w:tcPr>
            <w:tcW w:w="1848" w:type="dxa"/>
          </w:tcPr>
          <w:p w14:paraId="57DDC200" w14:textId="77777777" w:rsidR="007145CE" w:rsidRDefault="00000000">
            <w:pPr>
              <w:pStyle w:val="Compact"/>
            </w:pPr>
            <w:r>
              <w:t>Trabecular bone</w:t>
            </w:r>
          </w:p>
        </w:tc>
        <w:tc>
          <w:tcPr>
            <w:tcW w:w="2508" w:type="dxa"/>
          </w:tcPr>
          <w:p w14:paraId="71685902" w14:textId="77777777" w:rsidR="007145CE" w:rsidRDefault="00000000">
            <w:pPr>
              <w:pStyle w:val="Compact"/>
            </w:pPr>
            <w:r>
              <w:t>15.1</w:t>
            </w:r>
          </w:p>
        </w:tc>
        <w:tc>
          <w:tcPr>
            <w:tcW w:w="2112" w:type="dxa"/>
          </w:tcPr>
          <w:p w14:paraId="4B2B87DA" w14:textId="77777777" w:rsidR="007145CE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50</m:t>
              </m:r>
            </m:oMath>
            <w: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0.4</m:t>
              </m:r>
            </m:oMath>
            <w:r>
              <w:t>, high adhesion</w:t>
            </w:r>
          </w:p>
        </w:tc>
      </w:tr>
      <w:tr w:rsidR="007145CE" w14:paraId="024296D9" w14:textId="77777777">
        <w:tc>
          <w:tcPr>
            <w:tcW w:w="792" w:type="dxa"/>
          </w:tcPr>
          <w:p w14:paraId="208054AA" w14:textId="77777777" w:rsidR="007145CE" w:rsidRDefault="00000000">
            <w:pPr>
              <w:pStyle w:val="Compact"/>
            </w:pPr>
            <w:r>
              <w:t>2</w:t>
            </w:r>
          </w:p>
        </w:tc>
        <w:tc>
          <w:tcPr>
            <w:tcW w:w="660" w:type="dxa"/>
          </w:tcPr>
          <w:p w14:paraId="763CB893" w14:textId="77777777" w:rsidR="007145CE" w:rsidRDefault="00000000">
            <w:pPr>
              <w:pStyle w:val="Compact"/>
            </w:pPr>
            <w:r>
              <w:t>DOE_20</w:t>
            </w:r>
          </w:p>
        </w:tc>
        <w:tc>
          <w:tcPr>
            <w:tcW w:w="1848" w:type="dxa"/>
          </w:tcPr>
          <w:p w14:paraId="1281CFCC" w14:textId="77777777" w:rsidR="007145CE" w:rsidRDefault="00000000">
            <w:pPr>
              <w:pStyle w:val="Compact"/>
            </w:pPr>
            <w:r>
              <w:t>Trabecular bone</w:t>
            </w:r>
          </w:p>
        </w:tc>
        <w:tc>
          <w:tcPr>
            <w:tcW w:w="2508" w:type="dxa"/>
          </w:tcPr>
          <w:p w14:paraId="190D8A45" w14:textId="77777777" w:rsidR="007145CE" w:rsidRDefault="00000000">
            <w:pPr>
              <w:pStyle w:val="Compact"/>
            </w:pPr>
            <w:r>
              <w:t>16.8</w:t>
            </w:r>
          </w:p>
        </w:tc>
        <w:tc>
          <w:tcPr>
            <w:tcW w:w="2112" w:type="dxa"/>
          </w:tcPr>
          <w:p w14:paraId="377E45A5" w14:textId="77777777" w:rsidR="007145CE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50</m:t>
              </m:r>
            </m:oMath>
            <w: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0.4</m:t>
              </m:r>
            </m:oMath>
            <w:r>
              <w:t>, low adhesion</w:t>
            </w:r>
          </w:p>
        </w:tc>
      </w:tr>
      <w:tr w:rsidR="007145CE" w14:paraId="0D90314D" w14:textId="77777777">
        <w:tc>
          <w:tcPr>
            <w:tcW w:w="792" w:type="dxa"/>
          </w:tcPr>
          <w:p w14:paraId="4FA1B662" w14:textId="77777777" w:rsidR="007145CE" w:rsidRDefault="00000000">
            <w:pPr>
              <w:pStyle w:val="Compact"/>
            </w:pPr>
            <w:r>
              <w:t>3</w:t>
            </w:r>
          </w:p>
        </w:tc>
        <w:tc>
          <w:tcPr>
            <w:tcW w:w="660" w:type="dxa"/>
          </w:tcPr>
          <w:p w14:paraId="09DEA63F" w14:textId="77777777" w:rsidR="007145CE" w:rsidRDefault="00000000">
            <w:pPr>
              <w:pStyle w:val="Compact"/>
            </w:pPr>
            <w:r>
              <w:t>DOE_18</w:t>
            </w:r>
          </w:p>
        </w:tc>
        <w:tc>
          <w:tcPr>
            <w:tcW w:w="1848" w:type="dxa"/>
          </w:tcPr>
          <w:p w14:paraId="3D9C84CC" w14:textId="77777777" w:rsidR="007145CE" w:rsidRDefault="00000000">
            <w:pPr>
              <w:pStyle w:val="Compact"/>
            </w:pPr>
            <w:r>
              <w:t>Trabecular bone</w:t>
            </w:r>
          </w:p>
        </w:tc>
        <w:tc>
          <w:tcPr>
            <w:tcW w:w="2508" w:type="dxa"/>
          </w:tcPr>
          <w:p w14:paraId="389F4BA5" w14:textId="77777777" w:rsidR="007145CE" w:rsidRDefault="00000000">
            <w:pPr>
              <w:pStyle w:val="Compact"/>
            </w:pPr>
            <w:r>
              <w:t>16.8</w:t>
            </w:r>
          </w:p>
        </w:tc>
        <w:tc>
          <w:tcPr>
            <w:tcW w:w="2112" w:type="dxa"/>
          </w:tcPr>
          <w:p w14:paraId="5225C1FF" w14:textId="77777777" w:rsidR="007145CE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50</m:t>
              </m:r>
            </m:oMath>
            <w: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0.4</m:t>
              </m:r>
            </m:oMath>
            <w: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60</m:t>
              </m:r>
            </m:oMath>
          </w:p>
        </w:tc>
      </w:tr>
      <w:tr w:rsidR="007145CE" w14:paraId="015EE10B" w14:textId="77777777">
        <w:tc>
          <w:tcPr>
            <w:tcW w:w="792" w:type="dxa"/>
          </w:tcPr>
          <w:p w14:paraId="6FC00C65" w14:textId="77777777" w:rsidR="007145CE" w:rsidRDefault="00000000">
            <w:pPr>
              <w:pStyle w:val="Compact"/>
            </w:pPr>
            <w:r>
              <w:t>4</w:t>
            </w:r>
          </w:p>
        </w:tc>
        <w:tc>
          <w:tcPr>
            <w:tcW w:w="660" w:type="dxa"/>
          </w:tcPr>
          <w:p w14:paraId="35A86C16" w14:textId="77777777" w:rsidR="007145CE" w:rsidRDefault="00000000">
            <w:pPr>
              <w:pStyle w:val="Compact"/>
            </w:pPr>
            <w:r>
              <w:t>DOE</w:t>
            </w:r>
            <w:r>
              <w:lastRenderedPageBreak/>
              <w:t>_23</w:t>
            </w:r>
          </w:p>
        </w:tc>
        <w:tc>
          <w:tcPr>
            <w:tcW w:w="1848" w:type="dxa"/>
          </w:tcPr>
          <w:p w14:paraId="19476954" w14:textId="77777777" w:rsidR="007145CE" w:rsidRDefault="00000000">
            <w:pPr>
              <w:pStyle w:val="Compact"/>
            </w:pPr>
            <w:r>
              <w:lastRenderedPageBreak/>
              <w:t>Trabecular bone</w:t>
            </w:r>
          </w:p>
        </w:tc>
        <w:tc>
          <w:tcPr>
            <w:tcW w:w="2508" w:type="dxa"/>
          </w:tcPr>
          <w:p w14:paraId="63A06D1E" w14:textId="77777777" w:rsidR="007145CE" w:rsidRDefault="00000000">
            <w:pPr>
              <w:pStyle w:val="Compact"/>
            </w:pPr>
            <w:r>
              <w:t>17.3</w:t>
            </w:r>
          </w:p>
        </w:tc>
        <w:tc>
          <w:tcPr>
            <w:tcW w:w="2112" w:type="dxa"/>
          </w:tcPr>
          <w:p w14:paraId="1C86FB2E" w14:textId="77777777" w:rsidR="007145CE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0.4</m:t>
              </m:r>
            </m:oMath>
            <w:r>
              <w:t xml:space="preserve">, </w:t>
            </w:r>
            <w:r>
              <w:lastRenderedPageBreak/>
              <w:t>center point</w:t>
            </w:r>
          </w:p>
        </w:tc>
      </w:tr>
    </w:tbl>
    <w:p w14:paraId="2FEC017E" w14:textId="77777777" w:rsidR="007145CE" w:rsidRDefault="00000000">
      <w:pPr>
        <w:pStyle w:val="BodyText"/>
      </w:pPr>
      <w:r>
        <w:rPr>
          <w:b/>
          <w:bCs/>
        </w:rPr>
        <w:lastRenderedPageBreak/>
        <w:t>Interpretation.</w:t>
      </w:r>
      <w:r>
        <w:t xml:space="preserve"> High functional volume fraction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</m:t>
        </m:r>
      </m:oMath>
      <w:r>
        <w:t>) is the strongest predictor of proximity to trabecular bone. Substrate stiffness (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 xml:space="preserve"> kPa) provides a secondary benefit by enabling cell-mediated compaction that increases BV/TV and reduces Tb.Sp. The remaining distance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arch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15</m:t>
        </m:r>
      </m:oMath>
      <w:r>
        <w:t>) is driven primarily by the mismatch in Tb.Th (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​20</m:t>
        </m:r>
      </m:oMath>
      <w:r>
        <w:t>–</w:t>
      </w:r>
      <m:oMath>
        <m:r>
          <w:rPr>
            <w:rFonts w:ascii="Cambria Math" w:hAnsi="Cambria Math"/>
          </w:rPr>
          <m:t>40 μ</m:t>
        </m:r>
      </m:oMath>
      <w:r>
        <w:t>m in simulation vs. 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​150 μ</m:t>
        </m:r>
      </m:oMath>
      <w:r>
        <w:t>m in adult human trabecular bone) and tortuosity.</w:t>
      </w:r>
    </w:p>
    <w:p w14:paraId="0C0215D8" w14:textId="77777777" w:rsidR="007145CE" w:rsidRDefault="00000000">
      <w:pPr>
        <w:pStyle w:val="Heading3"/>
      </w:pPr>
      <w:bookmarkStart w:id="43" w:name="summary-of-key-findings"/>
      <w:bookmarkEnd w:id="42"/>
      <w:r>
        <w:t>10.6 Summary of Key Findings</w:t>
      </w:r>
    </w:p>
    <w:p w14:paraId="470CC0FE" w14:textId="77777777" w:rsidR="007145CE" w:rsidRDefault="00000000">
      <w:pPr>
        <w:numPr>
          <w:ilvl w:val="0"/>
          <w:numId w:val="9"/>
        </w:numPr>
      </w:pPr>
      <w:r>
        <w:rPr>
          <w:b/>
          <w:bCs/>
        </w:rPr>
        <w:t>Substrate stiffness is the master variable</w:t>
      </w:r>
      <w:r>
        <w:t xml:space="preserve"> for cell-driven compaction, acting through the motor-clutch engagement ratio </w:t>
      </w:r>
      <m:oMath>
        <m:r>
          <w:rPr>
            <w:rFonts w:ascii="Cambria Math" w:hAnsi="Cambria Math"/>
          </w:rPr>
          <m:t>β</m:t>
        </m:r>
      </m:oMath>
      <w:r>
        <w:t>. Below a critical stiffness (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≲</m:t>
        </m:r>
        <m:r>
          <w:rPr>
            <w:rFonts w:ascii="Cambria Math" w:hAnsi="Cambria Math"/>
          </w:rPr>
          <m:t>5</m:t>
        </m:r>
      </m:oMath>
      <w:r>
        <w:t xml:space="preserve"> kPa,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0.3</m:t>
        </m:r>
      </m:oMath>
      <w:r>
        <w:t>), cell traction is insufficient to drive measurable compaction.</w:t>
      </w:r>
    </w:p>
    <w:p w14:paraId="4F54B756" w14:textId="77777777" w:rsidR="007145CE" w:rsidRDefault="00000000">
      <w:pPr>
        <w:numPr>
          <w:ilvl w:val="0"/>
          <w:numId w:val="9"/>
        </w:numPr>
      </w:pPr>
      <w:r>
        <w:rPr>
          <w:b/>
          <w:bCs/>
        </w:rPr>
        <w:t>Composition ratio dominates tissue architecture.</w:t>
      </w:r>
      <w:r>
        <w:t xml:space="preserve"> The functional phase fraction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directly controls BV/TV, Tb.Th, and SMI. The inert phase acts as a void template.</w:t>
      </w:r>
    </w:p>
    <w:p w14:paraId="000A456C" w14:textId="77777777" w:rsidR="007145CE" w:rsidRDefault="00000000">
      <w:pPr>
        <w:numPr>
          <w:ilvl w:val="0"/>
          <w:numId w:val="9"/>
        </w:numPr>
      </w:pPr>
      <w:r>
        <w:rPr>
          <w:b/>
          <w:bCs/>
        </w:rPr>
        <w:t>The mean-field ODE captures compaction dynamics</w:t>
      </w:r>
      <w:r>
        <w:t xml:space="preserve"> in the high-</w:t>
      </w:r>
      <m:oMath>
        <m:r>
          <w:rPr>
            <w:rFonts w:ascii="Cambria Math" w:hAnsi="Cambria Math"/>
          </w:rPr>
          <m:t>β</m:t>
        </m:r>
      </m:oMath>
      <w:r>
        <w:t xml:space="preserve"> regime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0.1</m:t>
        </m:r>
      </m:oMath>
      <w:r>
        <w:t>–</w:t>
      </w:r>
      <m:oMath>
        <m:r>
          <w:rPr>
            <w:rFonts w:ascii="Cambria Math" w:hAnsi="Cambria Math"/>
          </w:rPr>
          <m:t>0.6</m:t>
        </m:r>
      </m:oMath>
      <w:r>
        <w:t xml:space="preserve">) but underperforms at low </w:t>
      </w:r>
      <m:oMath>
        <m:r>
          <w:rPr>
            <w:rFonts w:ascii="Cambria Math" w:hAnsi="Cambria Math"/>
          </w:rPr>
          <m:t>β</m:t>
        </m:r>
      </m:oMath>
      <w:r>
        <w:t xml:space="preserve"> where stochastic effects and bridge kinetics dominate.</w:t>
      </w:r>
    </w:p>
    <w:p w14:paraId="2515F848" w14:textId="77777777" w:rsidR="007145CE" w:rsidRDefault="00000000">
      <w:pPr>
        <w:numPr>
          <w:ilvl w:val="0"/>
          <w:numId w:val="9"/>
        </w:numPr>
      </w:pPr>
      <w:r>
        <w:rPr>
          <w:b/>
          <w:bCs/>
        </w:rPr>
        <w:t>Scaffold architectures span a wide range</w:t>
      </w:r>
      <w:r>
        <w:t xml:space="preserve"> of tissue descriptors (</w:t>
      </w:r>
      <m:oMath>
        <m:r>
          <m:rPr>
            <m:nor/>
          </m:rPr>
          <m:t>BV/TV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0.14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0.58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m:rPr>
            <m:nor/>
          </m:rPr>
          <m:t>SMI</m:t>
        </m:r>
        <m:r>
          <m:rPr>
            <m:sty m:val="p"/>
          </m:rPr>
          <w:rPr>
            <w:rFonts w:ascii="Cambria Math" w:hAnsi="Cambria Math"/>
          </w:rPr>
          <m:t>∈[-</m:t>
        </m:r>
        <m:r>
          <w:rPr>
            <w:rFonts w:ascii="Cambria Math" w:hAnsi="Cambria Math"/>
          </w:rPr>
          <m:t>2.7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1.8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), suggesting the GELLS system can be tuned toward multiple organ targets.</w:t>
      </w:r>
    </w:p>
    <w:p w14:paraId="56E2B6E7" w14:textId="77777777" w:rsidR="007145CE" w:rsidRDefault="00000000">
      <w:pPr>
        <w:numPr>
          <w:ilvl w:val="0"/>
          <w:numId w:val="9"/>
        </w:numPr>
      </w:pPr>
      <w:r>
        <w:rPr>
          <w:b/>
          <w:bCs/>
        </w:rPr>
        <w:t>Trabecular bone is the most accessible target</w:t>
      </w:r>
      <w: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arch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15.1</m:t>
        </m:r>
      </m:oMath>
      <w:r>
        <w:t xml:space="preserve"> at optimal parameters. Liver and kidney cortex are secondary targets requiring higher BV/TV and lower porosity than achieved in this DOE.</w:t>
      </w:r>
    </w:p>
    <w:p w14:paraId="528F8DBD" w14:textId="77777777" w:rsidR="007145CE" w:rsidRDefault="001050FF">
      <w:r>
        <w:rPr>
          <w:noProof/>
        </w:rPr>
      </w:r>
      <w:r>
        <w:pict w14:anchorId="7CB5F9DB">
          <v:rect id="Horizontal Line 1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3D72FC" w14:textId="77777777" w:rsidR="007145CE" w:rsidRDefault="00000000">
      <w:pPr>
        <w:pStyle w:val="Heading2"/>
      </w:pPr>
      <w:bookmarkStart w:id="44" w:name="references"/>
      <w:bookmarkEnd w:id="37"/>
      <w:bookmarkEnd w:id="43"/>
      <w:r>
        <w:t>References</w:t>
      </w:r>
    </w:p>
    <w:p w14:paraId="187119E5" w14:textId="77777777" w:rsidR="007145CE" w:rsidRDefault="00000000">
      <w:pPr>
        <w:numPr>
          <w:ilvl w:val="0"/>
          <w:numId w:val="10"/>
        </w:numPr>
      </w:pPr>
      <w:r>
        <w:t xml:space="preserve">Chan, C. E. and Odde, D. J. (2008). Traction dynamics of filopodia on compliant substrates. </w:t>
      </w:r>
      <w:r>
        <w:rPr>
          <w:i/>
          <w:iCs/>
        </w:rPr>
        <w:t>Science</w:t>
      </w:r>
      <w:r>
        <w:t>, 322(5908):1687–1691.</w:t>
      </w:r>
    </w:p>
    <w:p w14:paraId="45FB32B1" w14:textId="77777777" w:rsidR="007145CE" w:rsidRDefault="00000000">
      <w:pPr>
        <w:numPr>
          <w:ilvl w:val="0"/>
          <w:numId w:val="10"/>
        </w:numPr>
      </w:pPr>
      <w:r>
        <w:t xml:space="preserve">Derjaguin, B. V., Muller, V. M., and Toporov, Y. P. (1975). Effect of contact deformations on the adhesion of particles. </w:t>
      </w:r>
      <w:r>
        <w:rPr>
          <w:i/>
          <w:iCs/>
        </w:rPr>
        <w:t>Journal of Colloid and Interface Science</w:t>
      </w:r>
      <w:r>
        <w:t>, 53(2):314–326.</w:t>
      </w:r>
    </w:p>
    <w:p w14:paraId="50D49B99" w14:textId="77777777" w:rsidR="007145CE" w:rsidRDefault="00000000">
      <w:pPr>
        <w:numPr>
          <w:ilvl w:val="0"/>
          <w:numId w:val="10"/>
        </w:numPr>
      </w:pPr>
      <w:r>
        <w:t xml:space="preserve">Donev, A., Cisse, I., Sachs, D., Variano, E. A., Stillinger, F. H., Connelly, R., Torquato, S., and Chaikin, P. M. (2004). Improving the density of jammed disordered packings using ellipsoids. </w:t>
      </w:r>
      <w:r>
        <w:rPr>
          <w:i/>
          <w:iCs/>
        </w:rPr>
        <w:t>Science</w:t>
      </w:r>
      <w:r>
        <w:t>, 303(5660):990–993.</w:t>
      </w:r>
    </w:p>
    <w:p w14:paraId="07621A9F" w14:textId="77777777" w:rsidR="007145CE" w:rsidRDefault="00000000">
      <w:pPr>
        <w:numPr>
          <w:ilvl w:val="0"/>
          <w:numId w:val="10"/>
        </w:numPr>
      </w:pPr>
      <w:r>
        <w:t xml:space="preserve">Gong, J. P. (2006). Friction and lubrication of hydrogels — its richness and complexity. </w:t>
      </w:r>
      <w:r>
        <w:rPr>
          <w:i/>
          <w:iCs/>
        </w:rPr>
        <w:t>Soft Matter</w:t>
      </w:r>
      <w:r>
        <w:t>, 2(7):544–552.</w:t>
      </w:r>
    </w:p>
    <w:p w14:paraId="59A3F7AA" w14:textId="77777777" w:rsidR="007145CE" w:rsidRDefault="00000000">
      <w:pPr>
        <w:numPr>
          <w:ilvl w:val="0"/>
          <w:numId w:val="10"/>
        </w:numPr>
      </w:pPr>
      <w:r>
        <w:lastRenderedPageBreak/>
        <w:t xml:space="preserve">Harrigan, T. P. and Mann, R. W. (1984). Characterization of microstructural anisotropy in orthotropic materials using a second rank tensor. </w:t>
      </w:r>
      <w:r>
        <w:rPr>
          <w:i/>
          <w:iCs/>
        </w:rPr>
        <w:t>Journal of Materials Science</w:t>
      </w:r>
      <w:r>
        <w:t>, 19(3):761–767.</w:t>
      </w:r>
    </w:p>
    <w:p w14:paraId="02610D8D" w14:textId="77777777" w:rsidR="007145CE" w:rsidRDefault="00000000">
      <w:pPr>
        <w:numPr>
          <w:ilvl w:val="0"/>
          <w:numId w:val="10"/>
        </w:numPr>
      </w:pPr>
      <w:r>
        <w:t xml:space="preserve">Hildebrand, T. and Ruegsegger, P. (1997). A new method for the model-independent assessment of thickness in three-dimensional images. </w:t>
      </w:r>
      <w:r>
        <w:rPr>
          <w:i/>
          <w:iCs/>
        </w:rPr>
        <w:t>Journal of Microscopy</w:t>
      </w:r>
      <w:r>
        <w:t>, 185(1):67–75.</w:t>
      </w:r>
    </w:p>
    <w:p w14:paraId="60519710" w14:textId="77777777" w:rsidR="007145CE" w:rsidRDefault="00000000">
      <w:pPr>
        <w:numPr>
          <w:ilvl w:val="0"/>
          <w:numId w:val="10"/>
        </w:numPr>
      </w:pPr>
      <w:r>
        <w:t xml:space="preserve">Jaklic, A. and Leonardis, A. (2000). Superquadrics and their geometric properties. In </w:t>
      </w:r>
      <w:r>
        <w:rPr>
          <w:i/>
          <w:iCs/>
        </w:rPr>
        <w:t>Segmentation and Recovery of Superquadrics</w:t>
      </w:r>
      <w:r>
        <w:t>, pages 13–39. Springer.</w:t>
      </w:r>
    </w:p>
    <w:p w14:paraId="351D2D89" w14:textId="77777777" w:rsidR="007145CE" w:rsidRDefault="00000000">
      <w:pPr>
        <w:numPr>
          <w:ilvl w:val="0"/>
          <w:numId w:val="10"/>
        </w:numPr>
      </w:pPr>
      <w:r>
        <w:t xml:space="preserve">Johnson, K. L. (1985). </w:t>
      </w:r>
      <w:r>
        <w:rPr>
          <w:i/>
          <w:iCs/>
        </w:rPr>
        <w:t>Contact Mechanics</w:t>
      </w:r>
      <w:r>
        <w:t>. Cambridge University Press.</w:t>
      </w:r>
    </w:p>
    <w:p w14:paraId="3B68C0C1" w14:textId="77777777" w:rsidR="007145CE" w:rsidRDefault="00000000">
      <w:pPr>
        <w:numPr>
          <w:ilvl w:val="0"/>
          <w:numId w:val="10"/>
        </w:numPr>
      </w:pPr>
      <w:r>
        <w:t xml:space="preserve">O’Hern, C. S., Silbert, L. E., Liu, A. J., and Nagel, S. R. (2003). Jamming at zero temperature and zero applied stress: The epitome of disorder. </w:t>
      </w:r>
      <w:r>
        <w:rPr>
          <w:i/>
          <w:iCs/>
        </w:rPr>
        <w:t>Physical Review E</w:t>
      </w:r>
      <w:r>
        <w:t>, 68(1):011306.</w:t>
      </w:r>
    </w:p>
    <w:p w14:paraId="3CB779BD" w14:textId="77777777" w:rsidR="007145CE" w:rsidRDefault="00000000">
      <w:pPr>
        <w:numPr>
          <w:ilvl w:val="0"/>
          <w:numId w:val="10"/>
        </w:numPr>
      </w:pPr>
      <w:r>
        <w:t xml:space="preserve">Pitenis, A. A., Uruenya, J. M., Schulze, K. D., Nixon, R. M., Dunn, A. C., Krick, B. A., Sawyer, W. G., and Angelini, T. E. (2014). Polymer fluctuation lubrication in hydrogel gemini interfaces. </w:t>
      </w:r>
      <w:r>
        <w:rPr>
          <w:i/>
          <w:iCs/>
        </w:rPr>
        <w:t>Soft Matter</w:t>
      </w:r>
      <w:r>
        <w:t>, 10(44):8955–8962.</w:t>
      </w:r>
    </w:p>
    <w:p w14:paraId="65C62864" w14:textId="77777777" w:rsidR="007145CE" w:rsidRDefault="00000000">
      <w:pPr>
        <w:numPr>
          <w:ilvl w:val="0"/>
          <w:numId w:val="10"/>
        </w:numPr>
      </w:pPr>
      <w:r>
        <w:t xml:space="preserve">Torquato, S., Truskett, T. M., and Debenedetti, P. G. (2000). Is random close packing of spheres well defined? </w:t>
      </w:r>
      <w:r>
        <w:rPr>
          <w:i/>
          <w:iCs/>
        </w:rPr>
        <w:t>Physical Review Letters</w:t>
      </w:r>
      <w:r>
        <w:t>, 84(10):2064–2067.</w:t>
      </w:r>
    </w:p>
    <w:bookmarkEnd w:id="0"/>
    <w:bookmarkEnd w:id="44"/>
    <w:p w14:paraId="7E087145" w14:textId="77777777" w:rsidR="007145CE" w:rsidRDefault="00000000">
      <w:r>
        <w:br w:type="page"/>
      </w:r>
    </w:p>
    <w:p w14:paraId="24EE6851" w14:textId="77777777" w:rsidR="007145CE" w:rsidRDefault="00000000">
      <w:pPr>
        <w:pStyle w:val="Heading1"/>
      </w:pPr>
      <w:r>
        <w:lastRenderedPageBreak/>
        <w:t>Appendix A: Per-Run Mean-Field Analysis</w:t>
      </w:r>
    </w:p>
    <w:p w14:paraId="6924B5D4" w14:textId="77777777" w:rsidR="007145CE" w:rsidRDefault="00000000">
      <w:r>
        <w:rPr>
          <w:sz w:val="20"/>
        </w:rPr>
        <w:t>This appendix contains the mean-field compaction model results for all 23 DOE runs. Each run shows four panels: (a) compaction fit, (b) phase evolution, (c) permeability evolution, (d) stress balance.</w:t>
      </w:r>
    </w:p>
    <w:p w14:paraId="40606E04" w14:textId="77777777" w:rsidR="007145CE" w:rsidRDefault="00000000">
      <w:pPr>
        <w:pStyle w:val="Heading2"/>
      </w:pPr>
      <w:r>
        <w:t>DOE_01 (E = 2.0 kPa, R² = -4.542, Δφ_f = -0.0063)</w:t>
      </w:r>
    </w:p>
    <w:p w14:paraId="4E696DCA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4FCB06ED" wp14:editId="3AD599E0">
            <wp:extent cx="5029200" cy="314056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AC29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19. DOE_01 -- (a) Compaction fit.</w:t>
      </w:r>
    </w:p>
    <w:p w14:paraId="17CA6934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2F7CEFCE" wp14:editId="67088BF9">
            <wp:extent cx="5029200" cy="310502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AE3B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20. DOE_01 -- (b) Phase evolution.</w:t>
      </w:r>
    </w:p>
    <w:p w14:paraId="7252EC11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4DEEBD00" wp14:editId="5AD59844">
            <wp:extent cx="5029200" cy="206420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31D2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21. DOE_01 -- (c) Permeability evolution.</w:t>
      </w:r>
    </w:p>
    <w:p w14:paraId="4A7F49D6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4F3F5ECA" wp14:editId="4D244F69">
            <wp:extent cx="5029200" cy="31102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7D06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22. DOE_01 -- (d) Stress balance.</w:t>
      </w:r>
    </w:p>
    <w:p w14:paraId="15090056" w14:textId="77777777" w:rsidR="007145CE" w:rsidRDefault="00000000">
      <w:pPr>
        <w:pStyle w:val="Heading2"/>
      </w:pPr>
      <w:r>
        <w:lastRenderedPageBreak/>
        <w:t>DOE_02 (E = 50.0 kPa, R² = -0.491, Δφ_f = -0.0380)</w:t>
      </w:r>
    </w:p>
    <w:p w14:paraId="155E9CB7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05075BCB" wp14:editId="06593CC3">
            <wp:extent cx="5029200" cy="31060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D82B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23. DOE_02 -- (a) Compaction fit.</w:t>
      </w:r>
    </w:p>
    <w:p w14:paraId="73A7D298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287CB94B" wp14:editId="53DD2B6A">
            <wp:extent cx="5029200" cy="310502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FD6B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24. DOE_02 -- (b) Phase evolution.</w:t>
      </w:r>
    </w:p>
    <w:p w14:paraId="2674B070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66D7720C" wp14:editId="723F2FD1">
            <wp:extent cx="5029200" cy="206420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85DD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25. DOE_02 -- (c) Permeability evolution.</w:t>
      </w:r>
    </w:p>
    <w:p w14:paraId="00994C93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7D1A4F9F" wp14:editId="756D79C6">
            <wp:extent cx="5029200" cy="311290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5C5A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26. DOE_02 -- (d) Stress balance.</w:t>
      </w:r>
    </w:p>
    <w:p w14:paraId="78B29DF8" w14:textId="77777777" w:rsidR="007145CE" w:rsidRDefault="00000000">
      <w:pPr>
        <w:pStyle w:val="Heading2"/>
      </w:pPr>
      <w:r>
        <w:lastRenderedPageBreak/>
        <w:t>DOE_03 (E = 2.0 kPa, R² = -3.257, Δφ_f = -0.0043)</w:t>
      </w:r>
    </w:p>
    <w:p w14:paraId="77631E0D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03E59A3E" wp14:editId="1A5AF300">
            <wp:extent cx="5029200" cy="314056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D0FC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27. DOE_03 -- (a) Compaction fit.</w:t>
      </w:r>
    </w:p>
    <w:p w14:paraId="72521B8D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2E28FC80" wp14:editId="756B887F">
            <wp:extent cx="5029200" cy="310502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DF6A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28. DOE_03 -- (b) Phase evolution.</w:t>
      </w:r>
    </w:p>
    <w:p w14:paraId="0A42D4A1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396073B6" wp14:editId="4443E575">
            <wp:extent cx="5029200" cy="206420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E647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29. DOE_03 -- (c) Permeability evolution.</w:t>
      </w:r>
    </w:p>
    <w:p w14:paraId="0205F7B5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7BC69942" wp14:editId="0CF27E6D">
            <wp:extent cx="5029200" cy="311290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79ED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30. DOE_03 -- (d) Stress balance.</w:t>
      </w:r>
    </w:p>
    <w:p w14:paraId="25DE4228" w14:textId="77777777" w:rsidR="007145CE" w:rsidRDefault="00000000">
      <w:pPr>
        <w:pStyle w:val="Heading2"/>
      </w:pPr>
      <w:r>
        <w:lastRenderedPageBreak/>
        <w:t>DOE_04 (E = 50.0 kPa, R² = -0.084, Δφ_f = -0.0554)</w:t>
      </w:r>
    </w:p>
    <w:p w14:paraId="5A9CC6D4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4DE8E268" wp14:editId="7A427C34">
            <wp:extent cx="5029200" cy="31060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AC19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31. DOE_04 -- (a) Compaction fit.</w:t>
      </w:r>
    </w:p>
    <w:p w14:paraId="3BCB294D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63A3E195" wp14:editId="2111F35D">
            <wp:extent cx="5029200" cy="310502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503A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32. DOE_04 -- (b) Phase evolution.</w:t>
      </w:r>
    </w:p>
    <w:p w14:paraId="199EB86F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48B1EF48" wp14:editId="6D357558">
            <wp:extent cx="5029200" cy="206420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3B6F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33. DOE_04 -- (c) Permeability evolution.</w:t>
      </w:r>
    </w:p>
    <w:p w14:paraId="64F30B9B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36E3A928" wp14:editId="56DD247E">
            <wp:extent cx="5029200" cy="31102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23EE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34. DOE_04 -- (d) Stress balance.</w:t>
      </w:r>
    </w:p>
    <w:p w14:paraId="3B9C4D82" w14:textId="77777777" w:rsidR="007145CE" w:rsidRDefault="00000000">
      <w:pPr>
        <w:pStyle w:val="Heading2"/>
      </w:pPr>
      <w:r>
        <w:lastRenderedPageBreak/>
        <w:t>DOE_05 (E = 2.0 kPa, R² = -0.881, Δφ_f = -0.0047)</w:t>
      </w:r>
    </w:p>
    <w:p w14:paraId="76564B37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7CCDE21E" wp14:editId="01688BC5">
            <wp:extent cx="5029200" cy="314056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78C3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35. DOE_05 -- (a) Compaction fit.</w:t>
      </w:r>
    </w:p>
    <w:p w14:paraId="2C75AD61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22C6A337" wp14:editId="3970339F">
            <wp:extent cx="5029200" cy="310502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223A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36. DOE_05 -- (b) Phase evolution.</w:t>
      </w:r>
    </w:p>
    <w:p w14:paraId="5CF2E98E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20793A69" wp14:editId="65C28FA1">
            <wp:extent cx="5029200" cy="206420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C84C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37. DOE_05 -- (c) Permeability evolution.</w:t>
      </w:r>
    </w:p>
    <w:p w14:paraId="2F6EF20A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740D0A3F" wp14:editId="334F0F45">
            <wp:extent cx="5029200" cy="311290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28CC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38. DOE_05 -- (d) Stress balance.</w:t>
      </w:r>
    </w:p>
    <w:p w14:paraId="4151F8AB" w14:textId="77777777" w:rsidR="007145CE" w:rsidRDefault="00000000">
      <w:pPr>
        <w:pStyle w:val="Heading2"/>
      </w:pPr>
      <w:r>
        <w:lastRenderedPageBreak/>
        <w:t>DOE_06 (E = 50.0 kPa, R² = -0.483, Δφ_f = -0.0030)</w:t>
      </w:r>
    </w:p>
    <w:p w14:paraId="00BD9ACE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7B09919F" wp14:editId="39246C82">
            <wp:extent cx="5029200" cy="310602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8CC8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39. DOE_06 -- (a) Compaction fit.</w:t>
      </w:r>
    </w:p>
    <w:p w14:paraId="686D941F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456398B5" wp14:editId="18E63DA9">
            <wp:extent cx="5029200" cy="310502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48D5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40. DOE_06 -- (b) Phase evolution.</w:t>
      </w:r>
    </w:p>
    <w:p w14:paraId="5A6EF443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53D83111" wp14:editId="27DF4D9E">
            <wp:extent cx="5029200" cy="206420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82DB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41. DOE_06 -- (c) Permeability evolution.</w:t>
      </w:r>
    </w:p>
    <w:p w14:paraId="4EB20790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3CB16437" wp14:editId="7C5E6632">
            <wp:extent cx="5029200" cy="31102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10D5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42. DOE_06 -- (d) Stress balance.</w:t>
      </w:r>
    </w:p>
    <w:p w14:paraId="086775FA" w14:textId="77777777" w:rsidR="007145CE" w:rsidRDefault="00000000">
      <w:pPr>
        <w:pStyle w:val="Heading2"/>
      </w:pPr>
      <w:r>
        <w:lastRenderedPageBreak/>
        <w:t>DOE_07 (E = 2.0 kPa, R² = -1.303, Δφ_f = 0.0679)</w:t>
      </w:r>
    </w:p>
    <w:p w14:paraId="0425ACF3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4C8392A9" wp14:editId="6E9E3908">
            <wp:extent cx="5029200" cy="314056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9170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43. DOE_07 -- (a) Compaction fit.</w:t>
      </w:r>
    </w:p>
    <w:p w14:paraId="2AA04124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46FEC75D" wp14:editId="3733245C">
            <wp:extent cx="5029200" cy="3105021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D88B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44. DOE_07 -- (b) Phase evolution.</w:t>
      </w:r>
    </w:p>
    <w:p w14:paraId="6C533DDC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4006B4A4" wp14:editId="5C4CBB89">
            <wp:extent cx="5029200" cy="2064203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1A4E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45. DOE_07 -- (c) Permeability evolution.</w:t>
      </w:r>
    </w:p>
    <w:p w14:paraId="50F30611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06C36D4F" wp14:editId="124530D1">
            <wp:extent cx="5029200" cy="311027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8AF4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46. DOE_07 -- (d) Stress balance.</w:t>
      </w:r>
    </w:p>
    <w:p w14:paraId="2BAB5EC6" w14:textId="77777777" w:rsidR="007145CE" w:rsidRDefault="00000000">
      <w:pPr>
        <w:pStyle w:val="Heading2"/>
      </w:pPr>
      <w:r>
        <w:lastRenderedPageBreak/>
        <w:t>DOE_08 (E = 50.0 kPa, R² = 0.185, Δφ_f = -0.0734)</w:t>
      </w:r>
    </w:p>
    <w:p w14:paraId="685FAB3E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036E6F7C" wp14:editId="3EB7AC4F">
            <wp:extent cx="5029200" cy="310602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5725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47. DOE_08 -- (a) Compaction fit.</w:t>
      </w:r>
    </w:p>
    <w:p w14:paraId="67D0F650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275A1862" wp14:editId="46663E98">
            <wp:extent cx="5029200" cy="3105021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4D07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48. DOE_08 -- (b) Phase evolution.</w:t>
      </w:r>
    </w:p>
    <w:p w14:paraId="7945E9F2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5B7C22A3" wp14:editId="4449A3C0">
            <wp:extent cx="5029200" cy="206536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D20B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49. DOE_08 -- (c) Permeability evolution.</w:t>
      </w:r>
    </w:p>
    <w:p w14:paraId="74829D7A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581BE31A" wp14:editId="40E43AEE">
            <wp:extent cx="5029200" cy="3112909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34F9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50. DOE_08 -- (d) Stress balance.</w:t>
      </w:r>
    </w:p>
    <w:p w14:paraId="215D24A0" w14:textId="77777777" w:rsidR="007145CE" w:rsidRDefault="00000000">
      <w:pPr>
        <w:pStyle w:val="Heading2"/>
      </w:pPr>
      <w:r>
        <w:lastRenderedPageBreak/>
        <w:t>DOE_09 (E = 2.0 kPa, R² = -0.157, Δφ_f = 0.0042)</w:t>
      </w:r>
    </w:p>
    <w:p w14:paraId="0D52E4BF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0EB5982D" wp14:editId="679BB669">
            <wp:extent cx="5029200" cy="31432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25F7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51. DOE_09 -- (a) Compaction fit.</w:t>
      </w:r>
    </w:p>
    <w:p w14:paraId="5FA33F82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5BB1BF99" wp14:editId="4D10282C">
            <wp:extent cx="5029200" cy="3105021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42B5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52. DOE_09 -- (b) Phase evolution.</w:t>
      </w:r>
    </w:p>
    <w:p w14:paraId="61B3E37B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7FE206C8" wp14:editId="1D2B2EF4">
            <wp:extent cx="5029200" cy="2064203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DBB2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53. DOE_09 -- (c) Permeability evolution.</w:t>
      </w:r>
    </w:p>
    <w:p w14:paraId="003B18BB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1CB509B4" wp14:editId="684207AB">
            <wp:extent cx="5029200" cy="3112909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61F9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54. DOE_09 -- (d) Stress balance.</w:t>
      </w:r>
    </w:p>
    <w:p w14:paraId="392B7576" w14:textId="77777777" w:rsidR="007145CE" w:rsidRDefault="00000000">
      <w:pPr>
        <w:pStyle w:val="Heading2"/>
      </w:pPr>
      <w:r>
        <w:lastRenderedPageBreak/>
        <w:t>DOE_10 (E = 50.0 kPa, R² = 0.630, Δφ_f = -0.0400)</w:t>
      </w:r>
    </w:p>
    <w:p w14:paraId="5345F639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482D1DB0" wp14:editId="05D8B85E">
            <wp:extent cx="5029200" cy="310602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D80D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55. DOE_10 -- (a) Compaction fit.</w:t>
      </w:r>
    </w:p>
    <w:p w14:paraId="3484416A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66258FF0" wp14:editId="4A0FE751">
            <wp:extent cx="5029200" cy="3105021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5F6A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56. DOE_10 -- (b) Phase evolution.</w:t>
      </w:r>
    </w:p>
    <w:p w14:paraId="182F5288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5F29F54D" wp14:editId="67B473DF">
            <wp:extent cx="5029200" cy="2064203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E9E5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57. DOE_10 -- (c) Permeability evolution.</w:t>
      </w:r>
    </w:p>
    <w:p w14:paraId="7B82E2C2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10CE173E" wp14:editId="4D5E6836">
            <wp:extent cx="5029200" cy="311027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343F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58. DOE_10 -- (d) Stress balance.</w:t>
      </w:r>
    </w:p>
    <w:p w14:paraId="71DB33D1" w14:textId="77777777" w:rsidR="007145CE" w:rsidRDefault="00000000">
      <w:pPr>
        <w:pStyle w:val="Heading2"/>
      </w:pPr>
      <w:r>
        <w:lastRenderedPageBreak/>
        <w:t>DOE_11 (E = 2.0 kPa, R² = -0.029, Δφ_f = 0.0027)</w:t>
      </w:r>
    </w:p>
    <w:p w14:paraId="015FDE74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39D0AC6B" wp14:editId="157365AE">
            <wp:extent cx="5029200" cy="31432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AF7A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59. DOE_11 -- (a) Compaction fit.</w:t>
      </w:r>
    </w:p>
    <w:p w14:paraId="6789C305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071091C4" wp14:editId="21B4BF9B">
            <wp:extent cx="5029200" cy="3105021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8B1B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60. DOE_11 -- (b) Phase evolution.</w:t>
      </w:r>
    </w:p>
    <w:p w14:paraId="74E4610C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2E276803" wp14:editId="38CE189A">
            <wp:extent cx="5029200" cy="2064203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0C2E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61. DOE_11 -- (c) Permeability evolution.</w:t>
      </w:r>
    </w:p>
    <w:p w14:paraId="641C4675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559299CB" wp14:editId="7422F661">
            <wp:extent cx="5029200" cy="3112909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D930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62. DOE_11 -- (d) Stress balance.</w:t>
      </w:r>
    </w:p>
    <w:p w14:paraId="2CE3C262" w14:textId="77777777" w:rsidR="007145CE" w:rsidRDefault="00000000">
      <w:pPr>
        <w:pStyle w:val="Heading2"/>
      </w:pPr>
      <w:r>
        <w:lastRenderedPageBreak/>
        <w:t>DOE_12 (E = 50.0 kPa, R² = 0.122, Δφ_f = -0.0353)</w:t>
      </w:r>
    </w:p>
    <w:p w14:paraId="38A4E911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7C52EE2E" wp14:editId="14886029">
            <wp:extent cx="5029200" cy="314325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053F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63. DOE_12 -- (a) Compaction fit.</w:t>
      </w:r>
    </w:p>
    <w:p w14:paraId="486C1415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4EDDCBB4" wp14:editId="2DDC84D2">
            <wp:extent cx="5029200" cy="3105021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4D6E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64. DOE_12 -- (b) Phase evolution.</w:t>
      </w:r>
    </w:p>
    <w:p w14:paraId="64E67310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7FE02A40" wp14:editId="55C1E1C5">
            <wp:extent cx="5029200" cy="2064203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219F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65. DOE_12 -- (c) Permeability evolution.</w:t>
      </w:r>
    </w:p>
    <w:p w14:paraId="5FEBD7C8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09FF1A76" wp14:editId="1AA6D6D1">
            <wp:extent cx="5029200" cy="311027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F9A1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66. DOE_12 -- (d) Stress balance.</w:t>
      </w:r>
    </w:p>
    <w:p w14:paraId="2D929DDC" w14:textId="77777777" w:rsidR="007145CE" w:rsidRDefault="00000000">
      <w:pPr>
        <w:pStyle w:val="Heading2"/>
      </w:pPr>
      <w:r>
        <w:lastRenderedPageBreak/>
        <w:t>DOE_13 (E = 2.0 kPa, R² = -0.691, Δφ_f = 0.0228)</w:t>
      </w:r>
    </w:p>
    <w:p w14:paraId="6CBECAE0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0D8BE160" wp14:editId="4A51E45C">
            <wp:extent cx="5029200" cy="3140561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D7ED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67. DOE_13 -- (a) Compaction fit.</w:t>
      </w:r>
    </w:p>
    <w:p w14:paraId="535D9628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42B27803" wp14:editId="53B2D5B8">
            <wp:extent cx="5029200" cy="3105021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6E7F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68. DOE_13 -- (b) Phase evolution.</w:t>
      </w:r>
    </w:p>
    <w:p w14:paraId="36D9E28B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0EBDCA64" wp14:editId="220A09F0">
            <wp:extent cx="5029200" cy="2064203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B141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69. DOE_13 -- (c) Permeability evolution.</w:t>
      </w:r>
    </w:p>
    <w:p w14:paraId="7DA104BE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762C0B16" wp14:editId="12B22F19">
            <wp:extent cx="5029200" cy="311027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F013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70. DOE_13 -- (d) Stress balance.</w:t>
      </w:r>
    </w:p>
    <w:p w14:paraId="20E9D6E8" w14:textId="77777777" w:rsidR="007145CE" w:rsidRDefault="00000000">
      <w:pPr>
        <w:pStyle w:val="Heading2"/>
      </w:pPr>
      <w:r>
        <w:lastRenderedPageBreak/>
        <w:t>DOE_14 (E = 50.0 kPa, R² = -1.528, Δφ_f = -0.0378)</w:t>
      </w:r>
    </w:p>
    <w:p w14:paraId="45E63921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58C59F55" wp14:editId="307E6422">
            <wp:extent cx="5029200" cy="310602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7F55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71. DOE_14 -- (a) Compaction fit.</w:t>
      </w:r>
    </w:p>
    <w:p w14:paraId="75639945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7BD44789" wp14:editId="19C95526">
            <wp:extent cx="5029200" cy="3105021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F184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72. DOE_14 -- (b) Phase evolution.</w:t>
      </w:r>
    </w:p>
    <w:p w14:paraId="446D1BC3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5BD44861" wp14:editId="79E98634">
            <wp:extent cx="5029200" cy="2064203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D445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73. DOE_14 -- (c) Permeability evolution.</w:t>
      </w:r>
    </w:p>
    <w:p w14:paraId="21B21909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0ECE7859" wp14:editId="21EBA0C3">
            <wp:extent cx="5029200" cy="311027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2A10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74. DOE_14 -- (d) Stress balance.</w:t>
      </w:r>
    </w:p>
    <w:p w14:paraId="1E957FB5" w14:textId="77777777" w:rsidR="007145CE" w:rsidRDefault="00000000">
      <w:pPr>
        <w:pStyle w:val="Heading2"/>
      </w:pPr>
      <w:r>
        <w:lastRenderedPageBreak/>
        <w:t>DOE_15 (E = 2.0 kPa, R² = -0.979, Δφ_f = 0.0104)</w:t>
      </w:r>
    </w:p>
    <w:p w14:paraId="6850F8B3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678315AE" wp14:editId="2AE3A0EF">
            <wp:extent cx="5029200" cy="3140561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E2D7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75. DOE_15 -- (a) Compaction fit.</w:t>
      </w:r>
    </w:p>
    <w:p w14:paraId="17481698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79A1B9CD" wp14:editId="4C61EA87">
            <wp:extent cx="5029200" cy="3105021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7972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76. DOE_15 -- (b) Phase evolution.</w:t>
      </w:r>
    </w:p>
    <w:p w14:paraId="251AD50B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636F1D06" wp14:editId="38B9632B">
            <wp:extent cx="5029200" cy="2064203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DD8B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77. DOE_15 -- (c) Permeability evolution.</w:t>
      </w:r>
    </w:p>
    <w:p w14:paraId="721EC91A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3B1E495B" wp14:editId="13F0EEA5">
            <wp:extent cx="5029200" cy="311027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DFB6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78. DOE_15 -- (d) Stress balance.</w:t>
      </w:r>
    </w:p>
    <w:p w14:paraId="3C3406EF" w14:textId="77777777" w:rsidR="007145CE" w:rsidRDefault="00000000">
      <w:pPr>
        <w:pStyle w:val="Heading2"/>
      </w:pPr>
      <w:r>
        <w:lastRenderedPageBreak/>
        <w:t>DOE_16 (E = 50.0 kPa, R² = -0.520, Δφ_f = 0.0108)</w:t>
      </w:r>
    </w:p>
    <w:p w14:paraId="32FAD30B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1CFFE777" wp14:editId="205F8A90">
            <wp:extent cx="5029200" cy="3175879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2D21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79. DOE_16 -- (a) Compaction fit.</w:t>
      </w:r>
    </w:p>
    <w:p w14:paraId="38F3268D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0C5370FC" wp14:editId="78222FA3">
            <wp:extent cx="5029200" cy="3105021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C7B6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80. DOE_16 -- (b) Phase evolution.</w:t>
      </w:r>
    </w:p>
    <w:p w14:paraId="156C7ED1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528A73FA" wp14:editId="24903017">
            <wp:extent cx="5029200" cy="2064203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C867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81. DOE_16 -- (c) Permeability evolution.</w:t>
      </w:r>
    </w:p>
    <w:p w14:paraId="6F9A0543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4A9195E8" wp14:editId="4E30BDEC">
            <wp:extent cx="5029200" cy="3112909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C01F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82. DOE_16 -- (d) Stress balance.</w:t>
      </w:r>
    </w:p>
    <w:p w14:paraId="6A7F2493" w14:textId="77777777" w:rsidR="007145CE" w:rsidRDefault="00000000">
      <w:pPr>
        <w:pStyle w:val="Heading2"/>
      </w:pPr>
      <w:r>
        <w:lastRenderedPageBreak/>
        <w:t>DOE_17 (E = 2.0 kPa, R² = -2.074, Δφ_f = 0.0112)</w:t>
      </w:r>
    </w:p>
    <w:p w14:paraId="2AAB07E7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3EF2DC01" wp14:editId="05EEE0F8">
            <wp:extent cx="5029200" cy="3140561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F3FE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83. DOE_17 -- (a) Compaction fit.</w:t>
      </w:r>
    </w:p>
    <w:p w14:paraId="024F57A1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38392BF6" wp14:editId="04585A1B">
            <wp:extent cx="5029200" cy="3105021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74CF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84. DOE_17 -- (b) Phase evolution.</w:t>
      </w:r>
    </w:p>
    <w:p w14:paraId="3C4B0151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4C857A33" wp14:editId="37ADDFCD">
            <wp:extent cx="5029200" cy="2064203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6249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85. DOE_17 -- (c) Permeability evolution.</w:t>
      </w:r>
    </w:p>
    <w:p w14:paraId="1F8D468A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246F9D2E" wp14:editId="68EDC227">
            <wp:extent cx="5029200" cy="3112909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E292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86. DOE_17 -- (d) Stress balance.</w:t>
      </w:r>
    </w:p>
    <w:p w14:paraId="3A1BA4A0" w14:textId="77777777" w:rsidR="007145CE" w:rsidRDefault="00000000">
      <w:pPr>
        <w:pStyle w:val="Heading2"/>
      </w:pPr>
      <w:r>
        <w:lastRenderedPageBreak/>
        <w:t>DOE_18 (E = 50.0 kPa, R² = 0.121, Δφ_f = -0.1408)</w:t>
      </w:r>
    </w:p>
    <w:p w14:paraId="518760B2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043E4736" wp14:editId="643E8B74">
            <wp:extent cx="5029200" cy="3175879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6CF2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87. DOE_18 -- (a) Compaction fit.</w:t>
      </w:r>
    </w:p>
    <w:p w14:paraId="6C816969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4E78BAC1" wp14:editId="08A1613F">
            <wp:extent cx="5029200" cy="3105021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D7C2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88. DOE_18 -- (b) Phase evolution.</w:t>
      </w:r>
    </w:p>
    <w:p w14:paraId="4A22F5A2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321C6D47" wp14:editId="079909E6">
            <wp:extent cx="5029200" cy="2065362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1E9F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89. DOE_18 -- (c) Permeability evolution.</w:t>
      </w:r>
    </w:p>
    <w:p w14:paraId="49417A46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151D6C83" wp14:editId="24D89AA9">
            <wp:extent cx="5029200" cy="311027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B854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90. DOE_18 -- (d) Stress balance.</w:t>
      </w:r>
    </w:p>
    <w:p w14:paraId="4D3853BE" w14:textId="77777777" w:rsidR="007145CE" w:rsidRDefault="00000000">
      <w:pPr>
        <w:pStyle w:val="Heading2"/>
      </w:pPr>
      <w:r>
        <w:lastRenderedPageBreak/>
        <w:t>DOE_19 (E = 2.0 kPa, R² = -2.886, Δφ_f = 0.0477)</w:t>
      </w:r>
    </w:p>
    <w:p w14:paraId="04F18927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24B1FA4C" wp14:editId="5ADBF23A">
            <wp:extent cx="5029200" cy="3140561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4A93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91. DOE_19 -- (a) Compaction fit.</w:t>
      </w:r>
    </w:p>
    <w:p w14:paraId="1B64C617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42E872E3" wp14:editId="6A8C43CE">
            <wp:extent cx="5029200" cy="3105021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2E49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92. DOE_19 -- (b) Phase evolution.</w:t>
      </w:r>
    </w:p>
    <w:p w14:paraId="7BCC5665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221231C5" wp14:editId="2F0C16AD">
            <wp:extent cx="5029200" cy="2064203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6384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93. DOE_19 -- (c) Permeability evolution.</w:t>
      </w:r>
    </w:p>
    <w:p w14:paraId="5AC59E56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7DCEC8F4" wp14:editId="01003E3E">
            <wp:extent cx="5029200" cy="3110275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2BD8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94. DOE_19 -- (d) Stress balance.</w:t>
      </w:r>
    </w:p>
    <w:p w14:paraId="5396FF2B" w14:textId="77777777" w:rsidR="007145CE" w:rsidRDefault="00000000">
      <w:pPr>
        <w:pStyle w:val="Heading2"/>
      </w:pPr>
      <w:r>
        <w:lastRenderedPageBreak/>
        <w:t>DOE_20 (E = 50.0 kPa, R² = -1.033, Δφ_f = -0.1425)</w:t>
      </w:r>
    </w:p>
    <w:p w14:paraId="62C7FE91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01607EE9" wp14:editId="6DF14E77">
            <wp:extent cx="5029200" cy="3175879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FABC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95. DOE_20 -- (a) Compaction fit.</w:t>
      </w:r>
    </w:p>
    <w:p w14:paraId="5508D404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5D5C1BCE" wp14:editId="31A3A6FF">
            <wp:extent cx="5029200" cy="3105021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6F80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96. DOE_20 -- (b) Phase evolution.</w:t>
      </w:r>
    </w:p>
    <w:p w14:paraId="6154575E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6E4A5375" wp14:editId="3470B301">
            <wp:extent cx="5029200" cy="2065362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9121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97. DOE_20 -- (c) Permeability evolution.</w:t>
      </w:r>
    </w:p>
    <w:p w14:paraId="0CD492FB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628FFECF" wp14:editId="492F360C">
            <wp:extent cx="5029200" cy="3110275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618D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98. DOE_20 -- (d) Stress balance.</w:t>
      </w:r>
    </w:p>
    <w:p w14:paraId="66064B2B" w14:textId="77777777" w:rsidR="007145CE" w:rsidRDefault="00000000">
      <w:pPr>
        <w:pStyle w:val="Heading2"/>
      </w:pPr>
      <w:r>
        <w:lastRenderedPageBreak/>
        <w:t>DOE_21 (E = 2.0 kPa, R² = -4.121, Δφ_f = 0.0771)</w:t>
      </w:r>
    </w:p>
    <w:p w14:paraId="1A7E8E82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333944F3" wp14:editId="3716E8E8">
            <wp:extent cx="5029200" cy="3140561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DB8F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99. DOE_21 -- (a) Compaction fit.</w:t>
      </w:r>
    </w:p>
    <w:p w14:paraId="6E4CB79E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04F1E2D4" wp14:editId="4E978AA0">
            <wp:extent cx="5029200" cy="3105021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0ADC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100. DOE_21 -- (b) Phase evolution.</w:t>
      </w:r>
    </w:p>
    <w:p w14:paraId="2B0640F6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26ADEB07" wp14:editId="791E2948">
            <wp:extent cx="5029200" cy="2064203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E932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101. DOE_21 -- (c) Permeability evolution.</w:t>
      </w:r>
    </w:p>
    <w:p w14:paraId="005CF61D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1522A2C6" wp14:editId="6CCB43E5">
            <wp:extent cx="5029200" cy="3112909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6CF0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102. DOE_21 -- (d) Stress balance.</w:t>
      </w:r>
    </w:p>
    <w:p w14:paraId="6D11E1B8" w14:textId="77777777" w:rsidR="007145CE" w:rsidRDefault="00000000">
      <w:pPr>
        <w:pStyle w:val="Heading2"/>
      </w:pPr>
      <w:r>
        <w:lastRenderedPageBreak/>
        <w:t>DOE_22 (E = 50.0 kPa, R² = 0.200, Δφ_f = -0.0613)</w:t>
      </w:r>
    </w:p>
    <w:p w14:paraId="620D3057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4CF88A59" wp14:editId="75E05038">
            <wp:extent cx="5029200" cy="3140561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68BA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103. DOE_22 -- (a) Compaction fit.</w:t>
      </w:r>
    </w:p>
    <w:p w14:paraId="5732695B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39727705" wp14:editId="774CCC43">
            <wp:extent cx="5029200" cy="3105021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B454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104. DOE_22 -- (b) Phase evolution.</w:t>
      </w:r>
    </w:p>
    <w:p w14:paraId="6A12E669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58451130" wp14:editId="6CB13906">
            <wp:extent cx="5029200" cy="2065362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398F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105. DOE_22 -- (c) Permeability evolution.</w:t>
      </w:r>
    </w:p>
    <w:p w14:paraId="0C9326FA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65E58C2B" wp14:editId="323F4A87">
            <wp:extent cx="5029200" cy="3112909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FA40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106. DOE_22 -- (d) Stress balance.</w:t>
      </w:r>
    </w:p>
    <w:p w14:paraId="4B6F09EB" w14:textId="77777777" w:rsidR="007145CE" w:rsidRDefault="00000000">
      <w:pPr>
        <w:pStyle w:val="Heading2"/>
      </w:pPr>
      <w:r>
        <w:lastRenderedPageBreak/>
        <w:t>DOE_23 (E = 2.0 kPa, R² = -3.845, Δφ_f = 0.0135)</w:t>
      </w:r>
    </w:p>
    <w:p w14:paraId="7DDC5DB3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411AEF04" wp14:editId="41503B5A">
            <wp:extent cx="5029200" cy="3178629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ion_fit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9A5C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107. DOE_23 -- (a) Compaction fit.</w:t>
      </w:r>
    </w:p>
    <w:p w14:paraId="47457857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3E01CFCD" wp14:editId="668DB8B9">
            <wp:extent cx="5029200" cy="3105021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evolution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6EEE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108. DOE_23 -- (b) Phase evolution.</w:t>
      </w:r>
    </w:p>
    <w:p w14:paraId="107A8BB0" w14:textId="77777777" w:rsidR="007145CE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65F47576" wp14:editId="6E4B0B0D">
            <wp:extent cx="5029200" cy="2064203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ability_evolution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8FA4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109. DOE_23 -- (c) Permeability evolution.</w:t>
      </w:r>
    </w:p>
    <w:p w14:paraId="628C62F7" w14:textId="77777777" w:rsidR="007145CE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4FF3F419" wp14:editId="5CE83F05">
            <wp:extent cx="5029200" cy="3112909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_balanc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7625" w14:textId="77777777" w:rsidR="007145CE" w:rsidRDefault="00000000">
      <w:pPr>
        <w:spacing w:after="120"/>
        <w:jc w:val="center"/>
      </w:pPr>
      <w:r>
        <w:rPr>
          <w:i/>
          <w:color w:val="505050"/>
          <w:sz w:val="18"/>
        </w:rPr>
        <w:t>Figure 110. DOE_23 -- (d) Stress balance.</w:t>
      </w:r>
    </w:p>
    <w:sectPr w:rsidR="007145C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88AEF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D62F3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F2EB9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11377293">
    <w:abstractNumId w:val="0"/>
  </w:num>
  <w:num w:numId="2" w16cid:durableId="21448041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41024357">
    <w:abstractNumId w:val="1"/>
  </w:num>
  <w:num w:numId="4" w16cid:durableId="2135905435">
    <w:abstractNumId w:val="1"/>
  </w:num>
  <w:num w:numId="5" w16cid:durableId="1668707181">
    <w:abstractNumId w:val="1"/>
  </w:num>
  <w:num w:numId="6" w16cid:durableId="9300883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69551798">
    <w:abstractNumId w:val="1"/>
  </w:num>
  <w:num w:numId="8" w16cid:durableId="80641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94881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90692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45CE"/>
    <w:rsid w:val="001050FF"/>
    <w:rsid w:val="00600C30"/>
    <w:rsid w:val="007145CE"/>
    <w:rsid w:val="00E5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57888DB3"/>
  <w15:docId w15:val="{150B0A98-02EA-A645-8B5C-1C66627B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07" Type="http://schemas.openxmlformats.org/officeDocument/2006/relationships/fontTable" Target="fontTable.xm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77</Pages>
  <Words>6057</Words>
  <Characters>35743</Characters>
  <Application>Microsoft Office Word</Application>
  <DocSecurity>0</DocSecurity>
  <Lines>1276</Lines>
  <Paragraphs>853</Paragraphs>
  <ScaleCrop>false</ScaleCrop>
  <Company/>
  <LinksUpToDate>false</LinksUpToDate>
  <CharactersWithSpaces>40947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McGhee, Alexander - (mcgheealex)</cp:lastModifiedBy>
  <cp:revision>2</cp:revision>
  <dcterms:created xsi:type="dcterms:W3CDTF">2026-03-16T05:56:00Z</dcterms:created>
  <dcterms:modified xsi:type="dcterms:W3CDTF">2026-03-16T06:09:00Z</dcterms:modified>
</cp:coreProperties>
</file>