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03366"/>
          <w:sz w:val="36"/>
        </w:rPr>
        <w:t>Mathematical Framework for Cell-Driven</w:t>
        <w:br/>
        <w:t>Granular Scaffold Remodeling</w:t>
      </w:r>
    </w:p>
    <w:p>
      <w:pPr>
        <w:spacing w:after="240"/>
        <w:jc w:val="center"/>
      </w:pPr>
      <w:r>
        <w:rPr>
          <w:color w:val="646464"/>
          <w:sz w:val="22"/>
        </w:rPr>
        <w:t>GELLS-DEM V1.7 -- March 2026</w:t>
      </w:r>
    </w:p>
    <w:p>
      <w:pPr>
        <w:pStyle w:val="Heading2"/>
      </w:pPr>
      <w:r>
        <w:t>1. Introduction</w:t>
      </w:r>
    </w:p>
    <w:p>
      <w:r>
        <w:t xml:space="preserve">We develop a multiscale mathematical framework for the mechanical remodeling of granular hydrogel scaffolds driven by encapsulated living cells. The system comprises </w:t>
      </w:r>
      <w:r>
        <w:rPr>
          <w:rFonts w:ascii="Cambria Math" w:hAnsi="Cambria Math"/>
          <w:i/>
        </w:rPr>
        <w:t>N</w:t>
      </w:r>
      <w:r>
        <w:t xml:space="preserve"> rigid hydrogel granules --- functional (cell-laden) and inert (passive) --- confined within a bounded domain. Three coupled processes govern scaffold evolution:</w:t>
      </w:r>
    </w:p>
    <w:p>
      <w:pPr>
        <w:pStyle w:val="ListNumber"/>
      </w:pPr>
      <w:r>
        <w:rPr>
          <w:b/>
        </w:rPr>
        <w:t>Cell-driven compaction.</w:t>
      </w:r>
      <w:r>
        <w:t xml:space="preserve"> Cells seeded on functional granules attach, spread,</w:t>
      </w:r>
    </w:p>
    <w:p>
      <w:r>
        <w:t>form focal adhesions, and generate traction forces that pull neighboring granules together through intercellular bridges.</w:t>
      </w:r>
    </w:p>
    <w:p>
      <w:pPr>
        <w:pStyle w:val="ListNumber"/>
      </w:pPr>
      <w:r>
        <w:rPr>
          <w:b/>
        </w:rPr>
        <w:t>Granular contact mechanics.</w:t>
      </w:r>
      <w:r>
        <w:t xml:space="preserve"> Hertzian elasticity, surface-chemistry-dependent</w:t>
      </w:r>
    </w:p>
    <w:p>
      <w:r>
        <w:t>friction, and DMT adhesion govern granule-granule and granule-wall interactions.</w:t>
      </w:r>
    </w:p>
    <w:p>
      <w:pPr>
        <w:pStyle w:val="ListNumber"/>
      </w:pPr>
      <w:r>
        <w:rPr>
          <w:b/>
        </w:rPr>
        <w:t>Interstitial fluid transport.</w:t>
      </w:r>
      <w:r>
        <w:t xml:space="preserve"> The evolving void network controls hydraulic</w:t>
      </w:r>
    </w:p>
    <w:p>
      <w:r>
        <w:t>permeability and nutrient delivery, coupling scaffold architecture to tissue viability.</w:t>
      </w:r>
    </w:p>
    <w:p>
      <w:r>
        <w:t>The discrete element model (DEM) resolves the particle scale (Sections 2--3), while coarse-grained continuum descriptions capture tissue-scale behavior (Sections 4--5). Dimensionless groups (Section 6) identify the dominant physics, and a tissue architecture descriptor (Section 7) enables quantitative comparison to organ microstructure targets.</w:t>
      </w:r>
    </w:p>
    <w:p>
      <w:r>
        <w:rPr>
          <w:b/>
        </w:rPr>
        <w:t>Units.</w:t>
      </w:r>
      <w:r>
        <w:t xml:space="preserve"> Throughout this document: micrometres (</w:t>
      </w:r>
      <w:r>
        <w:rPr>
          <w:rFonts w:ascii="Cambria Math" w:hAnsi="Cambria Math"/>
          <w:i/>
        </w:rPr>
        <w:t>\mu</w:t>
      </w:r>
      <w:r>
        <w:t>m) for length, nanonewtons (nN) for force, hours (h) for time, and kilopascals (kPa) for elastic modulus. Where SI units are required for dimensional consistency, explicit conversion factors are noted.</w:t>
      </w:r>
    </w:p>
    <w:p>
      <w:pPr>
        <w:pStyle w:val="Heading2"/>
      </w:pPr>
      <w:r>
        <w:t>2. Microscale: Discrete Element Model</w:t>
      </w:r>
    </w:p>
    <w:p>
      <w:pPr>
        <w:pStyle w:val="Heading3"/>
      </w:pPr>
      <w:r>
        <w:t>2.1 Equations of Motion</w:t>
      </w:r>
    </w:p>
    <w:p>
      <w:r>
        <w:t>The system is deeply overdamped: inertial forces are negligible compared to viscous drag at the hydrogel length scale (</w:t>
      </w:r>
      <w:r>
        <w:rPr>
          <w:rFonts w:ascii="Cambria Math" w:hAnsi="Cambria Math"/>
          <w:i/>
        </w:rPr>
        <w:t>\text{Re} \ll 1</w:t>
      </w:r>
      <w:r>
        <w:t xml:space="preserve">). Each granule </w:t>
      </w:r>
      <w:r>
        <w:rPr>
          <w:rFonts w:ascii="Cambria Math" w:hAnsi="Cambria Math"/>
          <w:i/>
        </w:rPr>
        <w:t>i</w:t>
      </w:r>
      <w:r>
        <w:t xml:space="preserve"> obeys the overdamped Langevin equation</w:t>
      </w:r>
    </w:p>
    <w:p>
      <w:pPr>
        <w:spacing w:before="120" w:after="120"/>
        <w:jc w:val="center"/>
      </w:pPr>
      <w:r>
        <w:rPr>
          <w:rFonts w:ascii="Cambria Math" w:hAnsi="Cambria Math"/>
          <w:i/>
          <w:sz w:val="22"/>
        </w:rPr>
        <w:t>\gamma_i \frac{d\mathbf{x}_i}{dt} = \mathbf{F}_i^{\text{contact}} + \mathbf{F}_i^{\text{cell}} + \mathbf{F}_i^{\text{wall}} + \mathbf{F}_i^{\text{noise}}</w:t>
      </w:r>
    </w:p>
    <w:p>
      <w:r>
        <w:t>where the translational drag coefficient is</w:t>
      </w:r>
    </w:p>
    <w:p>
      <w:pPr>
        <w:spacing w:before="120" w:after="120"/>
        <w:jc w:val="center"/>
      </w:pPr>
      <w:r>
        <w:rPr>
          <w:rFonts w:ascii="Cambria Math" w:hAnsi="Cambria Math"/>
          <w:i/>
          <w:sz w:val="22"/>
        </w:rPr>
        <w:t>\gamma_i = \gamma_0 \, R_i</w:t>
      </w:r>
    </w:p>
    <w:p>
      <w:r>
        <w:t xml:space="preserve">with </w:t>
      </w:r>
      <w:r>
        <w:rPr>
          <w:rFonts w:ascii="Cambria Math" w:hAnsi="Cambria Math"/>
          <w:i/>
        </w:rPr>
        <w:t>\gamma_0</w:t>
      </w:r>
      <w:r>
        <w:t xml:space="preserve"> a dimensionless drag scale and </w:t>
      </w:r>
      <w:r>
        <w:rPr>
          <w:rFonts w:ascii="Cambria Math" w:hAnsi="Cambria Math"/>
          <w:i/>
        </w:rPr>
        <w:t>R_i</w:t>
      </w:r>
      <w:r>
        <w:t xml:space="preserve"> the equivalent radius of granule </w:t>
      </w:r>
      <w:r>
        <w:rPr>
          <w:rFonts w:ascii="Cambria Math" w:hAnsi="Cambria Math"/>
          <w:i/>
        </w:rPr>
        <w:t>i</w:t>
      </w:r>
      <w:r>
        <w:t>. The terms on the right-hand side represent, respectively: (1) contact forces from neighboring granules (Hertz repulsion, DMT adhesion, and tangential friction), (2) cell-mediated traction forces transmitted through intercellular bridges, (3) repulsive wall forces at domain boundaries, and (4) active noise representing stochastic cell-driven fluctuations.</w:t>
      </w:r>
    </w:p>
    <w:p>
      <w:r>
        <w:t>Time integration uses a forward Euler scheme,</w:t>
      </w:r>
    </w:p>
    <w:p>
      <w:pPr>
        <w:spacing w:before="120" w:after="120"/>
        <w:jc w:val="center"/>
      </w:pPr>
      <w:r>
        <w:rPr>
          <w:rFonts w:ascii="Cambria Math" w:hAnsi="Cambria Math"/>
          <w:i/>
          <w:sz w:val="22"/>
        </w:rPr>
        <w:t>\mathbf{x}_i(t + \Delta t) = \mathbf{x}_i(t) + \frac{\mathbf{F}_i^{\text{tot}}}{\gamma_i} \Delta t</w:t>
      </w:r>
    </w:p>
    <w:p>
      <w:r>
        <w:t>large transient forces.</w:t>
      </w:r>
    </w:p>
    <w:p>
      <w:pPr>
        <w:pStyle w:val="Heading3"/>
      </w:pPr>
      <w:r>
        <w:t>2.2 Hertzian Contact Force</w:t>
      </w:r>
    </w:p>
    <w:p>
      <w:r>
        <w:t>The normal contact force between two elastic granules follows the Hertz theory for non-adhesive elastic spheres (Johnson, 1985):</w:t>
      </w:r>
    </w:p>
    <w:p>
      <w:pPr>
        <w:spacing w:before="120" w:after="120"/>
        <w:jc w:val="center"/>
      </w:pPr>
      <w:r>
        <w:rPr>
          <w:rFonts w:ascii="Cambria Math" w:hAnsi="Cambria Math"/>
          <w:i/>
          <w:sz w:val="22"/>
        </w:rPr>
        <w:t>F_n = \frac{4}{3} E^* \sqrt{R^*} \, \delta^{3/2}</w:t>
      </w:r>
    </w:p>
    <w:p>
      <w:r>
        <w:t>(penetration depth), and the effective elastic modulus and effective radius are</w:t>
      </w:r>
    </w:p>
    <w:p>
      <w:pPr>
        <w:spacing w:before="120" w:after="120"/>
        <w:jc w:val="center"/>
      </w:pPr>
      <w:r>
        <w:rPr>
          <w:rFonts w:ascii="Cambria Math" w:hAnsi="Cambria Math"/>
          <w:i/>
          <w:sz w:val="22"/>
        </w:rPr>
        <w:t>E^* = \frac{E}{2(1 - \nu^2)}, \qquad R^* = \frac{R_i R_j}{R_i + R_j}</w:t>
      </w:r>
    </w:p>
    <w:p>
      <w:r>
        <w:t xml:space="preserve">Here </w:t>
      </w:r>
      <w:r>
        <w:rPr>
          <w:rFonts w:ascii="Cambria Math" w:hAnsi="Cambria Math"/>
          <w:i/>
        </w:rPr>
        <w:t>E</w:t>
      </w:r>
      <w:r>
        <w:t xml:space="preserve"> is the Young's modulus of the hydrogel and </w:t>
      </w:r>
      <w:r>
        <w:rPr>
          <w:rFonts w:ascii="Cambria Math" w:hAnsi="Cambria Math"/>
          <w:i/>
        </w:rPr>
        <w:t>\nu</w:t>
      </w:r>
      <w:r>
        <w:t xml:space="preserve"> is its Poisson ratio. The factor of 2 in the denominator of </w:t>
      </w:r>
      <w:r>
        <w:rPr>
          <w:rFonts w:ascii="Cambria Math" w:hAnsi="Cambria Math"/>
          <w:i/>
        </w:rPr>
        <w:t>E^*</w:t>
      </w:r>
      <w:r>
        <w:t xml:space="preserve"> accounts for equal-modulus contact between two deformable bodies. For granule-wall contact, the wall is treated as a rigid half-space, giving </w:t>
      </w:r>
      <w:r>
        <w:rPr>
          <w:rFonts w:ascii="Cambria Math" w:hAnsi="Cambria Math"/>
          <w:i/>
        </w:rPr>
        <w:t>E^*_{\text{wall}} = E / (1 - \nu^2)</w:t>
      </w:r>
      <w:r>
        <w:t xml:space="preserve"> and </w:t>
      </w:r>
      <w:r>
        <w:rPr>
          <w:rFonts w:ascii="Cambria Math" w:hAnsi="Cambria Math"/>
          <w:i/>
        </w:rPr>
        <w:t>R^* = R_i</w:t>
      </w:r>
      <w:r>
        <w:t>.</w:t>
      </w:r>
    </w:p>
    <w:p>
      <w:r>
        <w:rPr>
          <w:b/>
        </w:rPr>
        <w:t>Unit conversion.</w:t>
      </w:r>
      <w:r>
        <w:t xml:space="preserve"> With </w:t>
      </w:r>
      <w:r>
        <w:rPr>
          <w:rFonts w:ascii="Cambria Math" w:hAnsi="Cambria Math"/>
          <w:i/>
        </w:rPr>
        <w:t>E</w:t>
      </w:r>
      <w:r>
        <w:t xml:space="preserve"> in kPa (</w:t>
      </w:r>
      <w:r>
        <w:rPr>
          <w:rFonts w:ascii="Cambria Math" w:hAnsi="Cambria Math"/>
          <w:i/>
        </w:rPr>
        <w:t>= \text{nN}/\mu\text{m}^2 \times 10^{-3}</w:t>
      </w:r>
      <w:r>
        <w:t xml:space="preserve">), </w:t>
      </w:r>
      <w:r>
        <w:rPr>
          <w:rFonts w:ascii="Cambria Math" w:hAnsi="Cambria Math"/>
          <w:i/>
        </w:rPr>
        <w:t>R^*</w:t>
      </w:r>
      <w:r>
        <w:t xml:space="preserve"> in </w:t>
      </w:r>
      <w:r>
        <w:rPr>
          <w:rFonts w:ascii="Cambria Math" w:hAnsi="Cambria Math"/>
          <w:i/>
        </w:rPr>
        <w:t>\mu</w:t>
      </w:r>
      <w:r>
        <w:t xml:space="preserve">m, and </w:t>
      </w:r>
      <w:r>
        <w:rPr>
          <w:rFonts w:ascii="Cambria Math" w:hAnsi="Cambria Math"/>
          <w:i/>
        </w:rPr>
        <w:t>\delta</w:t>
      </w:r>
      <w:r>
        <w:t xml:space="preserve"> in </w:t>
      </w:r>
      <w:r>
        <w:rPr>
          <w:rFonts w:ascii="Cambria Math" w:hAnsi="Cambria Math"/>
          <w:i/>
        </w:rPr>
        <w:t>\mu</w:t>
      </w:r>
      <w:r>
        <w:t>m, the force is obtained in nN via</w:t>
      </w:r>
    </w:p>
    <w:p>
      <w:pPr>
        <w:spacing w:before="120" w:after="120"/>
        <w:jc w:val="center"/>
      </w:pPr>
      <w:r>
        <w:rPr>
          <w:rFonts w:ascii="Cambria Math" w:hAnsi="Cambria Math"/>
          <w:i/>
          <w:sz w:val="22"/>
        </w:rPr>
        <w:t>F_n \; [\text{nN}] = \frac{4}{3} \, E^*_{\text{Pa}} \, \sqrt{R^*_{\mu\text{m}}} \; \delta_{\mu\text{m}}^{3/2} \times 10^{-3}</w:t>
      </w:r>
    </w:p>
    <w:p>
      <w:r>
        <w:t xml:space="preserve">where </w:t>
      </w:r>
      <w:r>
        <w:rPr>
          <w:rFonts w:ascii="Cambria Math" w:hAnsi="Cambria Math"/>
          <w:i/>
        </w:rPr>
        <w:t>E^*_{\text{Pa}} = E_{\text{kPa}} \times 10^3 / [2(1 - \nu^2)]</w:t>
      </w:r>
      <w:r>
        <w:t>.</w:t>
      </w:r>
    </w:p>
    <w:p>
      <w:r>
        <w:t xml:space="preserve">For superellipsoidal granules (Section 2.8), </w:t>
      </w:r>
      <w:r>
        <w:rPr>
          <w:rFonts w:ascii="Cambria Math" w:hAnsi="Cambria Math"/>
          <w:i/>
        </w:rPr>
        <w:t>R^*</w:t>
      </w:r>
      <w:r>
        <w:t xml:space="preserve"> is replaced by the harmonic mean of the local radii of curvature at the contact point, computed from the parametric surface geometry.</w:t>
      </w:r>
    </w:p>
    <w:p>
      <w:pPr>
        <w:pStyle w:val="Heading3"/>
      </w:pPr>
      <w:r>
        <w:t>2.3 Friction (Gong 2006, Pitenis 2014)</w:t>
      </w:r>
    </w:p>
    <w:p>
      <w:r>
        <w:t>Hydrogel surfaces exhibit area-dependent friction governed by surface chemistry rather than Coulombic mechanics. The tangential friction force opposing relative sliding is</w:t>
      </w:r>
    </w:p>
    <w:p>
      <w:pPr>
        <w:spacing w:before="120" w:after="120"/>
        <w:jc w:val="center"/>
      </w:pPr>
      <w:r>
        <w:rPr>
          <w:rFonts w:ascii="Cambria Math" w:hAnsi="Cambria Math"/>
          <w:i/>
          <w:sz w:val="22"/>
        </w:rPr>
        <w:t>F_{\text{fric}} = \tau_0 \, A_c \, \tanh\!\left(\frac{|v_t|}{v_{\text{ref}}}\right)</w:t>
      </w:r>
    </w:p>
    <w:p>
      <w:r>
        <w:t xml:space="preserve">where </w:t>
      </w:r>
      <w:r>
        <w:rPr>
          <w:rFonts w:ascii="Cambria Math" w:hAnsi="Cambria Math"/>
          <w:i/>
        </w:rPr>
        <w:t>\tau_0</w:t>
      </w:r>
      <w:r>
        <w:t xml:space="preserve"> is the interfacial shear stress (Pa), </w:t>
      </w:r>
      <w:r>
        <w:rPr>
          <w:rFonts w:ascii="Cambria Math" w:hAnsi="Cambria Math"/>
          <w:i/>
        </w:rPr>
        <w:t>A_c = \pi R^* \delta</w:t>
      </w:r>
      <w:r>
        <w:t xml:space="preserve"> is the Hertzian contact area (</w:t>
      </w:r>
      <w:r>
        <w:rPr>
          <w:rFonts w:ascii="Cambria Math" w:hAnsi="Cambria Math"/>
          <w:i/>
        </w:rPr>
        <w:t>\mu\text{m}^2</w:t>
      </w:r>
      <w:r>
        <w:t xml:space="preserve">), </w:t>
      </w:r>
      <w:r>
        <w:rPr>
          <w:rFonts w:ascii="Cambria Math" w:hAnsi="Cambria Math"/>
          <w:i/>
        </w:rPr>
        <w:t>v_t</w:t>
      </w:r>
      <w:r>
        <w:t xml:space="preserve"> is the relative tangential velocity at the contact point, and </w:t>
      </w:r>
      <w:r>
        <w:rPr>
          <w:rFonts w:ascii="Cambria Math" w:hAnsi="Cambria Math"/>
          <w:i/>
        </w:rPr>
        <w:t>v_{\text{ref}}</w:t>
      </w:r>
      <w:r>
        <w:t xml:space="preserve"> is a regularization velocity that smooths the discontinuity at zero sliding speed.</w:t>
      </w:r>
    </w:p>
    <w:p>
      <w:r>
        <w:t>The interfacial shear stress depends on the surface chemistry of the contacting pair: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r>
            <w:r>
              <w:rPr>
                <w:b/>
                <w:sz w:val="20"/>
              </w:rPr>
              <w:t>Pair type</w:t>
            </w:r>
          </w:p>
        </w:tc>
        <w:tc>
          <w:tcPr>
            <w:tcW w:type="dxa" w:w="3120"/>
          </w:tcPr>
          <w:p>
            <w:r>
              <w:rPr>
                <w:b/>
                <w:sz w:val="20"/>
              </w:rPr>
            </w:r>
            <w:r>
              <w:rPr>
                <w:b/>
                <w:sz w:val="20"/>
              </w:rPr>
              <w:t>Surface chemistry</w:t>
            </w:r>
          </w:p>
        </w:tc>
        <w:tc>
          <w:tcPr>
            <w:tcW w:type="dxa" w:w="3120"/>
          </w:tcPr>
          <w:p>
            <w:r>
              <w:rPr>
                <w:b/>
                <w:sz w:val="20"/>
              </w:rPr>
            </w:r>
            <w:r>
              <w:rPr>
                <w:rFonts w:ascii="Cambria Math" w:hAnsi="Cambria Math"/>
                <w:b/>
                <w:i/>
                <w:sz w:val="20"/>
              </w:rPr>
              <w:t>\tau_0</w:t>
            </w:r>
            <w:r>
              <w:rPr>
                <w:b/>
                <w:sz w:val="20"/>
              </w:rPr>
              <w:t xml:space="preserve"> (Pa)</w:t>
            </w:r>
          </w:p>
        </w:tc>
      </w:tr>
      <w:tr>
        <w:tc>
          <w:tcPr>
            <w:tcW w:type="dxa" w:w="3120"/>
          </w:tcPr>
          <w:p>
            <w:r>
              <w:rPr>
                <w:sz w:val="20"/>
              </w:rPr>
            </w:r>
            <w:r>
              <w:rPr>
                <w:sz w:val="20"/>
              </w:rPr>
              <w:t>Functional--functional</w:t>
            </w:r>
          </w:p>
        </w:tc>
        <w:tc>
          <w:tcPr>
            <w:tcW w:type="dxa" w:w="3120"/>
          </w:tcPr>
          <w:p>
            <w:r>
              <w:rPr>
                <w:sz w:val="20"/>
              </w:rPr>
            </w:r>
            <w:r>
              <w:rPr>
                <w:sz w:val="20"/>
              </w:rPr>
              <w:t>Collagen I -- collagen I</w:t>
            </w:r>
          </w:p>
        </w:tc>
        <w:tc>
          <w:tcPr>
            <w:tcW w:type="dxa" w:w="3120"/>
          </w:tcPr>
          <w:p>
            <w:r>
              <w:rPr>
                <w:sz w:val="20"/>
              </w:rPr>
            </w:r>
            <w:r>
              <w:rPr>
                <w:sz w:val="20"/>
              </w:rPr>
              <w:t>2000</w:t>
            </w:r>
          </w:p>
        </w:tc>
      </w:tr>
      <w:tr>
        <w:tc>
          <w:tcPr>
            <w:tcW w:type="dxa" w:w="3120"/>
          </w:tcPr>
          <w:p>
            <w:r>
              <w:rPr>
                <w:sz w:val="20"/>
              </w:rPr>
            </w:r>
            <w:r>
              <w:rPr>
                <w:sz w:val="20"/>
              </w:rPr>
              <w:t>Inert--functional</w:t>
            </w:r>
          </w:p>
        </w:tc>
        <w:tc>
          <w:tcPr>
            <w:tcW w:type="dxa" w:w="3120"/>
          </w:tcPr>
          <w:p>
            <w:r>
              <w:rPr>
                <w:sz w:val="20"/>
              </w:rPr>
            </w:r>
            <w:r>
              <w:rPr>
                <w:sz w:val="20"/>
              </w:rPr>
              <w:t>Bare gel -- collagen I</w:t>
            </w:r>
          </w:p>
        </w:tc>
        <w:tc>
          <w:tcPr>
            <w:tcW w:type="dxa" w:w="3120"/>
          </w:tcPr>
          <w:p>
            <w:r>
              <w:rPr>
                <w:sz w:val="20"/>
              </w:rPr>
            </w:r>
            <w:r>
              <w:rPr>
                <w:sz w:val="20"/>
              </w:rPr>
              <w:t>500</w:t>
            </w:r>
          </w:p>
        </w:tc>
      </w:tr>
      <w:tr>
        <w:tc>
          <w:tcPr>
            <w:tcW w:type="dxa" w:w="3120"/>
          </w:tcPr>
          <w:p>
            <w:r>
              <w:rPr>
                <w:sz w:val="20"/>
              </w:rPr>
            </w:r>
            <w:r>
              <w:rPr>
                <w:sz w:val="20"/>
              </w:rPr>
              <w:t>Inert--inert</w:t>
            </w:r>
          </w:p>
        </w:tc>
        <w:tc>
          <w:tcPr>
            <w:tcW w:type="dxa" w:w="3120"/>
          </w:tcPr>
          <w:p>
            <w:r>
              <w:rPr>
                <w:sz w:val="20"/>
              </w:rPr>
            </w:r>
            <w:r>
              <w:rPr>
                <w:sz w:val="20"/>
              </w:rPr>
              <w:t>Bare gel -- bare gel</w:t>
            </w:r>
          </w:p>
        </w:tc>
        <w:tc>
          <w:tcPr>
            <w:tcW w:type="dxa" w:w="3120"/>
          </w:tcPr>
          <w:p>
            <w:r>
              <w:rPr>
                <w:sz w:val="20"/>
              </w:rPr>
            </w:r>
            <w:r>
              <w:rPr>
                <w:sz w:val="20"/>
              </w:rPr>
              <w:t>50</w:t>
            </w:r>
          </w:p>
        </w:tc>
      </w:tr>
    </w:tbl>
    <w:p/>
    <w:p>
      <w:r>
        <w:t>These values reflect the hierarchy of hydrogen bonding and entanglement between collagen-coated and uncoated hydrogel surfaces (Gong, 2006; Pitenis et al., 2014).</w:t>
      </w:r>
    </w:p>
    <w:p>
      <w:pPr>
        <w:pStyle w:val="Heading3"/>
      </w:pPr>
      <w:r>
        <w:t>2.4 DMT Adhesion</w:t>
      </w:r>
    </w:p>
    <w:p>
      <w:r>
        <w:t>The Derjaguin-Muller-Toporov (DMT) model provides a constant adhesive contribution during contact:</w:t>
      </w:r>
    </w:p>
    <w:p>
      <w:pPr>
        <w:spacing w:before="120" w:after="120"/>
        <w:jc w:val="center"/>
      </w:pPr>
      <w:r>
        <w:rPr>
          <w:rFonts w:ascii="Cambria Math" w:hAnsi="Cambria Math"/>
          <w:i/>
          <w:sz w:val="22"/>
        </w:rPr>
        <w:t>F_{\text{adh}} = 2\pi W R^*</w:t>
      </w:r>
    </w:p>
    <w:p>
      <w:r>
        <w:t xml:space="preserve">where </w:t>
      </w:r>
      <w:r>
        <w:rPr>
          <w:rFonts w:ascii="Cambria Math" w:hAnsi="Cambria Math"/>
          <w:i/>
        </w:rPr>
        <w:t>W</w:t>
      </w:r>
      <w:r>
        <w:t xml:space="preserve"> is the work of adhesion (J/m</w:t>
      </w:r>
      <w:r>
        <w:rPr>
          <w:rFonts w:ascii="Cambria Math" w:hAnsi="Cambria Math"/>
          <w:i/>
        </w:rPr>
        <w:t>^2</w:t>
      </w:r>
      <w:r>
        <w:t>), which depends on the pair type as shown below.</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Pair type</w:t>
            </w:r>
          </w:p>
        </w:tc>
        <w:tc>
          <w:tcPr>
            <w:tcW w:type="dxa" w:w="4680"/>
          </w:tcPr>
          <w:p>
            <w:r>
              <w:rPr>
                <w:b/>
                <w:sz w:val="20"/>
              </w:rPr>
            </w:r>
            <w:r>
              <w:rPr>
                <w:rFonts w:ascii="Cambria Math" w:hAnsi="Cambria Math"/>
                <w:b/>
                <w:i/>
                <w:sz w:val="20"/>
              </w:rPr>
              <w:t>W</w:t>
            </w:r>
            <w:r>
              <w:rPr>
                <w:b/>
                <w:sz w:val="20"/>
              </w:rPr>
              <w:t xml:space="preserve"> (J/m</w:t>
            </w:r>
            <w:r>
              <w:rPr>
                <w:rFonts w:ascii="Cambria Math" w:hAnsi="Cambria Math"/>
                <w:b/>
                <w:i/>
                <w:sz w:val="20"/>
              </w:rPr>
              <w:t>^2</w:t>
            </w:r>
            <w:r>
              <w:rPr>
                <w:b/>
                <w:sz w:val="20"/>
              </w:rPr>
              <w:t>)</w:t>
            </w:r>
          </w:p>
        </w:tc>
      </w:tr>
      <w:tr>
        <w:tc>
          <w:tcPr>
            <w:tcW w:type="dxa" w:w="4680"/>
          </w:tcPr>
          <w:p>
            <w:r>
              <w:rPr>
                <w:sz w:val="20"/>
              </w:rPr>
            </w:r>
            <w:r>
              <w:rPr>
                <w:sz w:val="20"/>
              </w:rPr>
              <w:t>Functional--functional</w:t>
            </w:r>
          </w:p>
        </w:tc>
        <w:tc>
          <w:tcPr>
            <w:tcW w:type="dxa" w:w="4680"/>
          </w:tcPr>
          <w:p>
            <w:r>
              <w:rPr>
                <w:sz w:val="20"/>
              </w:rPr>
            </w:r>
            <w:r>
              <w:rPr>
                <w:sz w:val="20"/>
              </w:rPr>
              <w:t>0.002</w:t>
            </w:r>
          </w:p>
        </w:tc>
      </w:tr>
      <w:tr>
        <w:tc>
          <w:tcPr>
            <w:tcW w:type="dxa" w:w="4680"/>
          </w:tcPr>
          <w:p>
            <w:r>
              <w:rPr>
                <w:sz w:val="20"/>
              </w:rPr>
            </w:r>
            <w:r>
              <w:rPr>
                <w:sz w:val="20"/>
              </w:rPr>
              <w:t>Inert--functional</w:t>
            </w:r>
          </w:p>
        </w:tc>
        <w:tc>
          <w:tcPr>
            <w:tcW w:type="dxa" w:w="4680"/>
          </w:tcPr>
          <w:p>
            <w:r>
              <w:rPr>
                <w:sz w:val="20"/>
              </w:rPr>
            </w:r>
            <w:r>
              <w:rPr>
                <w:sz w:val="20"/>
              </w:rPr>
              <w:t>0.001</w:t>
            </w:r>
          </w:p>
        </w:tc>
      </w:tr>
      <w:tr>
        <w:tc>
          <w:tcPr>
            <w:tcW w:type="dxa" w:w="4680"/>
          </w:tcPr>
          <w:p>
            <w:r>
              <w:rPr>
                <w:sz w:val="20"/>
              </w:rPr>
            </w:r>
            <w:r>
              <w:rPr>
                <w:sz w:val="20"/>
              </w:rPr>
              <w:t>Inert--inert</w:t>
            </w:r>
          </w:p>
        </w:tc>
        <w:tc>
          <w:tcPr>
            <w:tcW w:type="dxa" w:w="4680"/>
          </w:tcPr>
          <w:p>
            <w:r>
              <w:rPr>
                <w:sz w:val="20"/>
              </w:rPr>
            </w:r>
            <w:r>
              <w:rPr>
                <w:sz w:val="20"/>
              </w:rPr>
              <w:t>0.0005</w:t>
            </w:r>
          </w:p>
        </w:tc>
      </w:tr>
    </w:tbl>
    <w:p/>
    <w:p>
      <w:r>
        <w:t>The net normal contact force is</w:t>
      </w:r>
    </w:p>
    <w:p>
      <w:pPr>
        <w:spacing w:before="120" w:after="120"/>
        <w:jc w:val="center"/>
      </w:pPr>
      <w:r>
        <w:rPr>
          <w:rFonts w:ascii="Cambria Math" w:hAnsi="Cambria Math"/>
          <w:i/>
          <w:sz w:val="22"/>
        </w:rPr>
        <w:t>F_n^{\text{net}} = F_n^{\text{Hertz}} - F_{\text{adh}}</w:t>
      </w:r>
    </w:p>
    <w:p>
      <w:r>
        <w:t xml:space="preserve">which can become negative (attractive) when the Hertzian repulsion is small relative to adhesion, stabilizing granule contacts at small overlaps. In simulation units, the adhesion force is computed as </w:t>
      </w:r>
      <w:r>
        <w:rPr>
          <w:rFonts w:ascii="Cambria Math" w:hAnsi="Cambria Math"/>
          <w:i/>
        </w:rPr>
        <w:t>F_{\text{adh}} = 2\pi W R^* \times 10^3</w:t>
      </w:r>
      <w:r>
        <w:t xml:space="preserve"> nN to convert from the SI product </w:t>
      </w:r>
      <w:r>
        <w:rPr>
          <w:rFonts w:ascii="Cambria Math" w:hAnsi="Cambria Math"/>
          <w:i/>
        </w:rPr>
        <w:t>[\text{J/m}^2][\mu\text{m}]</w:t>
      </w:r>
      <w:r>
        <w:t>.</w:t>
      </w:r>
    </w:p>
    <w:p>
      <w:pPr>
        <w:pStyle w:val="Heading3"/>
      </w:pPr>
      <w:r>
        <w:t>2.5 Motor-Clutch Cell Traction (Chan &amp; Odde 2008)</w:t>
      </w:r>
    </w:p>
    <w:p>
      <w:r>
        <w:t>Cells encapsulated within functional granules generate traction forces via the motor-clutch mechanism. Following Chan and Odde (2008), the steady-state traction force per cell is</w:t>
      </w:r>
    </w:p>
    <w:p>
      <w:pPr>
        <w:spacing w:before="120" w:after="120"/>
        <w:jc w:val="center"/>
      </w:pPr>
      <w:r>
        <w:rPr>
          <w:rFonts w:ascii="Cambria Math" w:hAnsi="Cambria Math"/>
          <w:i/>
          <w:sz w:val="22"/>
        </w:rPr>
        <w:t>F_{\text{cell}} = F_{\text{stall}} \cdot \beta \cdot \xi \cdot m(t)</w:t>
      </w:r>
    </w:p>
    <w:p>
      <w:r>
        <w:t>where:</w:t>
      </w:r>
    </w:p>
    <w:p>
      <w:pPr>
        <w:pStyle w:val="ListBullet"/>
      </w:pPr>
      <w:r>
        <w:rPr>
          <w:rFonts w:ascii="Cambria Math" w:hAnsi="Cambria Math"/>
          <w:i/>
        </w:rPr>
        <w:t>F_{\text{stall}} = n_m F_m</w:t>
      </w:r>
      <w:r>
        <w:t xml:space="preserve"> is the total motor stall force, with </w:t>
      </w:r>
      <w:r>
        <w:rPr>
          <w:rFonts w:ascii="Cambria Math" w:hAnsi="Cambria Math"/>
          <w:i/>
        </w:rPr>
        <w:t>n_m</w:t>
      </w:r>
      <w:r>
        <w:t xml:space="preserve"> motor</w:t>
      </w:r>
    </w:p>
    <w:p>
      <w:r>
        <w:t xml:space="preserve">complexes (stress fibers) each generating stall force </w:t>
      </w:r>
      <w:r>
        <w:rPr>
          <w:rFonts w:ascii="Cambria Math" w:hAnsi="Cambria Math"/>
          <w:i/>
        </w:rPr>
        <w:t>F_m</w:t>
      </w:r>
      <w:r>
        <w:t>.</w:t>
      </w:r>
    </w:p>
    <w:p>
      <w:pPr>
        <w:pStyle w:val="ListBullet"/>
      </w:pPr>
      <w:r>
        <w:rPr>
          <w:rFonts w:ascii="Cambria Math" w:hAnsi="Cambria Math"/>
          <w:i/>
        </w:rPr>
        <w:t>\beta = k_{\text{sub}} / (k_{\text{sub}} + k_{\text{opt}})</w:t>
      </w:r>
      <w:r>
        <w:t xml:space="preserve"> is the</w:t>
      </w:r>
    </w:p>
    <w:p>
      <w:r>
        <w:t>stiffness-dependent engagement ratio. On soft substrates (</w:t>
      </w:r>
      <w:r>
        <w:rPr>
          <w:rFonts w:ascii="Cambria Math" w:hAnsi="Cambria Math"/>
          <w:i/>
        </w:rPr>
        <w:t>k_{\text{sub}} \ll k_{\text{opt}}</w:t>
      </w:r>
      <w:r>
        <w:t>), clutches disengage before motors stall, yielding low force. On stiff substrates (</w:t>
      </w:r>
      <w:r>
        <w:rPr>
          <w:rFonts w:ascii="Cambria Math" w:hAnsi="Cambria Math"/>
          <w:i/>
        </w:rPr>
        <w:t>k_{\text{sub}} \gg k_{\text{opt}}</w:t>
      </w:r>
      <w:r>
        <w:t xml:space="preserve">), </w:t>
      </w:r>
      <w:r>
        <w:rPr>
          <w:rFonts w:ascii="Cambria Math" w:hAnsi="Cambria Math"/>
          <w:i/>
        </w:rPr>
        <w:t>\beta \to 1</w:t>
      </w:r>
      <w:r>
        <w:t xml:space="preserve"> and cells reach their maximum traction capacity.</w:t>
      </w:r>
    </w:p>
    <w:p>
      <w:pPr>
        <w:pStyle w:val="ListBullet"/>
      </w:pPr>
      <w:r>
        <w:rPr>
          <w:rFonts w:ascii="Cambria Math" w:hAnsi="Cambria Math"/>
          <w:i/>
        </w:rPr>
        <w:t>k_{\text{sub}} = \pi E a / (1 - \nu^2)</w:t>
      </w:r>
      <w:r>
        <w:t xml:space="preserve"> is the effective substrate stiffness</w:t>
      </w:r>
    </w:p>
    <w:p>
      <w:r>
        <w:t xml:space="preserve">sensed by a cell of radius </w:t>
      </w:r>
      <w:r>
        <w:rPr>
          <w:rFonts w:ascii="Cambria Math" w:hAnsi="Cambria Math"/>
          <w:i/>
        </w:rPr>
        <w:t>a = d_{\text{cell}} / 2</w:t>
      </w:r>
      <w:r>
        <w:t xml:space="preserve"> on a hydrogel of modulus </w:t>
      </w:r>
      <w:r>
        <w:rPr>
          <w:rFonts w:ascii="Cambria Math" w:hAnsi="Cambria Math"/>
          <w:i/>
        </w:rPr>
        <w:t>E</w:t>
      </w:r>
      <w:r>
        <w:t xml:space="preserve"> and Poisson ratio </w:t>
      </w:r>
      <w:r>
        <w:rPr>
          <w:rFonts w:ascii="Cambria Math" w:hAnsi="Cambria Math"/>
          <w:i/>
        </w:rPr>
        <w:t>\nu</w:t>
      </w:r>
      <w:r>
        <w:t>. This represents the stiffness of a rigid punch on an elastic half-space.</w:t>
      </w:r>
    </w:p>
    <w:p>
      <w:pPr>
        <w:pStyle w:val="ListBullet"/>
      </w:pPr>
      <w:r>
        <w:rPr>
          <w:rFonts w:ascii="Cambria Math" w:hAnsi="Cambria Math"/>
          <w:i/>
        </w:rPr>
        <w:t>k_{\text{opt}} = n_c k_c</w:t>
      </w:r>
      <w:r>
        <w:t xml:space="preserve"> is the optimal (clutch ensemble) stiffness, with </w:t>
      </w:r>
      <w:r>
        <w:rPr>
          <w:rFonts w:ascii="Cambria Math" w:hAnsi="Cambria Math"/>
          <w:i/>
        </w:rPr>
        <w:t>n_c</w:t>
      </w:r>
    </w:p>
    <w:p>
      <w:r>
        <w:t xml:space="preserve">integrin clutch clusters each of spring constant </w:t>
      </w:r>
      <w:r>
        <w:rPr>
          <w:rFonts w:ascii="Cambria Math" w:hAnsi="Cambria Math"/>
          <w:i/>
        </w:rPr>
        <w:t>k_c</w:t>
      </w:r>
      <w:r>
        <w:t>.</w:t>
      </w:r>
    </w:p>
    <w:p>
      <w:pPr>
        <w:pStyle w:val="ListBullet"/>
      </w:pPr>
      <w:r>
        <w:rPr>
          <w:rFonts w:ascii="Cambria Math" w:hAnsi="Cambria Math"/>
          <w:i/>
        </w:rPr>
        <w:t>\xi = k_{\text{on}} / (k_{\text{on}} + k_{\text{off}})</w:t>
      </w:r>
      <w:r>
        <w:t xml:space="preserve"> is the steady-state</w:t>
      </w:r>
    </w:p>
    <w:p>
      <w:r>
        <w:t xml:space="preserve">fraction of engaged clutches, determined by the clutch binding rate </w:t>
      </w:r>
      <w:r>
        <w:rPr>
          <w:rFonts w:ascii="Cambria Math" w:hAnsi="Cambria Math"/>
          <w:i/>
        </w:rPr>
        <w:t>k_{\text{on}}</w:t>
      </w:r>
      <w:r>
        <w:t xml:space="preserve"> and baseline unbinding rate </w:t>
      </w:r>
      <w:r>
        <w:rPr>
          <w:rFonts w:ascii="Cambria Math" w:hAnsi="Cambria Math"/>
          <w:i/>
        </w:rPr>
        <w:t>k_{\text{off}}</w:t>
      </w:r>
      <w:r>
        <w:t>.</w:t>
      </w:r>
    </w:p>
    <w:p>
      <w:pPr>
        <w:pStyle w:val="ListBullet"/>
      </w:pPr>
      <w:r>
        <w:rPr>
          <w:rFonts w:ascii="Cambria Math" w:hAnsi="Cambria Math"/>
          <w:i/>
        </w:rPr>
        <w:t>m(t)</w:t>
      </w:r>
      <w:r>
        <w:t xml:space="preserve"> is the focal adhesion maturity, which ramps from 0 to 1 at a rate</w:t>
      </w:r>
    </w:p>
    <w:p>
      <w:r>
        <w:rPr>
          <w:rFonts w:ascii="Cambria Math" w:hAnsi="Cambria Math"/>
          <w:i/>
        </w:rPr>
        <w:t>r_{\text{FA}}</w:t>
      </w:r>
      <w:r>
        <w:t xml:space="preserve"> (h</w:t>
      </w:r>
      <w:r>
        <w:rPr>
          <w:rFonts w:ascii="Cambria Math" w:hAnsi="Cambria Math"/>
          <w:i/>
        </w:rPr>
        <w:t>^{-1}</w:t>
      </w:r>
      <w:r>
        <w:t xml:space="preserve">) after cell spreading initiates: </w:t>
      </w:r>
      <w:r>
        <w:rPr>
          <w:rFonts w:ascii="Cambria Math" w:hAnsi="Cambria Math"/>
          <w:i/>
        </w:rPr>
        <w:t>m(t) = \min(1, \, r_{\text{FA}} \cdot t_{\text{spread}})</w:t>
      </w:r>
      <w:r>
        <w:t>.</w:t>
      </w:r>
    </w:p>
    <w:p>
      <w:r>
        <w:t xml:space="preserve">The force per cell is capped at </w:t>
      </w:r>
      <w:r>
        <w:rPr>
          <w:rFonts w:ascii="Cambria Math" w:hAnsi="Cambria Math"/>
          <w:i/>
        </w:rPr>
        <w:t>F_{\max}</w:t>
      </w:r>
      <w:r>
        <w:t xml:space="preserve"> to prevent unphysical traction at extreme parameter combinations. Stiffness-dependent engagement (</w:t>
      </w:r>
      <w:r>
        <w:rPr>
          <w:rFonts w:ascii="Cambria Math" w:hAnsi="Cambria Math"/>
          <w:i/>
        </w:rPr>
        <w:t>\beta</w:t>
      </w:r>
      <w:r>
        <w:t xml:space="preserve">) also modulates the cell spreading rate: the effective spreading duration is </w:t>
      </w:r>
      <w:r>
        <w:rPr>
          <w:rFonts w:ascii="Cambria Math" w:hAnsi="Cambria Math"/>
          <w:i/>
        </w:rPr>
        <w:t>\tau_{\text{spread}}^{\text{eff}} = \tau_{\text{spread}} / \max(0.2, \beta)</w:t>
      </w:r>
      <w:r>
        <w:t>, so that cells on stiffer substrates spread faster.</w:t>
      </w:r>
    </w:p>
    <w:p>
      <w:pPr>
        <w:pStyle w:val="Heading3"/>
      </w:pPr>
      <w:r>
        <w:t>2.6 Bridge Formation Kinetics</w:t>
      </w:r>
    </w:p>
    <w:p>
      <w:r>
        <w:t xml:space="preserve">Cell-cell bridges form stochastically between functional granule pairs separated by a gap </w:t>
      </w:r>
      <w:r>
        <w:rPr>
          <w:rFonts w:ascii="Cambria Math" w:hAnsi="Cambria Math"/>
          <w:i/>
        </w:rPr>
        <w:t>d &lt; L_s</w:t>
      </w:r>
      <w:r>
        <w:t xml:space="preserve"> (the filopodial sensing distance). Only cells that have reached the SPREADING or PROLIFERATING state with sufficient focal adhesion maturity (</w:t>
      </w:r>
      <w:r>
        <w:rPr>
          <w:rFonts w:ascii="Cambria Math" w:hAnsi="Cambria Math"/>
          <w:i/>
        </w:rPr>
        <w:t>m \geq m_{\min}</w:t>
      </w:r>
      <w:r>
        <w:t>) are eligible.</w:t>
      </w:r>
    </w:p>
    <w:p>
      <w:r>
        <w:rPr>
          <w:b/>
        </w:rPr>
        <w:t>Bridge initiation.</w:t>
      </w:r>
      <w:r>
        <w:t xml:space="preserve"> Each eligible cell attempts to form a bridge as a Poisson process modulated by proximity:</w:t>
      </w:r>
    </w:p>
    <w:p>
      <w:pPr>
        <w:spacing w:before="120" w:after="120"/>
        <w:jc w:val="center"/>
      </w:pPr>
      <w:r>
        <w:rPr>
          <w:rFonts w:ascii="Cambria Math" w:hAnsi="Cambria Math"/>
          <w:i/>
          <w:sz w:val="22"/>
        </w:rPr>
        <w:t>P_{\text{bridge}}(\Delta t) = \left[1 - \exp\!\left(-r_b \, \Delta t\right)\right] \cdot \left(1 - \frac{d}{L_s}\right)</w:t>
      </w:r>
    </w:p>
    <w:p>
      <w:r>
        <w:t xml:space="preserve">where </w:t>
      </w:r>
      <w:r>
        <w:rPr>
          <w:rFonts w:ascii="Cambria Math" w:hAnsi="Cambria Math"/>
          <w:i/>
        </w:rPr>
        <w:t>r_b</w:t>
      </w:r>
      <w:r>
        <w:t xml:space="preserve"> is the attempt rate (h</w:t>
      </w:r>
      <w:r>
        <w:rPr>
          <w:rFonts w:ascii="Cambria Math" w:hAnsi="Cambria Math"/>
          <w:i/>
        </w:rPr>
        <w:t>^{-1}</w:t>
      </w:r>
      <w:r>
        <w:t xml:space="preserve">), </w:t>
      </w:r>
      <w:r>
        <w:rPr>
          <w:rFonts w:ascii="Cambria Math" w:hAnsi="Cambria Math"/>
          <w:i/>
        </w:rPr>
        <w:t>d</w:t>
      </w:r>
      <w:r>
        <w:t xml:space="preserve"> is the surface-to-surface gap, and </w:t>
      </w:r>
      <w:r>
        <w:rPr>
          <w:rFonts w:ascii="Cambria Math" w:hAnsi="Cambria Math"/>
          <w:i/>
        </w:rPr>
        <w:t>L_s</w:t>
      </w:r>
      <w:r>
        <w:t xml:space="preserve"> is the sensing distance. The proximity factor </w:t>
      </w:r>
      <w:r>
        <w:rPr>
          <w:rFonts w:ascii="Cambria Math" w:hAnsi="Cambria Math"/>
          <w:i/>
        </w:rPr>
        <w:t>(1 - d/L_s)</w:t>
      </w:r>
      <w:r>
        <w:t xml:space="preserve"> reflects the decreasing probability that a filopodium reaches a more distant target.</w:t>
      </w:r>
    </w:p>
    <w:p>
      <w:r>
        <w:rPr>
          <w:b/>
        </w:rPr>
        <w:t>Force ramp.</w:t>
      </w:r>
      <w:r>
        <w:t xml:space="preserve"> A newly formed bridge ramps its force linearly over a formation time </w:t>
      </w:r>
      <w:r>
        <w:rPr>
          <w:rFonts w:ascii="Cambria Math" w:hAnsi="Cambria Math"/>
          <w:i/>
        </w:rPr>
        <w:t>\tau_f</w:t>
      </w:r>
      <w:r>
        <w:t>:</w:t>
      </w:r>
    </w:p>
    <w:p>
      <w:pPr>
        <w:spacing w:before="120" w:after="120"/>
        <w:jc w:val="center"/>
      </w:pPr>
      <w:r>
        <w:rPr>
          <w:rFonts w:ascii="Cambria Math" w:hAnsi="Cambria Math"/>
          <w:i/>
          <w:sz w:val="22"/>
        </w:rPr>
        <w:t>F_{\text{bridge}}(t) = F_{\text{cell}} \cdot \min\!\left(1, \; \frac{t_{\text{age}}}{\tau_f}\right)</w:t>
      </w:r>
    </w:p>
    <w:p>
      <w:r>
        <w:t xml:space="preserve">where </w:t>
      </w:r>
      <w:r>
        <w:rPr>
          <w:rFonts w:ascii="Cambria Math" w:hAnsi="Cambria Math"/>
          <w:i/>
        </w:rPr>
        <w:t>t_{\text{age}}</w:t>
      </w:r>
      <w:r>
        <w:t xml:space="preserve"> is the time since bridge commitment and </w:t>
      </w:r>
      <w:r>
        <w:rPr>
          <w:rFonts w:ascii="Cambria Math" w:hAnsi="Cambria Math"/>
          <w:i/>
        </w:rPr>
        <w:t>F_{\text{cell}}</w:t>
      </w:r>
      <w:r>
        <w:t xml:space="preserve"> is the motor-clutch force computed from the average focal adhesion maturity of the two granules.</w:t>
      </w:r>
    </w:p>
    <w:p>
      <w:r>
        <w:rPr>
          <w:b/>
        </w:rPr>
        <w:t>Bridge persistence and senescence.</w:t>
      </w:r>
      <w:r>
        <w:t xml:space="preserve"> Committed bridges persist across timesteps. A bridge ruptures if the gap exceeds the break distance </w:t>
      </w:r>
      <w:r>
        <w:rPr>
          <w:rFonts w:ascii="Cambria Math" w:hAnsi="Cambria Math"/>
          <w:i/>
        </w:rPr>
        <w:t>d &gt; d_{\text{break}}</w:t>
      </w:r>
      <w:r>
        <w:t xml:space="preserve">, causing the cell to transition to a senescent state. Bridges that sustain mechanical load for a duration exceeding </w:t>
      </w:r>
      <w:r>
        <w:rPr>
          <w:rFonts w:ascii="Cambria Math" w:hAnsi="Cambria Math"/>
          <w:i/>
        </w:rPr>
        <w:t>\tau_{\text{sen}}</w:t>
      </w:r>
      <w:r>
        <w:t xml:space="preserve"> (bridge senescence time) also transition to senescence, modeling contact-inhibited quiescence.</w:t>
      </w:r>
    </w:p>
    <w:p>
      <w:r>
        <w:rPr>
          <w:b/>
        </w:rPr>
        <w:t>Bridge parameters.</w:t>
      </w:r>
      <w:r>
        <w:t xml:space="preserve"> The kinetic parameters are: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r>
            <w:r>
              <w:rPr>
                <w:b/>
                <w:sz w:val="20"/>
              </w:rPr>
              <w:t>Parameter</w:t>
            </w:r>
          </w:p>
        </w:tc>
        <w:tc>
          <w:tcPr>
            <w:tcW w:type="dxa" w:w="2340"/>
          </w:tcPr>
          <w:p>
            <w:r>
              <w:rPr>
                <w:b/>
                <w:sz w:val="20"/>
              </w:rPr>
            </w:r>
            <w:r>
              <w:rPr>
                <w:b/>
                <w:sz w:val="20"/>
              </w:rPr>
              <w:t>Symbol</w:t>
            </w:r>
          </w:p>
        </w:tc>
        <w:tc>
          <w:tcPr>
            <w:tcW w:type="dxa" w:w="2340"/>
          </w:tcPr>
          <w:p>
            <w:r>
              <w:rPr>
                <w:b/>
                <w:sz w:val="20"/>
              </w:rPr>
            </w:r>
            <w:r>
              <w:rPr>
                <w:b/>
                <w:sz w:val="20"/>
              </w:rPr>
              <w:t>Default</w:t>
            </w:r>
          </w:p>
        </w:tc>
        <w:tc>
          <w:tcPr>
            <w:tcW w:type="dxa" w:w="2340"/>
          </w:tcPr>
          <w:p>
            <w:r>
              <w:rPr>
                <w:b/>
                <w:sz w:val="20"/>
              </w:rPr>
            </w:r>
            <w:r>
              <w:rPr>
                <w:b/>
                <w:sz w:val="20"/>
              </w:rPr>
              <w:t>Units</w:t>
            </w:r>
          </w:p>
        </w:tc>
      </w:tr>
      <w:tr>
        <w:tc>
          <w:tcPr>
            <w:tcW w:type="dxa" w:w="2340"/>
          </w:tcPr>
          <w:p>
            <w:r>
              <w:rPr>
                <w:sz w:val="20"/>
              </w:rPr>
            </w:r>
            <w:r>
              <w:rPr>
                <w:sz w:val="20"/>
              </w:rPr>
              <w:t>Attempt rate</w:t>
            </w:r>
          </w:p>
        </w:tc>
        <w:tc>
          <w:tcPr>
            <w:tcW w:type="dxa" w:w="2340"/>
          </w:tcPr>
          <w:p>
            <w:r>
              <w:rPr>
                <w:sz w:val="20"/>
              </w:rPr>
            </w:r>
            <w:r>
              <w:rPr>
                <w:rFonts w:ascii="Cambria Math" w:hAnsi="Cambria Math"/>
                <w:i/>
                <w:sz w:val="20"/>
              </w:rPr>
              <w:t>r_b</w:t>
            </w:r>
          </w:p>
        </w:tc>
        <w:tc>
          <w:tcPr>
            <w:tcW w:type="dxa" w:w="2340"/>
          </w:tcPr>
          <w:p>
            <w:r>
              <w:rPr>
                <w:sz w:val="20"/>
              </w:rPr>
            </w:r>
            <w:r>
              <w:rPr>
                <w:sz w:val="20"/>
              </w:rPr>
              <w:t>0.3</w:t>
            </w:r>
          </w:p>
        </w:tc>
        <w:tc>
          <w:tcPr>
            <w:tcW w:type="dxa" w:w="2340"/>
          </w:tcPr>
          <w:p>
            <w:r>
              <w:rPr>
                <w:sz w:val="20"/>
              </w:rPr>
            </w:r>
            <w:r>
              <w:rPr>
                <w:sz w:val="20"/>
              </w:rPr>
              <w:t>h</w:t>
            </w:r>
            <w:r>
              <w:rPr>
                <w:rFonts w:ascii="Cambria Math" w:hAnsi="Cambria Math"/>
                <w:i/>
                <w:sz w:val="20"/>
              </w:rPr>
              <w:t>^{-1}</w:t>
            </w:r>
          </w:p>
        </w:tc>
      </w:tr>
      <w:tr>
        <w:tc>
          <w:tcPr>
            <w:tcW w:type="dxa" w:w="2340"/>
          </w:tcPr>
          <w:p>
            <w:r>
              <w:rPr>
                <w:sz w:val="20"/>
              </w:rPr>
            </w:r>
            <w:r>
              <w:rPr>
                <w:sz w:val="20"/>
              </w:rPr>
              <w:t>Formation time</w:t>
            </w:r>
          </w:p>
        </w:tc>
        <w:tc>
          <w:tcPr>
            <w:tcW w:type="dxa" w:w="2340"/>
          </w:tcPr>
          <w:p>
            <w:r>
              <w:rPr>
                <w:sz w:val="20"/>
              </w:rPr>
            </w:r>
            <w:r>
              <w:rPr>
                <w:rFonts w:ascii="Cambria Math" w:hAnsi="Cambria Math"/>
                <w:i/>
                <w:sz w:val="20"/>
              </w:rPr>
              <w:t>\tau_f</w:t>
            </w:r>
          </w:p>
        </w:tc>
        <w:tc>
          <w:tcPr>
            <w:tcW w:type="dxa" w:w="2340"/>
          </w:tcPr>
          <w:p>
            <w:r>
              <w:rPr>
                <w:sz w:val="20"/>
              </w:rPr>
            </w:r>
            <w:r>
              <w:rPr>
                <w:sz w:val="20"/>
              </w:rPr>
              <w:t>2.0</w:t>
            </w:r>
          </w:p>
        </w:tc>
        <w:tc>
          <w:tcPr>
            <w:tcW w:type="dxa" w:w="2340"/>
          </w:tcPr>
          <w:p>
            <w:r>
              <w:rPr>
                <w:sz w:val="20"/>
              </w:rPr>
            </w:r>
            <w:r>
              <w:rPr>
                <w:sz w:val="20"/>
              </w:rPr>
              <w:t>h</w:t>
            </w:r>
          </w:p>
        </w:tc>
      </w:tr>
      <w:tr>
        <w:tc>
          <w:tcPr>
            <w:tcW w:type="dxa" w:w="2340"/>
          </w:tcPr>
          <w:p>
            <w:r>
              <w:rPr>
                <w:sz w:val="20"/>
              </w:rPr>
            </w:r>
            <w:r>
              <w:rPr>
                <w:sz w:val="20"/>
              </w:rPr>
              <w:t>Senescence time</w:t>
            </w:r>
          </w:p>
        </w:tc>
        <w:tc>
          <w:tcPr>
            <w:tcW w:type="dxa" w:w="2340"/>
          </w:tcPr>
          <w:p>
            <w:r>
              <w:rPr>
                <w:sz w:val="20"/>
              </w:rPr>
            </w:r>
            <w:r>
              <w:rPr>
                <w:rFonts w:ascii="Cambria Math" w:hAnsi="Cambria Math"/>
                <w:i/>
                <w:sz w:val="20"/>
              </w:rPr>
              <w:t>\tau_{\text{sen}}</w:t>
            </w:r>
          </w:p>
        </w:tc>
        <w:tc>
          <w:tcPr>
            <w:tcW w:type="dxa" w:w="2340"/>
          </w:tcPr>
          <w:p>
            <w:r>
              <w:rPr>
                <w:sz w:val="20"/>
              </w:rPr>
            </w:r>
            <w:r>
              <w:rPr>
                <w:sz w:val="20"/>
              </w:rPr>
              <w:t>24.0</w:t>
            </w:r>
          </w:p>
        </w:tc>
        <w:tc>
          <w:tcPr>
            <w:tcW w:type="dxa" w:w="2340"/>
          </w:tcPr>
          <w:p>
            <w:r>
              <w:rPr>
                <w:sz w:val="20"/>
              </w:rPr>
            </w:r>
            <w:r>
              <w:rPr>
                <w:sz w:val="20"/>
              </w:rPr>
              <w:t>h</w:t>
            </w:r>
          </w:p>
        </w:tc>
      </w:tr>
      <w:tr>
        <w:tc>
          <w:tcPr>
            <w:tcW w:type="dxa" w:w="2340"/>
          </w:tcPr>
          <w:p>
            <w:r>
              <w:rPr>
                <w:sz w:val="20"/>
              </w:rPr>
            </w:r>
            <w:r>
              <w:rPr>
                <w:sz w:val="20"/>
              </w:rPr>
              <w:t>Min FA maturity</w:t>
            </w:r>
          </w:p>
        </w:tc>
        <w:tc>
          <w:tcPr>
            <w:tcW w:type="dxa" w:w="2340"/>
          </w:tcPr>
          <w:p>
            <w:r>
              <w:rPr>
                <w:sz w:val="20"/>
              </w:rPr>
            </w:r>
            <w:r>
              <w:rPr>
                <w:rFonts w:ascii="Cambria Math" w:hAnsi="Cambria Math"/>
                <w:i/>
                <w:sz w:val="20"/>
              </w:rPr>
              <w:t>m_{\min}</w:t>
            </w:r>
          </w:p>
        </w:tc>
        <w:tc>
          <w:tcPr>
            <w:tcW w:type="dxa" w:w="2340"/>
          </w:tcPr>
          <w:p>
            <w:r>
              <w:rPr>
                <w:sz w:val="20"/>
              </w:rPr>
            </w:r>
            <w:r>
              <w:rPr>
                <w:sz w:val="20"/>
              </w:rPr>
              <w:t>0.3</w:t>
            </w:r>
          </w:p>
        </w:tc>
        <w:tc>
          <w:tcPr>
            <w:tcW w:type="dxa" w:w="2340"/>
          </w:tcPr>
          <w:p>
            <w:r>
              <w:rPr>
                <w:sz w:val="20"/>
              </w:rPr>
            </w:r>
            <w:r>
              <w:rPr>
                <w:sz w:val="20"/>
              </w:rPr>
              <w:t>--</w:t>
            </w:r>
          </w:p>
        </w:tc>
      </w:tr>
      <w:tr>
        <w:tc>
          <w:tcPr>
            <w:tcW w:type="dxa" w:w="2340"/>
          </w:tcPr>
          <w:p>
            <w:r>
              <w:rPr>
                <w:sz w:val="20"/>
              </w:rPr>
            </w:r>
            <w:r>
              <w:rPr>
                <w:sz w:val="20"/>
              </w:rPr>
              <w:t>Break gap</w:t>
            </w:r>
          </w:p>
        </w:tc>
        <w:tc>
          <w:tcPr>
            <w:tcW w:type="dxa" w:w="2340"/>
          </w:tcPr>
          <w:p>
            <w:r>
              <w:rPr>
                <w:sz w:val="20"/>
              </w:rPr>
            </w:r>
            <w:r>
              <w:rPr>
                <w:rFonts w:ascii="Cambria Math" w:hAnsi="Cambria Math"/>
                <w:i/>
                <w:sz w:val="20"/>
              </w:rPr>
              <w:t>d_{\text{break}}</w:t>
            </w:r>
          </w:p>
        </w:tc>
        <w:tc>
          <w:tcPr>
            <w:tcW w:type="dxa" w:w="2340"/>
          </w:tcPr>
          <w:p>
            <w:r>
              <w:rPr>
                <w:sz w:val="20"/>
              </w:rPr>
            </w:r>
            <w:r>
              <w:rPr>
                <w:sz w:val="20"/>
              </w:rPr>
              <w:t>60.0</w:t>
            </w:r>
          </w:p>
        </w:tc>
        <w:tc>
          <w:tcPr>
            <w:tcW w:type="dxa" w:w="2340"/>
          </w:tcPr>
          <w:p>
            <w:r>
              <w:rPr>
                <w:sz w:val="20"/>
              </w:rPr>
            </w:r>
            <w:r>
              <w:rPr>
                <w:rFonts w:ascii="Cambria Math" w:hAnsi="Cambria Math"/>
                <w:i/>
                <w:sz w:val="20"/>
              </w:rPr>
              <w:t>\mu</w:t>
            </w:r>
            <w:r>
              <w:rPr>
                <w:sz w:val="20"/>
              </w:rPr>
              <w:t>m</w:t>
            </w:r>
          </w:p>
        </w:tc>
      </w:tr>
    </w:tbl>
    <w:p/>
    <w:p>
      <w:pPr>
        <w:pStyle w:val="Heading3"/>
      </w:pPr>
      <w:r>
        <w:t>2.7 Rotational Dynamics</w:t>
      </w:r>
    </w:p>
    <w:p>
      <w:r>
        <w:t>Off-center contact forces generate torques that rotate non-spherical granules. In the overdamped regime, angular dynamics are governed by:</w:t>
      </w:r>
    </w:p>
    <w:p>
      <w:r>
        <w:rPr>
          <w:b/>
        </w:rPr>
        <w:t>2D.</w:t>
      </w:r>
      <w:r>
        <w:t xml:space="preserve"> For superellipse granules with semi-axes </w:t>
      </w:r>
      <w:r>
        <w:rPr>
          <w:rFonts w:ascii="Cambria Math" w:hAnsi="Cambria Math"/>
          <w:i/>
        </w:rPr>
        <w:t>(a, b)</w:t>
      </w:r>
      <w:r>
        <w:t>:</w:t>
      </w:r>
    </w:p>
    <w:p>
      <w:pPr>
        <w:spacing w:before="120" w:after="120"/>
        <w:jc w:val="center"/>
      </w:pPr>
      <w:r>
        <w:rPr>
          <w:rFonts w:ascii="Cambria Math" w:hAnsi="Cambria Math"/>
          <w:i/>
          <w:sz w:val="22"/>
        </w:rPr>
        <w:t>\gamma_{\text{rot}} \frac{d\theta}{dt} = \sum_c \tau_c, \qquad \gamma_{\text{rot}} = \gamma_0^{\text{rot}} \frac{a^2 + b^2}{2}</w:t>
      </w:r>
    </w:p>
    <w:p>
      <w:r>
        <w:t xml:space="preserve">where </w:t>
      </w:r>
      <w:r>
        <w:rPr>
          <w:rFonts w:ascii="Cambria Math" w:hAnsi="Cambria Math"/>
          <w:i/>
        </w:rPr>
        <w:t>\tau_c = (\mathbf{r}_c - \mathbf{x}_i) \times \mathbf{F}_c</w:t>
      </w:r>
      <w:r>
        <w:t xml:space="preserve"> is the torque from contact </w:t>
      </w:r>
      <w:r>
        <w:rPr>
          <w:rFonts w:ascii="Cambria Math" w:hAnsi="Cambria Math"/>
          <w:i/>
        </w:rPr>
        <w:t>c</w:t>
      </w:r>
      <w:r>
        <w:t xml:space="preserve">, and </w:t>
      </w:r>
      <w:r>
        <w:rPr>
          <w:rFonts w:ascii="Cambria Math" w:hAnsi="Cambria Math"/>
          <w:i/>
        </w:rPr>
        <w:t>\gamma_0^{\text{rot}}</w:t>
      </w:r>
      <w:r>
        <w:t xml:space="preserve"> is the rotational drag scale.</w:t>
      </w:r>
    </w:p>
    <w:p>
      <w:r>
        <w:rPr>
          <w:b/>
        </w:rPr>
        <w:t>3D.</w:t>
      </w:r>
      <w:r>
        <w:t xml:space="preserve"> For superellipsoid granules with semi-axes </w:t>
      </w:r>
      <w:r>
        <w:rPr>
          <w:rFonts w:ascii="Cambria Math" w:hAnsi="Cambria Math"/>
          <w:i/>
        </w:rPr>
        <w:t>(a, b, c)</w:t>
      </w:r>
      <w:r>
        <w:t>, orientation is</w:t>
      </w:r>
    </w:p>
    <w:p>
      <w:r>
        <w:t>The overdamped angular dynamics are:</w:t>
      </w:r>
    </w:p>
    <w:p>
      <w:pPr>
        <w:spacing w:before="120" w:after="120"/>
        <w:jc w:val="center"/>
      </w:pPr>
      <w:r>
        <w:rPr>
          <w:rFonts w:ascii="Cambria Math" w:hAnsi="Cambria Math"/>
          <w:i/>
          <w:sz w:val="22"/>
        </w:rPr>
        <w:t>I_{\text{eff}} \frac{d\boldsymbol{\omega}}{dt} = \sum_c \boldsymbol{\tau}_c, \qquad I_{\text{eff}} = \gamma_0^{\text{rot}} \frac{a^2 + b^2 + c^2}{3}</w:t>
      </w:r>
    </w:p>
    <w:p>
      <w:r>
        <w:t>Quaternion integration follows the first-order update:</w:t>
      </w:r>
    </w:p>
    <w:p>
      <w:pPr>
        <w:spacing w:before="120" w:after="120"/>
        <w:jc w:val="center"/>
      </w:pPr>
      <w:r>
        <w:rPr>
          <w:rFonts w:ascii="Cambria Math" w:hAnsi="Cambria Math"/>
          <w:i/>
          <w:sz w:val="22"/>
        </w:rPr>
        <w:t>\mathbf{q}(t + \Delta t) = \text{normalize}\!\left[\mathbf{q}(t) + \frac{\Delta t}{2} \, [0, \boldsymbol{\omega}] \otimes \mathbf{q}(t)\right]</w:t>
      </w:r>
    </w:p>
    <w:p>
      <w:r>
        <w:t xml:space="preserve">where </w:t>
      </w:r>
      <w:r>
        <w:rPr>
          <w:rFonts w:ascii="Cambria Math" w:hAnsi="Cambria Math"/>
          <w:i/>
        </w:rPr>
        <w:t>\otimes</w:t>
      </w:r>
      <w:r>
        <w:t xml:space="preserve"> denotes the Hamilton product and </w:t>
      </w:r>
      <w:r>
        <w:rPr>
          <w:rFonts w:ascii="Cambria Math" w:hAnsi="Cambria Math"/>
          <w:i/>
        </w:rPr>
        <w:t>[0, \boldsymbol{\omega}]</w:t>
      </w:r>
      <w:r>
        <w:t xml:space="preserve"> is the pure quaternion </w:t>
      </w:r>
      <w:r>
        <w:rPr>
          <w:rFonts w:ascii="Cambria Math" w:hAnsi="Cambria Math"/>
          <w:i/>
        </w:rPr>
        <w:t>(0, \omega_x, \omega_y, \omega_z)</w:t>
      </w:r>
      <w:r>
        <w:t>. An angular velocity cap</w:t>
      </w:r>
    </w:p>
    <w:p>
      <w:pPr>
        <w:pStyle w:val="Heading3"/>
      </w:pPr>
      <w:r>
        <w:t>2.8 Superellipsoid Shape Model</w:t>
      </w:r>
    </w:p>
    <w:p>
      <w:r>
        <w:t>Granule shape is parameterized as a 3D superellipsoid:</w:t>
      </w:r>
    </w:p>
    <w:p>
      <w:pPr>
        <w:spacing w:before="120" w:after="120"/>
        <w:jc w:val="center"/>
      </w:pPr>
      <w:r>
        <w:rPr>
          <w:rFonts w:ascii="Cambria Math" w:hAnsi="Cambria Math"/>
          <w:i/>
          <w:sz w:val="22"/>
        </w:rPr>
        <w:t>\left(\left|\frac{x}{a}\right|^{n_1} + \left|\frac{y}{b}\right|^{n_1}\right)^{n_2/n_1} + \left|\frac{z}{c}\right|^{n_2} = 1</w:t>
      </w:r>
    </w:p>
    <w:p>
      <w:r>
        <w:t xml:space="preserve">where </w:t>
      </w:r>
      <w:r>
        <w:rPr>
          <w:rFonts w:ascii="Cambria Math" w:hAnsi="Cambria Math"/>
          <w:i/>
        </w:rPr>
        <w:t>(a, b, c)</w:t>
      </w:r>
      <w:r>
        <w:t xml:space="preserve"> are the semi-axes, </w:t>
      </w:r>
      <w:r>
        <w:rPr>
          <w:rFonts w:ascii="Cambria Math" w:hAnsi="Cambria Math"/>
          <w:i/>
        </w:rPr>
        <w:t>n_1</w:t>
      </w:r>
      <w:r>
        <w:t xml:space="preserve"> is the equatorial blockiness exponent, and </w:t>
      </w:r>
      <w:r>
        <w:rPr>
          <w:rFonts w:ascii="Cambria Math" w:hAnsi="Cambria Math"/>
          <w:i/>
        </w:rPr>
        <w:t>n_2</w:t>
      </w:r>
      <w:r>
        <w:t xml:space="preserve"> is the meridional blockiness exponent. Special cases include:</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Shape</w:t>
            </w:r>
          </w:p>
        </w:tc>
        <w:tc>
          <w:tcPr>
            <w:tcW w:type="dxa" w:w="4680"/>
          </w:tcPr>
          <w:p>
            <w:r>
              <w:rPr>
                <w:b/>
                <w:sz w:val="20"/>
              </w:rPr>
            </w:r>
            <w:r>
              <w:rPr>
                <w:b/>
                <w:sz w:val="20"/>
              </w:rPr>
              <w:t>Parameters</w:t>
            </w:r>
          </w:p>
        </w:tc>
      </w:tr>
      <w:tr>
        <w:tc>
          <w:tcPr>
            <w:tcW w:type="dxa" w:w="4680"/>
          </w:tcPr>
          <w:p>
            <w:r>
              <w:rPr>
                <w:sz w:val="20"/>
              </w:rPr>
            </w:r>
            <w:r>
              <w:rPr>
                <w:sz w:val="20"/>
              </w:rPr>
              <w:t>Sphere</w:t>
            </w:r>
          </w:p>
        </w:tc>
        <w:tc>
          <w:tcPr>
            <w:tcW w:type="dxa" w:w="4680"/>
          </w:tcPr>
          <w:p>
            <w:r>
              <w:rPr>
                <w:sz w:val="20"/>
              </w:rPr>
            </w:r>
            <w:r>
              <w:rPr>
                <w:rFonts w:ascii="Cambria Math" w:hAnsi="Cambria Math"/>
                <w:i/>
                <w:sz w:val="20"/>
              </w:rPr>
              <w:t>a = b = c</w:t>
            </w:r>
            <w:r>
              <w:rPr>
                <w:sz w:val="20"/>
              </w:rPr>
              <w:t xml:space="preserve">, </w:t>
            </w:r>
            <w:r>
              <w:rPr>
                <w:rFonts w:ascii="Cambria Math" w:hAnsi="Cambria Math"/>
                <w:i/>
                <w:sz w:val="20"/>
              </w:rPr>
              <w:t>n_1 = n_2 = 2</w:t>
            </w:r>
          </w:p>
        </w:tc>
      </w:tr>
      <w:tr>
        <w:tc>
          <w:tcPr>
            <w:tcW w:type="dxa" w:w="4680"/>
          </w:tcPr>
          <w:p>
            <w:r>
              <w:rPr>
                <w:sz w:val="20"/>
              </w:rPr>
            </w:r>
            <w:r>
              <w:rPr>
                <w:sz w:val="20"/>
              </w:rPr>
              <w:t>Ellipsoid</w:t>
            </w:r>
          </w:p>
        </w:tc>
        <w:tc>
          <w:tcPr>
            <w:tcW w:type="dxa" w:w="4680"/>
          </w:tcPr>
          <w:p>
            <w:r>
              <w:rPr>
                <w:sz w:val="20"/>
              </w:rPr>
            </w:r>
            <w:r>
              <w:rPr>
                <w:rFonts w:ascii="Cambria Math" w:hAnsi="Cambria Math"/>
                <w:i/>
                <w:sz w:val="20"/>
              </w:rPr>
              <w:t>a \neq b \neq c</w:t>
            </w:r>
            <w:r>
              <w:rPr>
                <w:sz w:val="20"/>
              </w:rPr>
              <w:t xml:space="preserve">, </w:t>
            </w:r>
            <w:r>
              <w:rPr>
                <w:rFonts w:ascii="Cambria Math" w:hAnsi="Cambria Math"/>
                <w:i/>
                <w:sz w:val="20"/>
              </w:rPr>
              <w:t>n_1 = n_2 = 2</w:t>
            </w:r>
          </w:p>
        </w:tc>
      </w:tr>
      <w:tr>
        <w:tc>
          <w:tcPr>
            <w:tcW w:type="dxa" w:w="4680"/>
          </w:tcPr>
          <w:p>
            <w:r>
              <w:rPr>
                <w:sz w:val="20"/>
              </w:rPr>
            </w:r>
            <w:r>
              <w:rPr>
                <w:sz w:val="20"/>
              </w:rPr>
              <w:t>Cylinder-like</w:t>
            </w:r>
          </w:p>
        </w:tc>
        <w:tc>
          <w:tcPr>
            <w:tcW w:type="dxa" w:w="4680"/>
          </w:tcPr>
          <w:p>
            <w:r>
              <w:rPr>
                <w:sz w:val="20"/>
              </w:rPr>
            </w:r>
            <w:r>
              <w:rPr>
                <w:rFonts w:ascii="Cambria Math" w:hAnsi="Cambria Math"/>
                <w:i/>
                <w:sz w:val="20"/>
              </w:rPr>
              <w:t>n_1, n_2 &gt; 2</w:t>
            </w:r>
          </w:p>
        </w:tc>
      </w:tr>
      <w:tr>
        <w:tc>
          <w:tcPr>
            <w:tcW w:type="dxa" w:w="4680"/>
          </w:tcPr>
          <w:p>
            <w:r>
              <w:rPr>
                <w:sz w:val="20"/>
              </w:rPr>
            </w:r>
            <w:r>
              <w:rPr>
                <w:sz w:val="20"/>
              </w:rPr>
              <w:t>Octahedron-like</w:t>
            </w:r>
          </w:p>
        </w:tc>
        <w:tc>
          <w:tcPr>
            <w:tcW w:type="dxa" w:w="4680"/>
          </w:tcPr>
          <w:p>
            <w:r>
              <w:rPr>
                <w:sz w:val="20"/>
              </w:rPr>
            </w:r>
            <w:r>
              <w:rPr>
                <w:rFonts w:ascii="Cambria Math" w:hAnsi="Cambria Math"/>
                <w:i/>
                <w:sz w:val="20"/>
              </w:rPr>
              <w:t>n_1, n_2 &lt; 2</w:t>
            </w:r>
          </w:p>
        </w:tc>
      </w:tr>
    </w:tbl>
    <w:p/>
    <w:p>
      <w:r>
        <w:t>In 2D, the superellipse specialization applies:</w:t>
      </w:r>
    </w:p>
    <w:p>
      <w:pPr>
        <w:spacing w:before="120" w:after="120"/>
        <w:jc w:val="center"/>
      </w:pPr>
      <w:r>
        <w:rPr>
          <w:rFonts w:ascii="Cambria Math" w:hAnsi="Cambria Math"/>
          <w:i/>
          <w:sz w:val="22"/>
        </w:rPr>
        <w:t>\left|\frac{x}{a}\right|^{n} + \left|\frac{y}{b}\right|^{n} = 1</w:t>
      </w:r>
    </w:p>
    <w:p>
      <w:r>
        <w:t>The parametric surface representation is:</w:t>
      </w:r>
    </w:p>
    <w:p>
      <w:pPr>
        <w:spacing w:before="120" w:after="120"/>
        <w:jc w:val="center"/>
      </w:pPr>
      <w:r>
        <w:rPr>
          <w:rFonts w:ascii="Cambria Math" w:hAnsi="Cambria Math"/>
          <w:i/>
          <w:sz w:val="22"/>
        </w:rPr>
        <w:t>\mathbf{r}(\eta, \omega) = \begin{pmatrix} a \, \text{sgn}(\cos\eta)|\cos\eta|^{2/n_2} \, \text{sgn}(\cos\omega)|\cos\omega|^{2/n_1} \\ b \, \text{sgn}(\cos\eta)|\cos\eta|^{2/n_2} \, \text{sgn}(\sin\omega)|\sin\omega|^{2/n_1} \\ c \, \text{sgn}(\sin\eta)|\sin\eta|^{2/n_2} \end{pmatrix}</w:t>
      </w:r>
    </w:p>
    <w:p>
      <w:r>
        <w:t xml:space="preserve">for </w:t>
      </w:r>
      <w:r>
        <w:rPr>
          <w:rFonts w:ascii="Cambria Math" w:hAnsi="Cambria Math"/>
          <w:i/>
        </w:rPr>
        <w:t>\eta \in [-\pi/2, \pi/2]</w:t>
      </w:r>
      <w:r>
        <w:t xml:space="preserve"> and </w:t>
      </w:r>
      <w:r>
        <w:rPr>
          <w:rFonts w:ascii="Cambria Math" w:hAnsi="Cambria Math"/>
          <w:i/>
        </w:rPr>
        <w:t>\omega \in [-\pi, \pi)</w:t>
      </w:r>
      <w:r>
        <w:t>.</w:t>
      </w:r>
    </w:p>
    <w:p>
      <w:r>
        <w:rPr>
          <w:b/>
        </w:rPr>
        <w:t>Contact detection</w:t>
      </w:r>
      <w:r>
        <w:t xml:space="preserve"> uses the common normal method: for each candidate pair, a Newton-Raphson solver finds the parametric coordinates </w:t>
      </w:r>
      <w:r>
        <w:rPr>
          <w:rFonts w:ascii="Cambria Math" w:hAnsi="Cambria Math"/>
          <w:i/>
        </w:rPr>
        <w:t>(\eta_i, \omega_i, \eta_j, \omega_j)</w:t>
      </w:r>
      <w:r>
        <w:t xml:space="preserve"> such that the outward normals at the closest surface points are anti-parallel and collinear with the line connecting them. The effective radius of curvature at the contact point is obtained from the local surface geometry, replacing the sphere-based </w:t>
      </w:r>
      <w:r>
        <w:rPr>
          <w:rFonts w:ascii="Cambria Math" w:hAnsi="Cambria Math"/>
          <w:i/>
        </w:rPr>
        <w:t>R^*</w:t>
      </w:r>
      <w:r>
        <w:t xml:space="preserve"> in the Hertz force law.</w:t>
      </w:r>
    </w:p>
    <w:p>
      <w:r>
        <w:t>The volume of a superellipsoid is (Jaklic and Leonardis, 2000):</w:t>
      </w:r>
    </w:p>
    <w:p>
      <w:pPr>
        <w:spacing w:before="120" w:after="120"/>
        <w:jc w:val="center"/>
      </w:pPr>
      <w:r>
        <w:rPr>
          <w:rFonts w:ascii="Cambria Math" w:hAnsi="Cambria Math"/>
          <w:i/>
          <w:sz w:val="22"/>
        </w:rPr>
        <w:t>V = 2abc \, \epsilon_1 \epsilon_2 \, B\!\left(\frac{\epsilon_1}{2} + 1, \, \epsilon_1\right) B\!\left(\frac{\epsilon_2}{2}, \, \frac{\epsilon_2}{2}\right)</w:t>
      </w:r>
    </w:p>
    <w:p>
      <w:r>
        <w:t xml:space="preserve">where </w:t>
      </w:r>
      <w:r>
        <w:rPr>
          <w:rFonts w:ascii="Cambria Math" w:hAnsi="Cambria Math"/>
          <w:i/>
        </w:rPr>
        <w:t>\epsilon_1 = 2/n_1</w:t>
      </w:r>
      <w:r>
        <w:t xml:space="preserve">, </w:t>
      </w:r>
      <w:r>
        <w:rPr>
          <w:rFonts w:ascii="Cambria Math" w:hAnsi="Cambria Math"/>
          <w:i/>
        </w:rPr>
        <w:t>\epsilon_2 = 2/n_2</w:t>
      </w:r>
      <w:r>
        <w:t xml:space="preserve">, and </w:t>
      </w:r>
      <w:r>
        <w:rPr>
          <w:rFonts w:ascii="Cambria Math" w:hAnsi="Cambria Math"/>
          <w:i/>
        </w:rPr>
        <w:t>B</w:t>
      </w:r>
      <w:r>
        <w:t xml:space="preserve"> is the Beta function.</w:t>
      </w:r>
    </w:p>
    <w:p>
      <w:pPr>
        <w:pStyle w:val="Heading3"/>
      </w:pPr>
      <w:r>
        <w:t>2.9 Active Noise</w:t>
      </w:r>
    </w:p>
    <w:p>
      <w:r>
        <w:t>Cell-driven fluctuations on functional granules are modeled as Gaussian white noise:</w:t>
      </w:r>
    </w:p>
    <w:p>
      <w:pPr>
        <w:spacing w:before="120" w:after="120"/>
        <w:jc w:val="center"/>
      </w:pPr>
      <w:r>
        <w:rPr>
          <w:rFonts w:ascii="Cambria Math" w:hAnsi="Cambria Math"/>
          <w:i/>
          <w:sz w:val="22"/>
        </w:rPr>
        <w:t>\mathbf{F}_i^{\text{noise}} = \sqrt{\frac{2 \gamma_i T_{\text{active}}}{\Delta t}} \; \boldsymbol{\eta}_i(t)</w:t>
      </w:r>
    </w:p>
    <w:p>
      <w:r>
        <w:t xml:space="preserve">where </w:t>
      </w:r>
      <w:r>
        <w:rPr>
          <w:rFonts w:ascii="Cambria Math" w:hAnsi="Cambria Math"/>
          <w:i/>
        </w:rPr>
        <w:t>T_{\text{active}}</w:t>
      </w:r>
      <w:r>
        <w:t xml:space="preserve"> is an effective active temperature (nN</w:t>
      </w:r>
      <w:r>
        <w:rPr>
          <w:rFonts w:ascii="Cambria Math" w:hAnsi="Cambria Math"/>
          <w:i/>
        </w:rPr>
        <w:t>\cdot\mu</w:t>
      </w:r>
      <w:r>
        <w:t xml:space="preserve">m) and </w:t>
      </w:r>
      <w:r>
        <w:rPr>
          <w:rFonts w:ascii="Cambria Math" w:hAnsi="Cambria Math"/>
          <w:i/>
        </w:rPr>
        <w:t>\boldsymbol{\eta}_i(t)</w:t>
      </w:r>
      <w:r>
        <w:t xml:space="preserve"> is a vector of independent standard normal random variables. Inert granules receive no active noise (</w:t>
      </w:r>
      <w:r>
        <w:rPr>
          <w:rFonts w:ascii="Cambria Math" w:hAnsi="Cambria Math"/>
          <w:i/>
        </w:rPr>
        <w:t>T_{\text{active}} = 0</w:t>
      </w:r>
      <w:r>
        <w:t xml:space="preserve"> for </w:t>
      </w:r>
      <w:r>
        <w:rPr>
          <w:rFonts w:ascii="Cambria Math" w:hAnsi="Cambria Math"/>
          <w:i/>
        </w:rPr>
        <w:t>g_i = 1</w:t>
      </w:r>
      <w:r>
        <w:t>).</w:t>
      </w:r>
    </w:p>
    <w:p>
      <w:pPr>
        <w:pStyle w:val="Heading3"/>
      </w:pPr>
      <w:r>
        <w:t>2.10 Cell Lifecycle</w:t>
      </w:r>
    </w:p>
    <w:p>
      <w:r>
        <w:t>Each cell progresses through a discrete state machine:</w:t>
      </w:r>
    </w:p>
    <w:p>
      <w:pPr>
        <w:spacing w:before="120" w:after="120"/>
        <w:jc w:val="center"/>
      </w:pPr>
      <w:r>
        <w:rPr>
          <w:rFonts w:ascii="Cambria Math" w:hAnsi="Cambria Math"/>
          <w:i/>
          <w:sz w:val="22"/>
        </w:rPr>
        <w:t>\text{ATTACHED} \to \text{SPREADING} \to \text{PROLIFERATING} \to \text{BRIDGING} \to \text{SENESCENT}</w:t>
      </w:r>
    </w:p>
    <w:p>
      <w:r>
        <w:rPr>
          <w:b/>
        </w:rPr>
        <w:t>Attachment.</w:t>
      </w:r>
      <w:r>
        <w:t xml:space="preserve"> At time </w:t>
      </w:r>
      <w:r>
        <w:rPr>
          <w:rFonts w:ascii="Cambria Math" w:hAnsi="Cambria Math"/>
          <w:i/>
        </w:rPr>
        <w:t>t \geq t_{\text{onset}}</w:t>
      </w:r>
      <w:r>
        <w:t>, cells attach with sigmoidal kinetics:</w:t>
      </w:r>
    </w:p>
    <w:p>
      <w:pPr>
        <w:spacing w:before="120" w:after="120"/>
        <w:jc w:val="center"/>
      </w:pPr>
      <w:r>
        <w:rPr>
          <w:rFonts w:ascii="Cambria Math" w:hAnsi="Cambria Math"/>
          <w:i/>
          <w:sz w:val="22"/>
        </w:rPr>
        <w:t>f_{\text{att}}(t) = \frac{1}{1 + \exp\!\left[-3\,(t - t_{\text{onset}} - t_{1/2}) / t_{1/2}\right]}</w:t>
      </w:r>
    </w:p>
    <w:p>
      <w:r>
        <w:t xml:space="preserve">where </w:t>
      </w:r>
      <w:r>
        <w:rPr>
          <w:rFonts w:ascii="Cambria Math" w:hAnsi="Cambria Math"/>
          <w:i/>
        </w:rPr>
        <w:t>t_{1/2}</w:t>
      </w:r>
      <w:r>
        <w:t xml:space="preserve"> is the half-time for attachment. With default parameters (</w:t>
      </w:r>
      <w:r>
        <w:rPr>
          <w:rFonts w:ascii="Cambria Math" w:hAnsi="Cambria Math"/>
          <w:i/>
        </w:rPr>
        <w:t>t_{\text{onset}} = 0</w:t>
      </w:r>
      <w:r>
        <w:t xml:space="preserve">, </w:t>
      </w:r>
      <w:r>
        <w:rPr>
          <w:rFonts w:ascii="Cambria Math" w:hAnsi="Cambria Math"/>
          <w:i/>
        </w:rPr>
        <w:t>t_{1/2} = 0</w:t>
      </w:r>
      <w:r>
        <w:t>), attachment is instantaneous.</w:t>
      </w:r>
    </w:p>
    <w:p>
      <w:r>
        <w:rPr>
          <w:b/>
        </w:rPr>
        <w:t>Spreading.</w:t>
      </w:r>
      <w:r>
        <w:t xml:space="preserve"> Attached cells transition from spheres (diameter </w:t>
      </w:r>
      <w:r>
        <w:rPr>
          <w:rFonts w:ascii="Cambria Math" w:hAnsi="Cambria Math"/>
          <w:i/>
        </w:rPr>
        <w:t>d_{\text{cell}} = 20\;\mu</w:t>
      </w:r>
      <w:r>
        <w:t xml:space="preserve">m) to oblate ellipsoids (height </w:t>
      </w:r>
      <w:r>
        <w:rPr>
          <w:rFonts w:ascii="Cambria Math" w:hAnsi="Cambria Math"/>
          <w:i/>
        </w:rPr>
        <w:t>h_{\text{spread}} = 5\;\mu</w:t>
      </w:r>
      <w:r>
        <w:t>m) with volume conservation:</w:t>
      </w:r>
    </w:p>
    <w:p>
      <w:pPr>
        <w:spacing w:before="120" w:after="120"/>
        <w:jc w:val="center"/>
      </w:pPr>
      <w:r>
        <w:rPr>
          <w:rFonts w:ascii="Cambria Math" w:hAnsi="Cambria Math"/>
          <w:i/>
          <w:sz w:val="22"/>
        </w:rPr>
        <w:t>V_{\text{cell}} = \frac{4}{3}\pi \left(\frac{d}{2}\right)^3 = \frac{4}{3}\pi a_{\text{spread}}^2 \frac{h}{2}</w:t>
      </w:r>
    </w:p>
    <w:p>
      <w:pPr>
        <w:spacing w:before="120" w:after="120"/>
        <w:jc w:val="center"/>
      </w:pPr>
      <w:r>
        <w:rPr>
          <w:rFonts w:ascii="Cambria Math" w:hAnsi="Cambria Math"/>
          <w:i/>
          <w:sz w:val="22"/>
        </w:rPr>
        <w:t>\Rightarrow \quad A_{\text{spread}} = \pi a_{\text{spread}}^2 = \frac{\pi d^3}{4h}</w:t>
      </w:r>
    </w:p>
    <w:p>
      <w:r>
        <w:t xml:space="preserve">The spread fraction ramps linearly from 0 to 1 over an effective duration </w:t>
      </w:r>
      <w:r>
        <w:rPr>
          <w:rFonts w:ascii="Cambria Math" w:hAnsi="Cambria Math"/>
          <w:i/>
        </w:rPr>
        <w:t>\tau_{\text{spread}}^{\text{eff}} = \tau_{\text{spread}} / \max(0.2, \beta)</w:t>
      </w:r>
      <w:r>
        <w:t xml:space="preserve">, where </w:t>
      </w:r>
      <w:r>
        <w:rPr>
          <w:rFonts w:ascii="Cambria Math" w:hAnsi="Cambria Math"/>
          <w:i/>
        </w:rPr>
        <w:t>\beta</w:t>
      </w:r>
      <w:r>
        <w:t xml:space="preserve"> is the motor-clutch engagement ratio. Projected area interpolates linearly between the spherical and spread values.</w:t>
      </w:r>
    </w:p>
    <w:p>
      <w:r>
        <w:rPr>
          <w:b/>
        </w:rPr>
        <w:t>Overcrowding.</w:t>
      </w:r>
      <w:r>
        <w:t xml:space="preserve"> The maximum number of cells per granule is set by the ratio of granule surface area to cell footprint, scaled by a coverage fraction:</w:t>
      </w:r>
    </w:p>
    <w:p>
      <w:pPr>
        <w:spacing w:before="120" w:after="120"/>
        <w:jc w:val="center"/>
      </w:pPr>
      <w:r>
        <w:rPr>
          <w:rFonts w:ascii="Cambria Math" w:hAnsi="Cambria Math"/>
          <w:i/>
          <w:sz w:val="22"/>
        </w:rPr>
        <w:t>n_{\max} = \left\lfloor \frac{\pi R^2 \cdot c_{\text{cov}}}{A_{\text{cell}}} \right\rfloor</w:t>
      </w:r>
    </w:p>
    <w:p>
      <w:r>
        <w:t>Excess cells (</w:t>
      </w:r>
      <w:r>
        <w:rPr>
          <w:rFonts w:ascii="Cambria Math" w:hAnsi="Cambria Math"/>
          <w:i/>
        </w:rPr>
        <w:t>n_{\text{attached}} &gt; n_{\max}</w:t>
      </w:r>
      <w:r>
        <w:t>) transition to the SENESCENT state.</w:t>
      </w:r>
    </w:p>
    <w:p>
      <w:r>
        <w:rPr>
          <w:b/>
        </w:rPr>
        <w:t>Migration.</w:t>
      </w:r>
      <w:r>
        <w:t xml:space="preserve"> Mobile cells (ATTACHED, SPREADING, PROLIFERATING) undergo a random walk on the granule surface, with angular displacement per timestep:</w:t>
      </w:r>
    </w:p>
    <w:p>
      <w:pPr>
        <w:spacing w:before="120" w:after="120"/>
        <w:jc w:val="center"/>
      </w:pPr>
      <w:r>
        <w:rPr>
          <w:rFonts w:ascii="Cambria Math" w:hAnsi="Cambria Math"/>
          <w:i/>
          <w:sz w:val="22"/>
        </w:rPr>
        <w:t>\Delta\theta \sim \mathcal{N}\!\left(0, \; \frac{v_{\text{mig}} \, \Delta t}{R_i}\right)</w:t>
      </w:r>
    </w:p>
    <w:p>
      <w:r>
        <w:t xml:space="preserve">where </w:t>
      </w:r>
      <w:r>
        <w:rPr>
          <w:rFonts w:ascii="Cambria Math" w:hAnsi="Cambria Math"/>
          <w:i/>
        </w:rPr>
        <w:t>v_{\text{mig}}</w:t>
      </w:r>
      <w:r>
        <w:t xml:space="preserve"> is the migration speed (</w:t>
      </w:r>
      <w:r>
        <w:rPr>
          <w:rFonts w:ascii="Cambria Math" w:hAnsi="Cambria Math"/>
          <w:i/>
        </w:rPr>
        <w:t>\mu</w:t>
      </w:r>
      <w:r>
        <w:t>m/h).</w:t>
      </w:r>
    </w:p>
    <w:p>
      <w:pPr>
        <w:pStyle w:val="Heading2"/>
      </w:pPr>
      <w:r>
        <w:t>3. Mesoscale: Coarse-Graining</w:t>
      </w:r>
    </w:p>
    <w:p>
      <w:pPr>
        <w:pStyle w:val="Heading3"/>
      </w:pPr>
      <w:r>
        <w:t>3.1 Stress Tensor (Love-Weber)</w:t>
      </w:r>
    </w:p>
    <w:p>
      <w:r>
        <w:t>The volume-averaged Cauchy stress tensor for the granular assembly is computed via the Love-Weber formula:</w:t>
      </w:r>
    </w:p>
    <w:p>
      <w:pPr>
        <w:spacing w:before="120" w:after="120"/>
        <w:jc w:val="center"/>
      </w:pPr>
      <w:r>
        <w:rPr>
          <w:rFonts w:ascii="Cambria Math" w:hAnsi="Cambria Math"/>
          <w:i/>
          <w:sz w:val="22"/>
        </w:rPr>
        <w:t>\sigma_{\alpha\beta} = \frac{1}{V} \sum_{\text{contacts}\; c} f_\alpha^c \, \ell_\beta^c</w:t>
      </w:r>
    </w:p>
    <w:p>
      <w:r>
        <w:t xml:space="preserve">where </w:t>
      </w:r>
      <w:r>
        <w:rPr>
          <w:rFonts w:ascii="Cambria Math" w:hAnsi="Cambria Math"/>
          <w:i/>
        </w:rPr>
        <w:t>f_\alpha^c</w:t>
      </w:r>
      <w:r>
        <w:t xml:space="preserve"> is the </w:t>
      </w:r>
      <w:r>
        <w:rPr>
          <w:rFonts w:ascii="Cambria Math" w:hAnsi="Cambria Math"/>
          <w:i/>
        </w:rPr>
        <w:t>\alpha</w:t>
      </w:r>
      <w:r>
        <w:t xml:space="preserve">-component of the contact force and </w:t>
      </w:r>
      <w:r>
        <w:rPr>
          <w:rFonts w:ascii="Cambria Math" w:hAnsi="Cambria Math"/>
          <w:i/>
        </w:rPr>
        <w:t>\ell_\beta^c = x_\beta^j - x_\beta^i</w:t>
      </w:r>
      <w:r>
        <w:t xml:space="preserve"> is the branch vector connecting the centers of the two granules in contact. The summation runs over all contacts within the averaging volume </w:t>
      </w:r>
      <w:r>
        <w:rPr>
          <w:rFonts w:ascii="Cambria Math" w:hAnsi="Cambria Math"/>
          <w:i/>
        </w:rPr>
        <w:t>V</w:t>
      </w:r>
      <w:r>
        <w:t>.</w:t>
      </w:r>
    </w:p>
    <w:p>
      <w:r>
        <w:t>The stress admits a decomposition into passive and active contributions:</w:t>
      </w:r>
    </w:p>
    <w:p>
      <w:pPr>
        <w:spacing w:before="120" w:after="120"/>
        <w:jc w:val="center"/>
      </w:pPr>
      <w:r>
        <w:rPr>
          <w:rFonts w:ascii="Cambria Math" w:hAnsi="Cambria Math"/>
          <w:i/>
          <w:sz w:val="22"/>
        </w:rPr>
        <w:t>\boldsymbol{\sigma} = \boldsymbol{\sigma}^{\text{contact}} + \boldsymbol{\sigma}^{\text{active}}</w:t>
      </w:r>
    </w:p>
    <w:p>
      <w:r>
        <w:t xml:space="preserve">where </w:t>
      </w:r>
      <w:r>
        <w:rPr>
          <w:rFonts w:ascii="Cambria Math" w:hAnsi="Cambria Math"/>
          <w:i/>
        </w:rPr>
        <w:t>\boldsymbol{\sigma}^{\text{contact}}</w:t>
      </w:r>
      <w:r>
        <w:t xml:space="preserve"> arises from Hertz, friction, and adhesion forces, and </w:t>
      </w:r>
      <w:r>
        <w:rPr>
          <w:rFonts w:ascii="Cambria Math" w:hAnsi="Cambria Math"/>
          <w:i/>
        </w:rPr>
        <w:t>\boldsymbol{\sigma}^{\text{active}}</w:t>
      </w:r>
      <w:r>
        <w:t xml:space="preserve"> arises from cell traction bridges.</w:t>
      </w:r>
    </w:p>
    <w:p>
      <w:pPr>
        <w:pStyle w:val="Heading3"/>
      </w:pPr>
      <w:r>
        <w:t>3.2 Strain Rate Tensor</w:t>
      </w:r>
    </w:p>
    <w:p>
      <w:r>
        <w:t>The coarse-grained strain rate tensor is</w:t>
      </w:r>
    </w:p>
    <w:p>
      <w:pPr>
        <w:spacing w:before="120" w:after="120"/>
        <w:jc w:val="center"/>
      </w:pPr>
      <w:r>
        <w:rPr>
          <w:rFonts w:ascii="Cambria Math" w:hAnsi="Cambria Math"/>
          <w:i/>
          <w:sz w:val="22"/>
        </w:rPr>
        <w:t>\dot{\varepsilon}_{\alpha\beta} = \frac{1}{2V} \sum_{i} \left(v_\alpha^i x_\beta^i + v_\beta^i x_\alpha^i\right) V_i</w:t>
      </w:r>
    </w:p>
    <w:p>
      <w:r>
        <w:t xml:space="preserve">where </w:t>
      </w:r>
      <w:r>
        <w:rPr>
          <w:rFonts w:ascii="Cambria Math" w:hAnsi="Cambria Math"/>
          <w:i/>
        </w:rPr>
        <w:t>v_\alpha^i</w:t>
      </w:r>
      <w:r>
        <w:t xml:space="preserve"> is the velocity component, </w:t>
      </w:r>
      <w:r>
        <w:rPr>
          <w:rFonts w:ascii="Cambria Math" w:hAnsi="Cambria Math"/>
          <w:i/>
        </w:rPr>
        <w:t>x_\beta^i</w:t>
      </w:r>
      <w:r>
        <w:t xml:space="preserve"> is the position component, and </w:t>
      </w:r>
      <w:r>
        <w:rPr>
          <w:rFonts w:ascii="Cambria Math" w:hAnsi="Cambria Math"/>
          <w:i/>
        </w:rPr>
        <w:t>V_i</w:t>
      </w:r>
      <w:r>
        <w:t xml:space="preserve"> is the Voronoi volume of granule </w:t>
      </w:r>
      <w:r>
        <w:rPr>
          <w:rFonts w:ascii="Cambria Math" w:hAnsi="Cambria Math"/>
          <w:i/>
        </w:rPr>
        <w:t>i</w:t>
      </w:r>
      <w:r>
        <w:t>.</w:t>
      </w:r>
    </w:p>
    <w:p>
      <w:pPr>
        <w:pStyle w:val="Heading3"/>
      </w:pPr>
      <w:r>
        <w:t>3.3 Effective Viscosity</w:t>
      </w:r>
    </w:p>
    <w:p>
      <w:r>
        <w:t>The effective shear viscosity of the granular assembly is defined through the ratio of deviatoric stress to deviatoric strain rate:</w:t>
      </w:r>
    </w:p>
    <w:p>
      <w:pPr>
        <w:spacing w:before="120" w:after="120"/>
        <w:jc w:val="center"/>
      </w:pPr>
      <w:r>
        <w:rPr>
          <w:rFonts w:ascii="Cambria Math" w:hAnsi="Cambria Math"/>
          <w:i/>
          <w:sz w:val="22"/>
        </w:rPr>
        <w:t>\eta_{\text{eff}} = \frac{|\boldsymbol{\sigma}_{\text{dev}}|}{2\,|\dot{\boldsymbol{\varepsilon}}_{\text{dev}}|}</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r>
            <w:r>
              <w:rPr>
                <w:b/>
                <w:sz w:val="20"/>
              </w:rPr>
              <w:t>where $</w:t>
            </w:r>
          </w:p>
        </w:tc>
        <w:tc>
          <w:tcPr>
            <w:tcW w:type="dxa" w:w="3120"/>
          </w:tcPr>
          <w:p>
            <w:r>
              <w:rPr>
                <w:b/>
                <w:sz w:val="20"/>
              </w:rPr>
            </w:r>
            <w:r>
              <w:rPr>
                <w:b/>
                <w:sz w:val="20"/>
              </w:rPr>
              <w:t>\cdot</w:t>
            </w:r>
          </w:p>
        </w:tc>
        <w:tc>
          <w:tcPr>
            <w:tcW w:type="dxa" w:w="3120"/>
          </w:tcPr>
          <w:p>
            <w:r>
              <w:rPr>
                <w:b/>
                <w:sz w:val="20"/>
              </w:rPr>
            </w:r>
            <w:r>
              <w:rPr>
                <w:b/>
                <w:sz w:val="20"/>
              </w:rPr>
              <w:t>$ denotes the von Mises norm:</w:t>
            </w:r>
          </w:p>
        </w:tc>
      </w:tr>
      <w:tr>
        <w:tc>
          <w:tcPr>
            <w:tcW w:type="dxa" w:w="3120"/>
          </w:tcPr>
          <w:p>
            <w:r>
              <w:rPr>
                <w:sz w:val="20"/>
              </w:rPr>
            </w:r>
            <w:r>
              <w:rPr>
                <w:rFonts w:ascii="Cambria Math" w:hAnsi="Cambria Math"/>
                <w:i/>
                <w:sz w:val="20"/>
              </w:rPr>
            </w:r>
          </w:p>
        </w:tc>
        <w:tc>
          <w:tcPr>
            <w:tcW w:type="dxa" w:w="3120"/>
          </w:tcPr>
          <w:p>
            <w:r>
              <w:rPr>
                <w:sz w:val="20"/>
              </w:rPr>
            </w:r>
            <w:r>
              <w:rPr>
                <w:sz w:val="20"/>
              </w:rPr>
              <w:t>\boldsymbol{\sigma}_{\text{dev}}</w:t>
            </w:r>
          </w:p>
        </w:tc>
        <w:tc>
          <w:tcPr>
            <w:tcW w:type="dxa" w:w="3120"/>
          </w:tcPr>
          <w:p>
            <w:r>
              <w:rPr>
                <w:sz w:val="20"/>
              </w:rPr>
            </w:r>
            <w:r>
              <w:rPr>
                <w:sz w:val="20"/>
              </w:rPr>
              <w:t>= \sqrt{\tfrac{1}{2}\sigma_{ij}'\sigma_{ij}'}$ with</w:t>
            </w:r>
          </w:p>
        </w:tc>
      </w:tr>
    </w:tbl>
    <w:p/>
    <w:p>
      <w:r>
        <w:rPr>
          <w:rFonts w:ascii="Cambria Math" w:hAnsi="Cambria Math"/>
          <w:i/>
        </w:rPr>
        <w:t>\sigma_{ij}' = \sigma_{ij} - \tfrac{1}{d}\sigma_{kk}\delta_{ij}</w:t>
      </w:r>
      <w:r>
        <w:t xml:space="preserve"> and </w:t>
      </w:r>
      <w:r>
        <w:rPr>
          <w:rFonts w:ascii="Cambria Math" w:hAnsi="Cambria Math"/>
          <w:i/>
        </w:rPr>
        <w:t>d</w:t>
      </w:r>
      <w:r>
        <w:t xml:space="preserve"> is the spatial dimension. This effective viscosity characterizes the scaffold's resistance to cell-driven rearrangement and is expected to diverge near the jamming transition.</w:t>
      </w:r>
    </w:p>
    <w:p>
      <w:pPr>
        <w:pStyle w:val="Heading2"/>
      </w:pPr>
      <w:r>
        <w:t>4. Macroscale: Continuum Model</w:t>
      </w:r>
    </w:p>
    <w:p>
      <w:pPr>
        <w:pStyle w:val="Heading3"/>
      </w:pPr>
      <w:r>
        <w:t>4.1 Conservation Equations</w:t>
      </w:r>
    </w:p>
    <w:p>
      <w:r>
        <w:t>The scaffold is treated as a three-phase mixture: functional granule phase (</w:t>
      </w:r>
      <w:r>
        <w:rPr>
          <w:rFonts w:ascii="Cambria Math" w:hAnsi="Cambria Math"/>
          <w:i/>
        </w:rPr>
        <w:t>\phi_f</w:t>
      </w:r>
      <w:r>
        <w:t>), inert granule phase (</w:t>
      </w:r>
      <w:r>
        <w:rPr>
          <w:rFonts w:ascii="Cambria Math" w:hAnsi="Cambria Math"/>
          <w:i/>
        </w:rPr>
        <w:t>\phi_i</w:t>
      </w:r>
      <w:r>
        <w:t>), and interstitial void (</w:t>
      </w:r>
      <w:r>
        <w:rPr>
          <w:rFonts w:ascii="Cambria Math" w:hAnsi="Cambria Math"/>
          <w:i/>
        </w:rPr>
        <w:t>\phi_v</w:t>
      </w:r>
      <w:r>
        <w:t>). In the absence of mass exchange between phases, each solid phase satisfies a conservation equation:</w:t>
      </w:r>
    </w:p>
    <w:p>
      <w:pPr>
        <w:spacing w:before="120" w:after="120"/>
        <w:jc w:val="center"/>
      </w:pPr>
      <w:r>
        <w:rPr>
          <w:rFonts w:ascii="Cambria Math" w:hAnsi="Cambria Math"/>
          <w:i/>
          <w:sz w:val="22"/>
        </w:rPr>
        <w:t>\frac{\partial \phi_\alpha}{\partial t} + \nabla \cdot (\phi_\alpha \, \mathbf{v}_\alpha) = 0, \qquad \alpha \in \{f, \, i\}</w:t>
      </w:r>
    </w:p>
    <w:p>
      <w:r>
        <w:t>The void fraction is determined by the saturation constraint:</w:t>
      </w:r>
    </w:p>
    <w:p>
      <w:pPr>
        <w:spacing w:before="120" w:after="120"/>
        <w:jc w:val="center"/>
      </w:pPr>
      <w:r>
        <w:rPr>
          <w:rFonts w:ascii="Cambria Math" w:hAnsi="Cambria Math"/>
          <w:i/>
          <w:sz w:val="22"/>
        </w:rPr>
        <w:t>\phi_v = 1 - \phi_f - \phi_i</w:t>
      </w:r>
    </w:p>
    <w:p>
      <w:r>
        <w:t xml:space="preserve">These fields are computed on a regular Eulerian grid by stamping each granule as a smoothed indicator function (tanh profile with interface width </w:t>
      </w:r>
      <w:r>
        <w:rPr>
          <w:rFonts w:ascii="Cambria Math" w:hAnsi="Cambria Math"/>
          <w:i/>
        </w:rPr>
        <w:t>w</w:t>
      </w:r>
      <w:r>
        <w:t>):</w:t>
      </w:r>
    </w:p>
    <w:p>
      <w:pPr>
        <w:spacing w:before="120" w:after="120"/>
        <w:jc w:val="center"/>
      </w:pPr>
      <w:r>
        <w:rPr>
          <w:rFonts w:ascii="Cambria Math" w:hAnsi="Cambria Math"/>
          <w:i/>
          <w:sz w:val="22"/>
        </w:rPr>
        <w:t>\phi_\alpha(\mathbf{x}) = \max_{i \in \alpha} \left[\frac{1}{2}\left(1 - \tanh\frac{s_i(\mathbf{x})}{w}\right)\right]</w:t>
      </w:r>
    </w:p>
    <w:p>
      <w:r>
        <w:t xml:space="preserve">where </w:t>
      </w:r>
      <w:r>
        <w:rPr>
          <w:rFonts w:ascii="Cambria Math" w:hAnsi="Cambria Math"/>
          <w:i/>
        </w:rPr>
        <w:t>s_i(\mathbf{x})</w:t>
      </w:r>
      <w:r>
        <w:t xml:space="preserve"> is the approximate signed distance from point </w:t>
      </w:r>
      <w:r>
        <w:rPr>
          <w:rFonts w:ascii="Cambria Math" w:hAnsi="Cambria Math"/>
          <w:i/>
        </w:rPr>
        <w:t>\mathbf{x}</w:t>
      </w:r>
      <w:r>
        <w:t xml:space="preserve"> to the surface of granule </w:t>
      </w:r>
      <w:r>
        <w:rPr>
          <w:rFonts w:ascii="Cambria Math" w:hAnsi="Cambria Math"/>
          <w:i/>
        </w:rPr>
        <w:t>i</w:t>
      </w:r>
      <w:r>
        <w:t>.</w:t>
      </w:r>
    </w:p>
    <w:p>
      <w:pPr>
        <w:pStyle w:val="Heading3"/>
      </w:pPr>
      <w:r>
        <w:t>4.2 Momentum Balance (Overdamped)</w:t>
      </w:r>
    </w:p>
    <w:p>
      <w:r>
        <w:t xml:space="preserve">In the overdamped limit, the momentum equation for phase </w:t>
      </w:r>
      <w:r>
        <w:rPr>
          <w:rFonts w:ascii="Cambria Math" w:hAnsi="Cambria Math"/>
          <w:i/>
        </w:rPr>
        <w:t>\alpha</w:t>
      </w:r>
      <w:r>
        <w:t xml:space="preserve"> reduces to a force balance:</w:t>
      </w:r>
    </w:p>
    <w:p>
      <w:pPr>
        <w:spacing w:before="120" w:after="120"/>
        <w:jc w:val="center"/>
      </w:pPr>
      <w:r>
        <w:rPr>
          <w:rFonts w:ascii="Cambria Math" w:hAnsi="Cambria Math"/>
          <w:i/>
          <w:sz w:val="22"/>
        </w:rPr>
        <w:t>0 = \nabla \cdot \boldsymbol{\sigma}_\alpha + \mathbf{f}_\alpha^{\text{contact}} + \mathbf{f}_\alpha^{\text{active}} - \zeta_\alpha \phi_\alpha \left(\mathbf{v}_\alpha - \mathbf{v}_f\right)</w:t>
      </w:r>
    </w:p>
    <w:p>
      <w:r>
        <w:t xml:space="preserve">where </w:t>
      </w:r>
      <w:r>
        <w:rPr>
          <w:rFonts w:ascii="Cambria Math" w:hAnsi="Cambria Math"/>
          <w:i/>
        </w:rPr>
        <w:t>\boldsymbol{\sigma}_\alpha</w:t>
      </w:r>
      <w:r>
        <w:t xml:space="preserve"> is the phase stress tensor, </w:t>
      </w:r>
      <w:r>
        <w:rPr>
          <w:rFonts w:ascii="Cambria Math" w:hAnsi="Cambria Math"/>
          <w:i/>
        </w:rPr>
        <w:t>\mathbf{f}_\alpha^{\text{contact}}</w:t>
      </w:r>
      <w:r>
        <w:t xml:space="preserve"> represents inter-phase contact forces, </w:t>
      </w:r>
      <w:r>
        <w:rPr>
          <w:rFonts w:ascii="Cambria Math" w:hAnsi="Cambria Math"/>
          <w:i/>
        </w:rPr>
        <w:t>\mathbf{f}_\alpha^{\text{active}}</w:t>
      </w:r>
      <w:r>
        <w:t xml:space="preserve"> is the cell traction body force density, and the last term is the drag between the solid phase and the interstitial fluid, with </w:t>
      </w:r>
      <w:r>
        <w:rPr>
          <w:rFonts w:ascii="Cambria Math" w:hAnsi="Cambria Math"/>
          <w:i/>
        </w:rPr>
        <w:t>\zeta_\alpha</w:t>
      </w:r>
      <w:r>
        <w:t xml:space="preserve"> a drag coefficient.</w:t>
      </w:r>
    </w:p>
    <w:p>
      <w:pPr>
        <w:pStyle w:val="Heading3"/>
      </w:pPr>
      <w:r>
        <w:t>4.3 Darcy Flow</w:t>
      </w:r>
    </w:p>
    <w:p>
      <w:r>
        <w:t>The interstitial fluid velocity relative to the solid skeleton follows Darcy's law:</w:t>
      </w:r>
    </w:p>
    <w:p>
      <w:pPr>
        <w:spacing w:before="120" w:after="120"/>
        <w:jc w:val="center"/>
      </w:pPr>
      <w:r>
        <w:rPr>
          <w:rFonts w:ascii="Cambria Math" w:hAnsi="Cambria Math"/>
          <w:i/>
          <w:sz w:val="22"/>
        </w:rPr>
        <w:t>\phi_v \, \mathbf{v}_f = -\frac{k}{\mu} \nabla P</w:t>
      </w:r>
    </w:p>
    <w:p>
      <w:r>
        <w:t xml:space="preserve">where </w:t>
      </w:r>
      <w:r>
        <w:rPr>
          <w:rFonts w:ascii="Cambria Math" w:hAnsi="Cambria Math"/>
          <w:i/>
        </w:rPr>
        <w:t>k</w:t>
      </w:r>
      <w:r>
        <w:t xml:space="preserve"> is the hydraulic permeability (</w:t>
      </w:r>
      <w:r>
        <w:rPr>
          <w:rFonts w:ascii="Cambria Math" w:hAnsi="Cambria Math"/>
          <w:i/>
        </w:rPr>
        <w:t>\mu\text{m}^2</w:t>
      </w:r>
      <w:r>
        <w:t xml:space="preserve">), </w:t>
      </w:r>
      <w:r>
        <w:rPr>
          <w:rFonts w:ascii="Cambria Math" w:hAnsi="Cambria Math"/>
          <w:i/>
        </w:rPr>
        <w:t>\mu</w:t>
      </w:r>
      <w:r>
        <w:t xml:space="preserve"> is the fluid viscosity (Pa</w:t>
      </w:r>
      <w:r>
        <w:rPr>
          <w:rFonts w:ascii="Cambria Math" w:hAnsi="Cambria Math"/>
          <w:i/>
        </w:rPr>
        <w:t>\cdot</w:t>
      </w:r>
      <w:r>
        <w:t xml:space="preserve">s), and </w:t>
      </w:r>
      <w:r>
        <w:rPr>
          <w:rFonts w:ascii="Cambria Math" w:hAnsi="Cambria Math"/>
          <w:i/>
        </w:rPr>
        <w:t>P</w:t>
      </w:r>
      <w:r>
        <w:t xml:space="preserve"> is the pore fluid pressure.</w:t>
      </w:r>
    </w:p>
    <w:p>
      <w:pPr>
        <w:pStyle w:val="Heading3"/>
      </w:pPr>
      <w:r>
        <w:t>4.4 Kozeny-Carman Permeability</w:t>
      </w:r>
    </w:p>
    <w:p>
      <w:r>
        <w:t>The permeability of the granular bed is estimated by the Kozeny-Carman relation:</w:t>
      </w:r>
    </w:p>
    <w:p>
      <w:pPr>
        <w:spacing w:before="120" w:after="120"/>
        <w:jc w:val="center"/>
      </w:pPr>
      <w:r>
        <w:rPr>
          <w:rFonts w:ascii="Cambria Math" w:hAnsi="Cambria Math"/>
          <w:i/>
          <w:sz w:val="22"/>
        </w:rPr>
        <w:t>k = \frac{\phi_v^3 \, d^2}{180 \, (1 - \phi_v)^2}</w:t>
      </w:r>
    </w:p>
    <w:p>
      <w:r>
        <w:t xml:space="preserve">where </w:t>
      </w:r>
      <w:r>
        <w:rPr>
          <w:rFonts w:ascii="Cambria Math" w:hAnsi="Cambria Math"/>
          <w:i/>
        </w:rPr>
        <w:t>d</w:t>
      </w:r>
      <w:r>
        <w:t xml:space="preserve"> is the mean granule diameter. This classical result assumes a bed of monodisperse spheres; for polydisperse superellipsoidal packings, </w:t>
      </w:r>
      <w:r>
        <w:rPr>
          <w:rFonts w:ascii="Cambria Math" w:hAnsi="Cambria Math"/>
          <w:i/>
        </w:rPr>
        <w:t>d</w:t>
      </w:r>
      <w:r>
        <w:t xml:space="preserve"> is taken as the mean equivalent-sphere diameter. The strong dependence on porosity (</w:t>
      </w:r>
      <w:r>
        <w:rPr>
          <w:rFonts w:ascii="Cambria Math" w:hAnsi="Cambria Math"/>
          <w:i/>
        </w:rPr>
        <w:t>k \propto \phi_v^3</w:t>
      </w:r>
      <w:r>
        <w:t xml:space="preserve"> for small changes) couples the transport properties tightly to compaction.</w:t>
      </w:r>
    </w:p>
    <w:p>
      <w:pPr>
        <w:pStyle w:val="Heading2"/>
      </w:pPr>
      <w:r>
        <w:t>5. Mean-Field Compaction Model</w:t>
      </w:r>
    </w:p>
    <w:p>
      <w:r>
        <w:t xml:space="preserve">The simplest useful model for scaffold compaction tracks the bulk functional volume fraction </w:t>
      </w:r>
      <w:r>
        <w:rPr>
          <w:rFonts w:ascii="Cambria Math" w:hAnsi="Cambria Math"/>
          <w:i/>
        </w:rPr>
        <w:t>\phi_f(t)</w:t>
      </w:r>
      <w:r>
        <w:t>. It collapses the microscale DEM into a single ordinary differential equation that can be solved analytically in limiting cases.</w:t>
      </w:r>
    </w:p>
    <w:p>
      <w:pPr>
        <w:pStyle w:val="Heading3"/>
      </w:pPr>
      <w:r>
        <w:t>5.1 Compaction Rate</w:t>
      </w:r>
    </w:p>
    <w:p>
      <w:pPr>
        <w:spacing w:before="120" w:after="120"/>
        <w:jc w:val="center"/>
      </w:pPr>
      <w:r>
        <w:rPr>
          <w:rFonts w:ascii="Cambria Math" w:hAnsi="Cambria Math"/>
          <w:i/>
          <w:sz w:val="22"/>
        </w:rPr>
        <w:t>\frac{d\phi_f}{dt} = -\phi_f \cdot \dot{\varepsilon}_{\text{comp}}</w:t>
      </w:r>
    </w:p>
    <w:p>
      <w:r>
        <w:t>where the compaction strain rate is</w:t>
      </w:r>
    </w:p>
    <w:p>
      <w:pPr>
        <w:spacing w:before="120" w:after="120"/>
        <w:jc w:val="center"/>
      </w:pPr>
      <w:r>
        <w:rPr>
          <w:rFonts w:ascii="Cambria Math" w:hAnsi="Cambria Math"/>
          <w:i/>
          <w:sz w:val="22"/>
        </w:rPr>
        <w:t>\dot{\varepsilon}_{\text{comp}} = \frac{\sigma_{\text{cell}}(t) - \sigma_{\text{resist}}(\phi_{\text{solid}})}{\eta_{\text{eff}}}</w:t>
      </w:r>
    </w:p>
    <w:p>
      <w:pPr>
        <w:pStyle w:val="Heading3"/>
      </w:pPr>
      <w:r>
        <w:t>5.2 Cell Stress (Volume-Averaged Motor-Clutch)</w:t>
      </w:r>
    </w:p>
    <w:p>
      <w:r>
        <w:t>The cell-generated compressive stress is the volume average of all bridge forces:</w:t>
      </w:r>
    </w:p>
    <w:p>
      <w:pPr>
        <w:spacing w:before="120" w:after="120"/>
        <w:jc w:val="center"/>
      </w:pPr>
      <w:r>
        <w:rPr>
          <w:rFonts w:ascii="Cambria Math" w:hAnsi="Cambria Math"/>
          <w:i/>
          <w:sz w:val="22"/>
        </w:rPr>
        <w:t>\sigma_{\text{cell}}(t) = n_{\text{cell}} \cdot F_{\text{cell}}(E) \cdot f_{\text{bridge}}(t) \cdot m(t)</w:t>
      </w:r>
    </w:p>
    <w:p>
      <w:r>
        <w:t xml:space="preserve">where </w:t>
      </w:r>
      <w:r>
        <w:rPr>
          <w:rFonts w:ascii="Cambria Math" w:hAnsi="Cambria Math"/>
          <w:i/>
        </w:rPr>
        <w:t>n_{\text{cell}}</w:t>
      </w:r>
      <w:r>
        <w:t xml:space="preserve"> is the number density of bridging cells, </w:t>
      </w:r>
      <w:r>
        <w:rPr>
          <w:rFonts w:ascii="Cambria Math" w:hAnsi="Cambria Math"/>
          <w:i/>
        </w:rPr>
        <w:t>F_{\text{cell}}(E)</w:t>
      </w:r>
      <w:r>
        <w:t xml:space="preserve"> is the motor-clutch force at substrate stiffness </w:t>
      </w:r>
      <w:r>
        <w:rPr>
          <w:rFonts w:ascii="Cambria Math" w:hAnsi="Cambria Math"/>
          <w:i/>
        </w:rPr>
        <w:t>E</w:t>
      </w:r>
      <w:r>
        <w:t xml:space="preserve">, </w:t>
      </w:r>
      <w:r>
        <w:rPr>
          <w:rFonts w:ascii="Cambria Math" w:hAnsi="Cambria Math"/>
          <w:i/>
        </w:rPr>
        <w:t>f_{\text{bridge}}(t)</w:t>
      </w:r>
      <w:r>
        <w:t xml:space="preserve"> is the fraction of cells that have formed bridges (governed by the Poisson kinetics of Section 2.6), and </w:t>
      </w:r>
      <w:r>
        <w:rPr>
          <w:rFonts w:ascii="Cambria Math" w:hAnsi="Cambria Math"/>
          <w:i/>
        </w:rPr>
        <w:t>m(t)</w:t>
      </w:r>
      <w:r>
        <w:t xml:space="preserve"> is the mean focal adhesion maturity.</w:t>
      </w:r>
    </w:p>
    <w:p>
      <w:pPr>
        <w:pStyle w:val="Heading3"/>
      </w:pPr>
      <w:r>
        <w:t>5.3 Resistance Stress (Jamming)</w:t>
      </w:r>
    </w:p>
    <w:p>
      <w:r>
        <w:t xml:space="preserve">As the solid fraction </w:t>
      </w:r>
      <w:r>
        <w:rPr>
          <w:rFonts w:ascii="Cambria Math" w:hAnsi="Cambria Math"/>
          <w:i/>
        </w:rPr>
        <w:t>\phi_{\text{solid}} = \phi_f + \phi_i</w:t>
      </w:r>
      <w:r>
        <w:t xml:space="preserve"> approaches the jamming point </w:t>
      </w:r>
      <w:r>
        <w:rPr>
          <w:rFonts w:ascii="Cambria Math" w:hAnsi="Cambria Math"/>
          <w:i/>
        </w:rPr>
        <w:t>\phi_J</w:t>
      </w:r>
      <w:r>
        <w:t>, the scaffold stiffens and resists further compaction:</w:t>
      </w:r>
    </w:p>
    <w:p>
      <w:pPr>
        <w:spacing w:before="120" w:after="120"/>
        <w:jc w:val="center"/>
      </w:pPr>
      <w:r>
        <w:rPr>
          <w:rFonts w:ascii="Cambria Math" w:hAnsi="Cambria Math"/>
          <w:i/>
          <w:sz w:val="22"/>
        </w:rPr>
        <w:t>\sigma_{\text{resist}} = \sigma_0 \left(\frac{\phi_{\text{solid}}}{\phi_J} - 1\right)^\alpha \quad \text{for } \phi_{\text{solid}} &gt; \phi_J</w:t>
      </w:r>
    </w:p>
    <w:p>
      <w:pPr>
        <w:spacing w:before="120" w:after="120"/>
        <w:jc w:val="center"/>
      </w:pPr>
      <w:r>
        <w:rPr>
          <w:rFonts w:ascii="Cambria Math" w:hAnsi="Cambria Math"/>
          <w:i/>
          <w:sz w:val="22"/>
        </w:rPr>
        <w:t>\sigma_{\text{resist}} = 0 \quad \text{for } \phi_{\text{solid}} \leq \phi_J</w:t>
      </w:r>
    </w:p>
    <w:p>
      <w:r>
        <w:t xml:space="preserve">The jamming fraction </w:t>
      </w:r>
      <w:r>
        <w:rPr>
          <w:rFonts w:ascii="Cambria Math" w:hAnsi="Cambria Math"/>
          <w:i/>
        </w:rPr>
        <w:t>\phi_J</w:t>
      </w:r>
      <w:r>
        <w:t xml:space="preserve"> depends on particle shape. For random close packing of spheres, </w:t>
      </w:r>
      <w:r>
        <w:rPr>
          <w:rFonts w:ascii="Cambria Math" w:hAnsi="Cambria Math"/>
          <w:i/>
        </w:rPr>
        <w:t>\phi_J \approx 0.64</w:t>
      </w:r>
      <w:r>
        <w:t xml:space="preserve"> (Torquato et al., 2000). For ellipsoids, </w:t>
      </w:r>
      <w:r>
        <w:rPr>
          <w:rFonts w:ascii="Cambria Math" w:hAnsi="Cambria Math"/>
          <w:i/>
        </w:rPr>
        <w:t>\phi_J \approx 0.64 + 0.08 (\text{AR} - 1)</w:t>
      </w:r>
      <w:r>
        <w:t xml:space="preserve"> up to aspect ratio </w:t>
      </w:r>
      <w:r>
        <w:rPr>
          <w:rFonts w:ascii="Cambria Math" w:hAnsi="Cambria Math"/>
          <w:i/>
        </w:rPr>
        <w:t>\text{AR} \approx 2</w:t>
      </w:r>
      <w:r>
        <w:t xml:space="preserve"> (Donev et al., 2004). The exponent </w:t>
      </w:r>
      <w:r>
        <w:rPr>
          <w:rFonts w:ascii="Cambria Math" w:hAnsi="Cambria Math"/>
          <w:i/>
        </w:rPr>
        <w:t>\alpha</w:t>
      </w:r>
      <w:r>
        <w:t xml:space="preserve"> characterizes the stiffening law near jamming; for frictionless spheres, </w:t>
      </w:r>
      <w:r>
        <w:rPr>
          <w:rFonts w:ascii="Cambria Math" w:hAnsi="Cambria Math"/>
          <w:i/>
        </w:rPr>
        <w:t>\alpha \approx 3/2</w:t>
      </w:r>
      <w:r>
        <w:t xml:space="preserve"> (O'Hern et al., 2003).</w:t>
      </w:r>
    </w:p>
    <w:p>
      <w:pPr>
        <w:pStyle w:val="Heading3"/>
      </w:pPr>
      <w:r>
        <w:t>5.4 Mechanical Equilibrium</w:t>
      </w:r>
    </w:p>
    <w:p>
      <w:r>
        <w:t xml:space="preserve">Compaction halts when </w:t>
      </w:r>
      <w:r>
        <w:rPr>
          <w:rFonts w:ascii="Cambria Math" w:hAnsi="Cambria Math"/>
          <w:i/>
        </w:rPr>
        <w:t>\sigma_{\text{cell}} = \sigma_{\text{resist}}</w:t>
      </w:r>
      <w:r>
        <w:t xml:space="preserve">, defining the equilibrium solid fraction </w:t>
      </w:r>
      <w:r>
        <w:rPr>
          <w:rFonts w:ascii="Cambria Math" w:hAnsi="Cambria Math"/>
          <w:i/>
        </w:rPr>
        <w:t>\phi_{\text{solid}}^{\text{eq}}</w:t>
      </w:r>
      <w:r>
        <w:t xml:space="preserve">. For weak cell forces relative to scaffold stiffness (small Compaction number </w:t>
      </w:r>
      <w:r>
        <w:rPr>
          <w:rFonts w:ascii="Cambria Math" w:hAnsi="Cambria Math"/>
          <w:i/>
        </w:rPr>
        <w:t>\text{Ca}</w:t>
      </w:r>
      <w:r>
        <w:t xml:space="preserve">, Section 6.1), </w:t>
      </w:r>
      <w:r>
        <w:rPr>
          <w:rFonts w:ascii="Cambria Math" w:hAnsi="Cambria Math"/>
          <w:i/>
        </w:rPr>
        <w:t>\phi_{\text{solid}}^{\text{eq}} \approx \phi_J</w:t>
      </w:r>
      <w:r>
        <w:t xml:space="preserve"> and the scaffold barely compacts. For large </w:t>
      </w:r>
      <w:r>
        <w:rPr>
          <w:rFonts w:ascii="Cambria Math" w:hAnsi="Cambria Math"/>
          <w:i/>
        </w:rPr>
        <w:t>\text{Ca}</w:t>
      </w:r>
      <w:r>
        <w:t>, the equilibrium approaches maximal packing.</w:t>
      </w:r>
    </w:p>
    <w:p>
      <w:pPr>
        <w:pStyle w:val="Heading2"/>
      </w:pPr>
      <w:r>
        <w:t>6. Dimensionless Analysis</w:t>
      </w:r>
    </w:p>
    <w:p>
      <w:pPr>
        <w:pStyle w:val="Heading3"/>
      </w:pPr>
      <w:r>
        <w:t>6.1 Key Dimensionless Groups</w:t>
      </w:r>
    </w:p>
    <w:p>
      <w:r>
        <w:t>The system behavior is governed by the following dimensionless groups: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Group</w:t>
            </w:r>
          </w:p>
        </w:tc>
        <w:tc>
          <w:tcPr>
            <w:tcW w:type="dxa" w:w="1872"/>
          </w:tcPr>
          <w:p>
            <w:r>
              <w:rPr>
                <w:b/>
                <w:sz w:val="20"/>
              </w:rPr>
            </w:r>
            <w:r>
              <w:rPr>
                <w:b/>
                <w:sz w:val="20"/>
              </w:rPr>
              <w:t>Symbol</w:t>
            </w:r>
          </w:p>
        </w:tc>
        <w:tc>
          <w:tcPr>
            <w:tcW w:type="dxa" w:w="1872"/>
          </w:tcPr>
          <w:p>
            <w:r>
              <w:rPr>
                <w:b/>
                <w:sz w:val="20"/>
              </w:rPr>
            </w:r>
            <w:r>
              <w:rPr>
                <w:b/>
                <w:sz w:val="20"/>
              </w:rPr>
              <w:t>Definition</w:t>
            </w:r>
          </w:p>
        </w:tc>
        <w:tc>
          <w:tcPr>
            <w:tcW w:type="dxa" w:w="1872"/>
          </w:tcPr>
          <w:p>
            <w:r>
              <w:rPr>
                <w:b/>
                <w:sz w:val="20"/>
              </w:rPr>
            </w:r>
            <w:r>
              <w:rPr>
                <w:b/>
                <w:sz w:val="20"/>
              </w:rPr>
              <w:t>Physical meaning</w:t>
            </w:r>
          </w:p>
        </w:tc>
        <w:tc>
          <w:tcPr>
            <w:tcW w:type="dxa" w:w="1872"/>
          </w:tcPr>
          <w:p>
            <w:r>
              <w:rPr>
                <w:b/>
                <w:sz w:val="20"/>
              </w:rPr>
            </w:r>
            <w:r>
              <w:rPr>
                <w:b/>
                <w:sz w:val="20"/>
              </w:rPr>
              <w:t>Typical range</w:t>
            </w:r>
          </w:p>
        </w:tc>
      </w:tr>
      <w:tr>
        <w:tc>
          <w:tcPr>
            <w:tcW w:type="dxa" w:w="1872"/>
          </w:tcPr>
          <w:p>
            <w:r>
              <w:rPr>
                <w:sz w:val="20"/>
              </w:rPr>
            </w:r>
            <w:r>
              <w:rPr>
                <w:sz w:val="20"/>
              </w:rPr>
              <w:t>Motor-clutch engagement</w:t>
            </w:r>
          </w:p>
        </w:tc>
        <w:tc>
          <w:tcPr>
            <w:tcW w:type="dxa" w:w="1872"/>
          </w:tcPr>
          <w:p>
            <w:r>
              <w:rPr>
                <w:sz w:val="20"/>
              </w:rPr>
            </w:r>
            <w:r>
              <w:rPr>
                <w:rFonts w:ascii="Cambria Math" w:hAnsi="Cambria Math"/>
                <w:i/>
                <w:sz w:val="20"/>
              </w:rPr>
              <w:t>\beta</w:t>
            </w:r>
          </w:p>
        </w:tc>
        <w:tc>
          <w:tcPr>
            <w:tcW w:type="dxa" w:w="1872"/>
          </w:tcPr>
          <w:p>
            <w:r>
              <w:rPr>
                <w:sz w:val="20"/>
              </w:rPr>
            </w:r>
            <w:r>
              <w:rPr>
                <w:rFonts w:ascii="Cambria Math" w:hAnsi="Cambria Math"/>
                <w:i/>
                <w:sz w:val="20"/>
              </w:rPr>
              <w:t>k_{\text{sub}} / (k_{\text{sub}} + k_{\text{opt}})</w:t>
            </w:r>
          </w:p>
        </w:tc>
        <w:tc>
          <w:tcPr>
            <w:tcW w:type="dxa" w:w="1872"/>
          </w:tcPr>
          <w:p>
            <w:r>
              <w:rPr>
                <w:sz w:val="20"/>
              </w:rPr>
            </w:r>
            <w:r>
              <w:rPr>
                <w:sz w:val="20"/>
              </w:rPr>
              <w:t>Fraction of motor force transmitted to substrate</w:t>
            </w:r>
          </w:p>
        </w:tc>
        <w:tc>
          <w:tcPr>
            <w:tcW w:type="dxa" w:w="1872"/>
          </w:tcPr>
          <w:p>
            <w:r>
              <w:rPr>
                <w:sz w:val="20"/>
              </w:rPr>
            </w:r>
            <w:r>
              <w:rPr>
                <w:sz w:val="20"/>
              </w:rPr>
              <w:t>0.01 -- 0.93</w:t>
            </w:r>
          </w:p>
        </w:tc>
      </w:tr>
      <w:tr>
        <w:tc>
          <w:tcPr>
            <w:tcW w:type="dxa" w:w="1872"/>
          </w:tcPr>
          <w:p>
            <w:r>
              <w:rPr>
                <w:sz w:val="20"/>
              </w:rPr>
            </w:r>
            <w:r>
              <w:rPr>
                <w:sz w:val="20"/>
              </w:rPr>
              <w:t>Compaction number</w:t>
            </w:r>
          </w:p>
        </w:tc>
        <w:tc>
          <w:tcPr>
            <w:tcW w:type="dxa" w:w="1872"/>
          </w:tcPr>
          <w:p>
            <w:r>
              <w:rPr>
                <w:sz w:val="20"/>
              </w:rPr>
            </w:r>
            <w:r>
              <w:rPr>
                <w:rFonts w:ascii="Cambria Math" w:hAnsi="Cambria Math"/>
                <w:i/>
                <w:sz w:val="20"/>
              </w:rPr>
              <w:t>\text{Ca}</w:t>
            </w:r>
          </w:p>
        </w:tc>
        <w:tc>
          <w:tcPr>
            <w:tcW w:type="dxa" w:w="1872"/>
          </w:tcPr>
          <w:p>
            <w:r>
              <w:rPr>
                <w:sz w:val="20"/>
              </w:rPr>
            </w:r>
            <w:r>
              <w:rPr>
                <w:rFonts w:ascii="Cambria Math" w:hAnsi="Cambria Math"/>
                <w:i/>
                <w:sz w:val="20"/>
              </w:rPr>
              <w:t>\sigma_{\text{cell}} / E^*</w:t>
            </w:r>
          </w:p>
        </w:tc>
        <w:tc>
          <w:tcPr>
            <w:tcW w:type="dxa" w:w="1872"/>
          </w:tcPr>
          <w:p>
            <w:r>
              <w:rPr>
                <w:sz w:val="20"/>
              </w:rPr>
            </w:r>
            <w:r>
              <w:rPr>
                <w:sz w:val="20"/>
              </w:rPr>
              <w:t>Cell stress relative to granule stiffness</w:t>
            </w:r>
          </w:p>
        </w:tc>
        <w:tc>
          <w:tcPr>
            <w:tcW w:type="dxa" w:w="1872"/>
          </w:tcPr>
          <w:p>
            <w:r>
              <w:rPr>
                <w:sz w:val="20"/>
              </w:rPr>
            </w:r>
            <w:r>
              <w:rPr>
                <w:rFonts w:ascii="Cambria Math" w:hAnsi="Cambria Math"/>
                <w:i/>
                <w:sz w:val="20"/>
              </w:rPr>
              <w:t>10^{-4}</w:t>
            </w:r>
            <w:r>
              <w:rPr>
                <w:sz w:val="20"/>
              </w:rPr>
              <w:t xml:space="preserve"> -- </w:t>
            </w:r>
            <w:r>
              <w:rPr>
                <w:rFonts w:ascii="Cambria Math" w:hAnsi="Cambria Math"/>
                <w:i/>
                <w:sz w:val="20"/>
              </w:rPr>
              <w:t>10^{-2}</w:t>
            </w:r>
          </w:p>
        </w:tc>
      </w:tr>
      <w:tr>
        <w:tc>
          <w:tcPr>
            <w:tcW w:type="dxa" w:w="1872"/>
          </w:tcPr>
          <w:p>
            <w:r>
              <w:rPr>
                <w:sz w:val="20"/>
              </w:rPr>
            </w:r>
            <w:r>
              <w:rPr>
                <w:sz w:val="20"/>
              </w:rPr>
              <w:t>Jamming proximity</w:t>
            </w:r>
          </w:p>
        </w:tc>
        <w:tc>
          <w:tcPr>
            <w:tcW w:type="dxa" w:w="1872"/>
          </w:tcPr>
          <w:p>
            <w:r>
              <w:rPr>
                <w:sz w:val="20"/>
              </w:rPr>
            </w:r>
            <w:r>
              <w:rPr>
                <w:rFonts w:ascii="Cambria Math" w:hAnsi="Cambria Math"/>
                <w:i/>
                <w:sz w:val="20"/>
              </w:rPr>
              <w:t>\Phi / \Phi_J</w:t>
            </w:r>
          </w:p>
        </w:tc>
        <w:tc>
          <w:tcPr>
            <w:tcW w:type="dxa" w:w="1872"/>
          </w:tcPr>
          <w:p>
            <w:r>
              <w:rPr>
                <w:sz w:val="20"/>
              </w:rPr>
            </w:r>
            <w:r>
              <w:rPr>
                <w:rFonts w:ascii="Cambria Math" w:hAnsi="Cambria Math"/>
                <w:i/>
                <w:sz w:val="20"/>
              </w:rPr>
              <w:t>\phi_{\text{solid}} / \phi_{\text{RCP}}</w:t>
            </w:r>
          </w:p>
        </w:tc>
        <w:tc>
          <w:tcPr>
            <w:tcW w:type="dxa" w:w="1872"/>
          </w:tcPr>
          <w:p>
            <w:r>
              <w:rPr>
                <w:sz w:val="20"/>
              </w:rPr>
            </w:r>
            <w:r>
              <w:rPr>
                <w:sz w:val="20"/>
              </w:rPr>
              <w:t>Distance from random close packing</w:t>
            </w:r>
          </w:p>
        </w:tc>
        <w:tc>
          <w:tcPr>
            <w:tcW w:type="dxa" w:w="1872"/>
          </w:tcPr>
          <w:p>
            <w:r>
              <w:rPr>
                <w:sz w:val="20"/>
              </w:rPr>
            </w:r>
            <w:r>
              <w:rPr>
                <w:sz w:val="20"/>
              </w:rPr>
              <w:t>0.5 -- 1.2</w:t>
            </w:r>
          </w:p>
        </w:tc>
      </w:tr>
      <w:tr>
        <w:tc>
          <w:tcPr>
            <w:tcW w:type="dxa" w:w="1872"/>
          </w:tcPr>
          <w:p>
            <w:r>
              <w:rPr>
                <w:sz w:val="20"/>
              </w:rPr>
            </w:r>
            <w:r>
              <w:rPr>
                <w:sz w:val="20"/>
              </w:rPr>
              <w:t>Darcy number</w:t>
            </w:r>
          </w:p>
        </w:tc>
        <w:tc>
          <w:tcPr>
            <w:tcW w:type="dxa" w:w="1872"/>
          </w:tcPr>
          <w:p>
            <w:r>
              <w:rPr>
                <w:sz w:val="20"/>
              </w:rPr>
            </w:r>
            <w:r>
              <w:rPr>
                <w:rFonts w:ascii="Cambria Math" w:hAnsi="Cambria Math"/>
                <w:i/>
                <w:sz w:val="20"/>
              </w:rPr>
              <w:t>\text{Da}</w:t>
            </w:r>
          </w:p>
        </w:tc>
        <w:tc>
          <w:tcPr>
            <w:tcW w:type="dxa" w:w="1872"/>
          </w:tcPr>
          <w:p>
            <w:r>
              <w:rPr>
                <w:sz w:val="20"/>
              </w:rPr>
            </w:r>
            <w:r>
              <w:rPr>
                <w:rFonts w:ascii="Cambria Math" w:hAnsi="Cambria Math"/>
                <w:i/>
                <w:sz w:val="20"/>
              </w:rPr>
              <w:t>k / L^2</w:t>
            </w:r>
          </w:p>
        </w:tc>
        <w:tc>
          <w:tcPr>
            <w:tcW w:type="dxa" w:w="1872"/>
          </w:tcPr>
          <w:p>
            <w:r>
              <w:rPr>
                <w:sz w:val="20"/>
              </w:rPr>
            </w:r>
            <w:r>
              <w:rPr>
                <w:sz w:val="20"/>
              </w:rPr>
              <w:t>Permeability relative to domain scale</w:t>
            </w:r>
          </w:p>
        </w:tc>
        <w:tc>
          <w:tcPr>
            <w:tcW w:type="dxa" w:w="1872"/>
          </w:tcPr>
          <w:p>
            <w:r>
              <w:rPr>
                <w:sz w:val="20"/>
              </w:rPr>
            </w:r>
            <w:r>
              <w:rPr>
                <w:rFonts w:ascii="Cambria Math" w:hAnsi="Cambria Math"/>
                <w:i/>
                <w:sz w:val="20"/>
              </w:rPr>
              <w:t>\sim 10^{-5}</w:t>
            </w:r>
          </w:p>
        </w:tc>
      </w:tr>
      <w:tr>
        <w:tc>
          <w:tcPr>
            <w:tcW w:type="dxa" w:w="1872"/>
          </w:tcPr>
          <w:p>
            <w:r>
              <w:rPr>
                <w:sz w:val="20"/>
              </w:rPr>
            </w:r>
            <w:r>
              <w:rPr>
                <w:sz w:val="20"/>
              </w:rPr>
              <w:t>Timescale ratio</w:t>
            </w:r>
          </w:p>
        </w:tc>
        <w:tc>
          <w:tcPr>
            <w:tcW w:type="dxa" w:w="1872"/>
          </w:tcPr>
          <w:p>
            <w:r>
              <w:rPr>
                <w:sz w:val="20"/>
              </w:rPr>
            </w:r>
            <w:r>
              <w:rPr>
                <w:rFonts w:ascii="Cambria Math" w:hAnsi="Cambria Math"/>
                <w:i/>
                <w:sz w:val="20"/>
              </w:rPr>
              <w:t>\tau_{\text{bio}} / \tau_{\text{mech}}</w:t>
            </w:r>
          </w:p>
        </w:tc>
        <w:tc>
          <w:tcPr>
            <w:tcW w:type="dxa" w:w="1872"/>
          </w:tcPr>
          <w:p>
            <w:r>
              <w:rPr>
                <w:sz w:val="20"/>
              </w:rPr>
            </w:r>
            <w:r>
              <w:rPr>
                <w:rFonts w:ascii="Cambria Math" w:hAnsi="Cambria Math"/>
                <w:i/>
                <w:sz w:val="20"/>
              </w:rPr>
              <w:t>\tau_{\text{bridge}} / \tau_{\text{damp}}</w:t>
            </w:r>
          </w:p>
        </w:tc>
        <w:tc>
          <w:tcPr>
            <w:tcW w:type="dxa" w:w="1872"/>
          </w:tcPr>
          <w:p>
            <w:r>
              <w:rPr>
                <w:sz w:val="20"/>
              </w:rPr>
            </w:r>
            <w:r>
              <w:rPr>
                <w:sz w:val="20"/>
              </w:rPr>
              <w:t>Biological vs. mechanical relaxation time</w:t>
            </w:r>
          </w:p>
        </w:tc>
        <w:tc>
          <w:tcPr>
            <w:tcW w:type="dxa" w:w="1872"/>
          </w:tcPr>
          <w:p>
            <w:r>
              <w:rPr>
                <w:sz w:val="20"/>
              </w:rPr>
            </w:r>
            <w:r>
              <w:rPr>
                <w:sz w:val="20"/>
              </w:rPr>
              <w:t>100 -- 1000</w:t>
            </w:r>
          </w:p>
        </w:tc>
      </w:tr>
      <w:tr>
        <w:tc>
          <w:tcPr>
            <w:tcW w:type="dxa" w:w="1872"/>
          </w:tcPr>
          <w:p>
            <w:r>
              <w:rPr>
                <w:sz w:val="20"/>
              </w:rPr>
            </w:r>
            <w:r>
              <w:rPr>
                <w:sz w:val="20"/>
              </w:rPr>
              <w:t>Clutch engagement</w:t>
            </w:r>
          </w:p>
        </w:tc>
        <w:tc>
          <w:tcPr>
            <w:tcW w:type="dxa" w:w="1872"/>
          </w:tcPr>
          <w:p>
            <w:r>
              <w:rPr>
                <w:sz w:val="20"/>
              </w:rPr>
            </w:r>
            <w:r>
              <w:rPr>
                <w:rFonts w:ascii="Cambria Math" w:hAnsi="Cambria Math"/>
                <w:i/>
                <w:sz w:val="20"/>
              </w:rPr>
              <w:t>\xi</w:t>
            </w:r>
          </w:p>
        </w:tc>
        <w:tc>
          <w:tcPr>
            <w:tcW w:type="dxa" w:w="1872"/>
          </w:tcPr>
          <w:p>
            <w:r>
              <w:rPr>
                <w:sz w:val="20"/>
              </w:rPr>
            </w:r>
            <w:r>
              <w:rPr>
                <w:rFonts w:ascii="Cambria Math" w:hAnsi="Cambria Math"/>
                <w:i/>
                <w:sz w:val="20"/>
              </w:rPr>
              <w:t>k_{\text{on}} / (k_{\text{on}} + k_{\text{off}})</w:t>
            </w:r>
          </w:p>
        </w:tc>
        <w:tc>
          <w:tcPr>
            <w:tcW w:type="dxa" w:w="1872"/>
          </w:tcPr>
          <w:p>
            <w:r>
              <w:rPr>
                <w:sz w:val="20"/>
              </w:rPr>
            </w:r>
            <w:r>
              <w:rPr>
                <w:sz w:val="20"/>
              </w:rPr>
              <w:t>Steady-state fraction of bound clutches</w:t>
            </w:r>
          </w:p>
        </w:tc>
        <w:tc>
          <w:tcPr>
            <w:tcW w:type="dxa" w:w="1872"/>
          </w:tcPr>
          <w:p>
            <w:r>
              <w:rPr>
                <w:sz w:val="20"/>
              </w:rPr>
            </w:r>
            <w:r>
              <w:rPr>
                <w:sz w:val="20"/>
              </w:rPr>
              <w:t>0.5 -- 0.95</w:t>
            </w:r>
          </w:p>
        </w:tc>
      </w:tr>
    </w:tbl>
    <w:p/>
    <w:p>
      <w:r>
        <w:rPr>
          <w:b/>
        </w:rPr>
        <w:t>Motor-clutch engagement $\beta$.</w:t>
      </w:r>
      <w:r>
        <w:t xml:space="preserve"> This is the master variable of the model. It captures the nonlinear coupling between substrate stiffness and cell force output. For soft gels (</w:t>
      </w:r>
      <w:r>
        <w:rPr>
          <w:rFonts w:ascii="Cambria Math" w:hAnsi="Cambria Math"/>
          <w:i/>
        </w:rPr>
        <w:t>E \sim 1</w:t>
      </w:r>
      <w:r>
        <w:t xml:space="preserve"> kPa), </w:t>
      </w:r>
      <w:r>
        <w:rPr>
          <w:rFonts w:ascii="Cambria Math" w:hAnsi="Cambria Math"/>
          <w:i/>
        </w:rPr>
        <w:t>\beta \ll 1</w:t>
      </w:r>
      <w:r>
        <w:t xml:space="preserve"> and cells generate negligible traction. For stiff gels (</w:t>
      </w:r>
      <w:r>
        <w:rPr>
          <w:rFonts w:ascii="Cambria Math" w:hAnsi="Cambria Math"/>
          <w:i/>
        </w:rPr>
        <w:t>E \sim 50</w:t>
      </w:r>
      <w:r>
        <w:t xml:space="preserve"> kPa), </w:t>
      </w:r>
      <w:r>
        <w:rPr>
          <w:rFonts w:ascii="Cambria Math" w:hAnsi="Cambria Math"/>
          <w:i/>
        </w:rPr>
        <w:t>\beta \to 1</w:t>
      </w:r>
      <w:r>
        <w:t xml:space="preserve"> and cells approach their stall force. Substituting the default parameters (</w:t>
      </w:r>
      <w:r>
        <w:rPr>
          <w:rFonts w:ascii="Cambria Math" w:hAnsi="Cambria Math"/>
          <w:i/>
        </w:rPr>
        <w:t>n_c = 75</w:t>
      </w:r>
      <w:r>
        <w:t xml:space="preserve">, </w:t>
      </w:r>
      <w:r>
        <w:rPr>
          <w:rFonts w:ascii="Cambria Math" w:hAnsi="Cambria Math"/>
          <w:i/>
        </w:rPr>
        <w:t>k_c = 5.0</w:t>
      </w:r>
      <w:r>
        <w:t xml:space="preserve"> nN/</w:t>
      </w:r>
      <w:r>
        <w:rPr>
          <w:rFonts w:ascii="Cambria Math" w:hAnsi="Cambria Math"/>
          <w:i/>
        </w:rPr>
        <w:t>\mu</w:t>
      </w:r>
      <w:r>
        <w:t xml:space="preserve">m, </w:t>
      </w:r>
      <w:r>
        <w:rPr>
          <w:rFonts w:ascii="Cambria Math" w:hAnsi="Cambria Math"/>
          <w:i/>
        </w:rPr>
        <w:t>a = 10\;\mu</w:t>
      </w:r>
      <w:r>
        <w:t>m):</w:t>
      </w:r>
    </w:p>
    <w:p>
      <w:pPr>
        <w:spacing w:before="120" w:after="120"/>
        <w:jc w:val="center"/>
      </w:pPr>
      <w:r>
        <w:rPr>
          <w:rFonts w:ascii="Cambria Math" w:hAnsi="Cambria Math"/>
          <w:i/>
          <w:sz w:val="22"/>
        </w:rPr>
        <w:t>k_{\text{opt}} = 75 \times 5.0 = 375 \; \text{nN}/\mu\text{m}</w:t>
      </w:r>
    </w:p>
    <w:p>
      <w:pPr>
        <w:spacing w:before="120" w:after="120"/>
        <w:jc w:val="center"/>
      </w:pPr>
      <w:r>
        <w:rPr>
          <w:rFonts w:ascii="Cambria Math" w:hAnsi="Cambria Math"/>
          <w:i/>
          <w:sz w:val="22"/>
        </w:rPr>
        <w:t>k_{\text{sub}} = \pi \times E \times 10 / (1 - 0.45^2) \approx 40.0 \, E \; \text{nN}/\mu\text{m} \quad (E \text{ in kPa})</w:t>
      </w:r>
    </w:p>
    <w:p>
      <w:r>
        <w:t xml:space="preserve">So </w:t>
      </w:r>
      <w:r>
        <w:rPr>
          <w:rFonts w:ascii="Cambria Math" w:hAnsi="Cambria Math"/>
          <w:i/>
        </w:rPr>
        <w:t>\beta = 40E / (40E + 375)</w:t>
      </w:r>
      <w:r>
        <w:t xml:space="preserve">, giving </w:t>
      </w:r>
      <w:r>
        <w:rPr>
          <w:rFonts w:ascii="Cambria Math" w:hAnsi="Cambria Math"/>
          <w:i/>
        </w:rPr>
        <w:t>\beta = 0.10</w:t>
      </w:r>
      <w:r>
        <w:t xml:space="preserve"> at </w:t>
      </w:r>
      <w:r>
        <w:rPr>
          <w:rFonts w:ascii="Cambria Math" w:hAnsi="Cambria Math"/>
          <w:i/>
        </w:rPr>
        <w:t>E = 1</w:t>
      </w:r>
      <w:r>
        <w:t xml:space="preserve"> kPa and </w:t>
      </w:r>
      <w:r>
        <w:rPr>
          <w:rFonts w:ascii="Cambria Math" w:hAnsi="Cambria Math"/>
          <w:i/>
        </w:rPr>
        <w:t>\beta = 0.84</w:t>
      </w:r>
      <w:r>
        <w:t xml:space="preserve"> at </w:t>
      </w:r>
      <w:r>
        <w:rPr>
          <w:rFonts w:ascii="Cambria Math" w:hAnsi="Cambria Math"/>
          <w:i/>
        </w:rPr>
        <w:t>E = 50</w:t>
      </w:r>
      <w:r>
        <w:t xml:space="preserve"> kPa.</w:t>
      </w:r>
    </w:p>
    <w:p>
      <w:r>
        <w:rPr>
          <w:b/>
        </w:rPr>
        <w:t>Compaction number Ca.</w:t>
      </w:r>
      <w:r>
        <w:t xml:space="preserve"> This ratio determines whether cell forces are sufficient to deform the granular packing. When </w:t>
      </w:r>
      <w:r>
        <w:rPr>
          <w:rFonts w:ascii="Cambria Math" w:hAnsi="Cambria Math"/>
          <w:i/>
        </w:rPr>
        <w:t>\text{Ca} \ll 1</w:t>
      </w:r>
      <w:r>
        <w:t xml:space="preserve">, the scaffold is essentially rigid on the cell force scale. Significant compaction requires </w:t>
      </w:r>
      <w:r>
        <w:rPr>
          <w:rFonts w:ascii="Cambria Math" w:hAnsi="Cambria Math"/>
          <w:i/>
        </w:rPr>
        <w:t>\text{Ca} \gtrsim \text{Ca}_c</w:t>
      </w:r>
      <w:r>
        <w:t xml:space="preserve"> where </w:t>
      </w:r>
      <w:r>
        <w:rPr>
          <w:rFonts w:ascii="Cambria Math" w:hAnsi="Cambria Math"/>
          <w:i/>
        </w:rPr>
        <w:t>\text{Ca}_c</w:t>
      </w:r>
      <w:r>
        <w:t xml:space="preserve"> is set by the jamming resistance.</w:t>
      </w:r>
    </w:p>
    <w:p>
      <w:r>
        <w:rPr>
          <w:b/>
        </w:rPr>
        <w:t>Timescale ratio.</w:t>
      </w:r>
      <w:r>
        <w:t xml:space="preserve"> The mechanical relaxation time </w:t>
      </w:r>
      <w:r>
        <w:rPr>
          <w:rFonts w:ascii="Cambria Math" w:hAnsi="Cambria Math"/>
          <w:i/>
        </w:rPr>
        <w:t>\tau_{\text{damp}} = \gamma / E^* \sim 10^{-2}</w:t>
      </w:r>
      <w:r>
        <w:t xml:space="preserve"> h is much shorter than the biological timescales of bridge formation (</w:t>
      </w:r>
      <w:r>
        <w:rPr>
          <w:rFonts w:ascii="Cambria Math" w:hAnsi="Cambria Math"/>
          <w:i/>
        </w:rPr>
        <w:t>\tau_f \sim 2</w:t>
      </w:r>
      <w:r>
        <w:t xml:space="preserve"> h) and senescence (</w:t>
      </w:r>
      <w:r>
        <w:rPr>
          <w:rFonts w:ascii="Cambria Math" w:hAnsi="Cambria Math"/>
          <w:i/>
        </w:rPr>
        <w:t>\tau_{\text{sen}} \sim 24</w:t>
      </w:r>
      <w:r>
        <w:t xml:space="preserve"> h). This separation of scales justifies the quasistatic (overdamped) approximation.</w:t>
      </w:r>
    </w:p>
    <w:p>
      <w:pPr>
        <w:pStyle w:val="Heading3"/>
      </w:pPr>
      <w:r>
        <w:t>6.2 Scaling Laws</w:t>
      </w:r>
    </w:p>
    <w:p>
      <w:r>
        <w:t xml:space="preserve">The engagement ratio </w:t>
      </w:r>
      <w:r>
        <w:rPr>
          <w:rFonts w:ascii="Cambria Math" w:hAnsi="Cambria Math"/>
          <w:i/>
        </w:rPr>
        <w:t>\beta</w:t>
      </w:r>
      <w:r>
        <w:t xml:space="preserve"> controls the key scaling relationships:</w:t>
      </w:r>
    </w:p>
    <w:p>
      <w:pPr>
        <w:pStyle w:val="ListBullet"/>
      </w:pPr>
      <w:r>
        <w:rPr>
          <w:b/>
        </w:rPr>
        <w:t>Traction force:</w:t>
      </w:r>
      <w:r>
        <w:t xml:space="preserve"> </w:t>
      </w:r>
      <w:r>
        <w:rPr>
          <w:rFonts w:ascii="Cambria Math" w:hAnsi="Cambria Math"/>
          <w:i/>
        </w:rPr>
        <w:t>F_{\text{cell}} \propto \beta</w:t>
      </w:r>
      <w:r>
        <w:t>, since the stall force, clutch</w:t>
      </w:r>
    </w:p>
    <w:p>
      <w:r>
        <w:t>engagement, and FA maturity are bounded.</w:t>
      </w:r>
    </w:p>
    <w:p>
      <w:pPr>
        <w:pStyle w:val="ListBullet"/>
      </w:pPr>
      <w:r>
        <w:rPr>
          <w:b/>
        </w:rPr>
        <w:t>Compaction efficiency:</w:t>
      </w:r>
      <w:r>
        <w:t xml:space="preserve"> The fraction of initial void space eliminated by</w:t>
      </w:r>
    </w:p>
    <w:p>
      <w:r>
        <w:t xml:space="preserve">cell-driven compaction scales with </w:t>
      </w:r>
      <w:r>
        <w:rPr>
          <w:rFonts w:ascii="Cambria Math" w:hAnsi="Cambria Math"/>
          <w:i/>
        </w:rPr>
        <w:t>\beta</w:t>
      </w:r>
      <w:r>
        <w:t>: stronger engagement drives more compaction before equilibrium is reached.</w:t>
      </w:r>
    </w:p>
    <w:p>
      <w:pPr>
        <w:pStyle w:val="ListBullet"/>
      </w:pPr>
      <w:r>
        <w:rPr>
          <w:b/>
        </w:rPr>
        <w:t>Spreading rate:</w:t>
      </w:r>
      <w:r>
        <w:t xml:space="preserve"> </w:t>
      </w:r>
      <w:r>
        <w:rPr>
          <w:rFonts w:ascii="Cambria Math" w:hAnsi="Cambria Math"/>
          <w:i/>
        </w:rPr>
        <w:t>\tau_{\text{spread}}^{\text{eff}} = \tau_{\text{spread}} / \beta</w:t>
      </w:r>
    </w:p>
    <w:p>
      <w:r>
        <w:t xml:space="preserve">(for </w:t>
      </w:r>
      <w:r>
        <w:rPr>
          <w:rFonts w:ascii="Cambria Math" w:hAnsi="Cambria Math"/>
          <w:i/>
        </w:rPr>
        <w:t>\beta &gt; 0.2</w:t>
      </w:r>
      <w:r>
        <w:t>), so stiffer substrates yield faster spreading and earlier onset of traction.</w:t>
      </w:r>
    </w:p>
    <w:p>
      <w:pPr>
        <w:pStyle w:val="ListBullet"/>
      </w:pPr>
      <w:r>
        <w:rPr>
          <w:b/>
        </w:rPr>
        <w:t>Permeability evolution:</w:t>
      </w:r>
      <w:r>
        <w:t xml:space="preserve"> As compaction increases </w:t>
      </w:r>
      <w:r>
        <w:rPr>
          <w:rFonts w:ascii="Cambria Math" w:hAnsi="Cambria Math"/>
          <w:i/>
        </w:rPr>
        <w:t>\phi_{\text{solid}}</w:t>
      </w:r>
      <w:r>
        <w:t>, permeability</w:t>
      </w:r>
    </w:p>
    <w:p>
      <w:r>
        <w:t>decreases via the Kozeny-Carman relation. The feedback loop is:</w:t>
      </w:r>
    </w:p>
    <w:p>
      <w:pPr>
        <w:spacing w:before="120" w:after="120"/>
        <w:jc w:val="center"/>
      </w:pPr>
      <w:r>
        <w:rPr>
          <w:rFonts w:ascii="Cambria Math" w:hAnsi="Cambria Math"/>
          <w:i/>
          <w:sz w:val="22"/>
        </w:rPr>
        <w:t>\beta \uparrow \;\to\; \sigma_{\text{cell}} \uparrow \;\to\; \phi_{\text{solid}} \uparrow \;\to\; k \downarrow</w:t>
      </w:r>
    </w:p>
    <w:p>
      <w:pPr>
        <w:pStyle w:val="Heading3"/>
      </w:pPr>
      <w:r>
        <w:t>6.3 Dimensionless Compaction ODE</w:t>
      </w:r>
    </w:p>
    <w:p>
      <w:r>
        <w:t xml:space="preserve">Let </w:t>
      </w:r>
      <w:r>
        <w:rPr>
          <w:rFonts w:ascii="Cambria Math" w:hAnsi="Cambria Math"/>
          <w:i/>
        </w:rPr>
        <w:t>\Phi = \phi_f / \phi_{f,0}</w:t>
      </w:r>
      <w:r>
        <w:t xml:space="preserve"> (normalized functional fraction) and </w:t>
      </w:r>
      <w:r>
        <w:rPr>
          <w:rFonts w:ascii="Cambria Math" w:hAnsi="Cambria Math"/>
          <w:i/>
        </w:rPr>
        <w:t>T = t / \tau_{\text{bridge}}</w:t>
      </w:r>
      <w:r>
        <w:t xml:space="preserve"> (normalized time). The mean-field ODE becomes:</w:t>
      </w:r>
    </w:p>
    <w:p>
      <w:pPr>
        <w:spacing w:before="120" w:after="120"/>
        <w:jc w:val="center"/>
      </w:pPr>
      <w:r>
        <w:rPr>
          <w:rFonts w:ascii="Cambria Math" w:hAnsi="Cambria Math"/>
          <w:i/>
          <w:sz w:val="22"/>
        </w:rPr>
        <w:t>\frac{d\Phi}{dT} = -\Phi \left[B(T) - R(\Phi)\right]</w:t>
      </w:r>
    </w:p>
    <w:p>
      <w:r>
        <w:t>where:</w:t>
      </w:r>
    </w:p>
    <w:p>
      <w:pPr>
        <w:pStyle w:val="ListBullet"/>
      </w:pPr>
      <w:r>
        <w:rPr>
          <w:rFonts w:ascii="Cambria Math" w:hAnsi="Cambria Math"/>
          <w:i/>
        </w:rPr>
        <w:t>B(T) = \sigma_{\text{cell}}(T) / \eta_{\text{eff}}</w:t>
      </w:r>
      <w:r>
        <w:t xml:space="preserve"> is the dimensionless driving</w:t>
      </w:r>
    </w:p>
    <w:p>
      <w:r>
        <w:t>term, which ramps from zero as bridges form and saturates when all eligible cells are bridging.</w:t>
      </w:r>
    </w:p>
    <w:p>
      <w:pPr>
        <w:pStyle w:val="ListBullet"/>
      </w:pPr>
      <w:r>
        <w:rPr>
          <w:rFonts w:ascii="Cambria Math" w:hAnsi="Cambria Math"/>
          <w:i/>
        </w:rPr>
        <w:t>R(\Phi) = \sigma_{\text{resist}}(\Phi) / \eta_{\text{eff}}</w:t>
      </w:r>
      <w:r>
        <w:t xml:space="preserve"> is the dimensionless</w:t>
      </w:r>
    </w:p>
    <w:p>
      <w:r>
        <w:t xml:space="preserve">resistance, which is zero for </w:t>
      </w:r>
      <w:r>
        <w:rPr>
          <w:rFonts w:ascii="Cambria Math" w:hAnsi="Cambria Math"/>
          <w:i/>
        </w:rPr>
        <w:t>\Phi &lt; \Phi_J / \phi_{f,0}</w:t>
      </w:r>
      <w:r>
        <w:t xml:space="preserve"> and diverges as </w:t>
      </w:r>
      <w:r>
        <w:rPr>
          <w:rFonts w:ascii="Cambria Math" w:hAnsi="Cambria Math"/>
          <w:i/>
        </w:rPr>
        <w:t>\Phi \to \Phi_J / \phi_{f,0}</w:t>
      </w:r>
      <w:r>
        <w:t xml:space="preserve"> from below.</w:t>
      </w:r>
    </w:p>
    <w:p>
      <w:r>
        <w:t xml:space="preserve">Equilibrium is reached when </w:t>
      </w:r>
      <w:r>
        <w:rPr>
          <w:rFonts w:ascii="Cambria Math" w:hAnsi="Cambria Math"/>
          <w:i/>
        </w:rPr>
        <w:t>B(T^*) = R(\Phi^*)</w:t>
      </w:r>
      <w:r>
        <w:t xml:space="preserve">. The final compaction </w:t>
      </w:r>
      <w:r>
        <w:rPr>
          <w:rFonts w:ascii="Cambria Math" w:hAnsi="Cambria Math"/>
          <w:i/>
        </w:rPr>
        <w:t>\Phi^* = \phi_f^{\text{eq}} / \phi_{f,0}</w:t>
      </w:r>
      <w:r>
        <w:t xml:space="preserve"> depends on </w:t>
      </w:r>
      <w:r>
        <w:rPr>
          <w:rFonts w:ascii="Cambria Math" w:hAnsi="Cambria Math"/>
          <w:i/>
        </w:rPr>
        <w:t>\beta</w:t>
      </w:r>
      <w:r>
        <w:t>, cell density, and granule stiffness through the dimensionless groups defined above.</w:t>
      </w:r>
    </w:p>
    <w:p>
      <w:pPr>
        <w:pStyle w:val="Heading2"/>
      </w:pPr>
      <w:r>
        <w:t>7. Tissue Architecture Characterization</w:t>
      </w:r>
    </w:p>
    <w:p>
      <w:r>
        <w:t>The goal of scaffold design is to produce a microstructure that recapitulates the architecture of a target organ. We define a descriptor vector and an architectural distance metric for quantitative comparison.</w:t>
      </w:r>
    </w:p>
    <w:p>
      <w:pPr>
        <w:pStyle w:val="Heading3"/>
      </w:pPr>
      <w:r>
        <w:t>7.1 Descriptor Vector</w:t>
      </w:r>
    </w:p>
    <w:p>
      <w:r>
        <w:t xml:space="preserve">The tissue architecture is characterized by a vector </w:t>
      </w:r>
      <w:r>
        <w:rPr>
          <w:rFonts w:ascii="Cambria Math" w:hAnsi="Cambria Math"/>
          <w:i/>
        </w:rPr>
        <w:t>\mathbf{d} \in \mathbb{R}^{n_d}</w:t>
      </w:r>
      <w:r>
        <w:t xml:space="preserve"> whose components fall into six categories:</w:t>
      </w:r>
    </w:p>
    <w:p>
      <w:r>
        <w:rPr>
          <w:b/>
        </w:rPr>
        <w:t>Volume fractions.</w:t>
      </w:r>
    </w:p>
    <w:p>
      <w:pPr>
        <w:pStyle w:val="ListBullet"/>
      </w:pPr>
      <w:r>
        <w:rPr>
          <w:rFonts w:ascii="Cambria Math" w:hAnsi="Cambria Math"/>
          <w:i/>
        </w:rPr>
        <w:t>\text{BV/TV}</w:t>
      </w:r>
      <w:r>
        <w:t xml:space="preserve">: bone (or solid) volume / total volume = </w:t>
      </w:r>
      <w:r>
        <w:rPr>
          <w:rFonts w:ascii="Cambria Math" w:hAnsi="Cambria Math"/>
          <w:i/>
        </w:rPr>
        <w:t>\phi_f + \phi_i</w:t>
      </w:r>
    </w:p>
    <w:p>
      <w:pPr>
        <w:pStyle w:val="ListBullet"/>
      </w:pPr>
      <w:r>
        <w:t xml:space="preserve">Porosity: </w:t>
      </w:r>
      <w:r>
        <w:rPr>
          <w:rFonts w:ascii="Cambria Math" w:hAnsi="Cambria Math"/>
          <w:i/>
        </w:rPr>
        <w:t>\phi_v = 1 - \text{BV/TV}</w:t>
      </w:r>
    </w:p>
    <w:p>
      <w:r>
        <w:rPr>
          <w:b/>
        </w:rPr>
        <w:t>Morphometry (Hildebrand and Ruegsegger, 1997).</w:t>
      </w:r>
    </w:p>
    <w:p>
      <w:pPr>
        <w:pStyle w:val="ListBullet"/>
      </w:pPr>
      <w:r>
        <w:rPr>
          <w:rFonts w:ascii="Cambria Math" w:hAnsi="Cambria Math"/>
          <w:i/>
        </w:rPr>
        <w:t>\text{Tb.Th}</w:t>
      </w:r>
      <w:r>
        <w:t>: trabecular (strand) thickness --- mean thickness of the solid phase</w:t>
      </w:r>
    </w:p>
    <w:p>
      <w:pPr>
        <w:pStyle w:val="ListBullet"/>
      </w:pPr>
      <w:r>
        <w:rPr>
          <w:rFonts w:ascii="Cambria Math" w:hAnsi="Cambria Math"/>
          <w:i/>
        </w:rPr>
        <w:t>\text{Tb.Sp}</w:t>
      </w:r>
      <w:r>
        <w:t>: trabecular separation --- mean pore diameter</w:t>
      </w:r>
    </w:p>
    <w:p>
      <w:pPr>
        <w:pStyle w:val="ListBullet"/>
      </w:pPr>
      <w:r>
        <w:rPr>
          <w:rFonts w:ascii="Cambria Math" w:hAnsi="Cambria Math"/>
          <w:i/>
        </w:rPr>
        <w:t>\text{Tb.N}</w:t>
      </w:r>
      <w:r>
        <w:t xml:space="preserve">: trabecular number = </w:t>
      </w:r>
      <w:r>
        <w:rPr>
          <w:rFonts w:ascii="Cambria Math" w:hAnsi="Cambria Math"/>
          <w:i/>
        </w:rPr>
        <w:t>\text{BV/TV} / \text{Tb.Th}</w:t>
      </w:r>
    </w:p>
    <w:p>
      <w:pPr>
        <w:pStyle w:val="ListBullet"/>
      </w:pPr>
      <w:r>
        <w:rPr>
          <w:rFonts w:ascii="Cambria Math" w:hAnsi="Cambria Math"/>
          <w:i/>
        </w:rPr>
        <w:t>\text{SMI}</w:t>
      </w:r>
      <w:r>
        <w:t>: structure model index (0 = plates, 3 = rods, 4 = spheres)</w:t>
      </w:r>
    </w:p>
    <w:p>
      <w:r>
        <w:rPr>
          <w:b/>
        </w:rPr>
        <w:t>Topology.</w:t>
      </w:r>
    </w:p>
    <w:p>
      <w:pPr>
        <w:pStyle w:val="ListBullet"/>
      </w:pPr>
      <w:r>
        <w:rPr>
          <w:rFonts w:ascii="Cambria Math" w:hAnsi="Cambria Math"/>
          <w:i/>
        </w:rPr>
        <w:t>\chi</w:t>
      </w:r>
      <w:r>
        <w:t>: Euler characteristic of the solid phase (genus proxy)</w:t>
      </w:r>
    </w:p>
    <w:p>
      <w:pPr>
        <w:pStyle w:val="ListBullet"/>
      </w:pPr>
      <w:r>
        <w:t xml:space="preserve">Connectivity density: </w:t>
      </w:r>
      <w:r>
        <w:rPr>
          <w:rFonts w:ascii="Cambria Math" w:hAnsi="Cambria Math"/>
          <w:i/>
        </w:rPr>
        <w:t>\text{Conn.D} = (1 - \chi) / V</w:t>
      </w:r>
      <w:r>
        <w:t xml:space="preserve"> (number of connections per</w:t>
      </w:r>
    </w:p>
    <w:p>
      <w:r>
        <w:t>unit volume)</w:t>
      </w:r>
    </w:p>
    <w:p>
      <w:r>
        <w:rPr>
          <w:b/>
        </w:rPr>
        <w:t>Spatial statistics.</w:t>
      </w:r>
    </w:p>
    <w:p>
      <w:pPr>
        <w:pStyle w:val="ListBullet"/>
      </w:pPr>
      <w:r>
        <w:rPr>
          <w:rFonts w:ascii="Cambria Math" w:hAnsi="Cambria Math"/>
          <w:i/>
        </w:rPr>
        <w:t>S_2(r)</w:t>
      </w:r>
      <w:r>
        <w:t>: two-point correlation function of the solid phase</w:t>
      </w:r>
    </w:p>
    <w:p>
      <w:pPr>
        <w:pStyle w:val="ListBullet"/>
      </w:pPr>
      <w:r>
        <w:rPr>
          <w:rFonts w:ascii="Cambria Math" w:hAnsi="Cambria Math"/>
          <w:i/>
        </w:rPr>
        <w:t>\xi</w:t>
      </w:r>
      <w:r>
        <w:t xml:space="preserve">: correlation length (exponential decay constant of </w:t>
      </w:r>
      <w:r>
        <w:rPr>
          <w:rFonts w:ascii="Cambria Math" w:hAnsi="Cambria Math"/>
          <w:i/>
        </w:rPr>
        <w:t>S_2</w:t>
      </w:r>
      <w:r>
        <w:t>)</w:t>
      </w:r>
    </w:p>
    <w:p>
      <w:pPr>
        <w:pStyle w:val="ListBullet"/>
      </w:pPr>
      <w:r>
        <w:t>Chord length distribution: probability density of intercept lengths through solid</w:t>
      </w:r>
    </w:p>
    <w:p>
      <w:r>
        <w:t>and void phases</w:t>
      </w:r>
    </w:p>
    <w:p>
      <w:r>
        <w:rPr>
          <w:b/>
        </w:rPr>
        <w:t>Anisotropy (Harrigan and Mann, 1984).</w:t>
      </w:r>
    </w:p>
    <w:p>
      <w:pPr>
        <w:pStyle w:val="ListBullet"/>
      </w:pPr>
      <w:r>
        <w:t>MIL tensor: mean intercept length tensor</w:t>
      </w:r>
    </w:p>
    <w:p>
      <w:pPr>
        <w:pStyle w:val="ListBullet"/>
      </w:pPr>
      <w:r>
        <w:rPr>
          <w:rFonts w:ascii="Cambria Math" w:hAnsi="Cambria Math"/>
          <w:i/>
        </w:rPr>
        <w:t>\text{DA}</w:t>
      </w:r>
      <w:r>
        <w:t xml:space="preserve">: degree of anisotropy = </w:t>
      </w:r>
      <w:r>
        <w:rPr>
          <w:rFonts w:ascii="Cambria Math" w:hAnsi="Cambria Math"/>
          <w:i/>
        </w:rPr>
        <w:t>1 - \lambda_{\min} / \lambda_{\max}</w:t>
      </w:r>
    </w:p>
    <w:p>
      <w:pPr>
        <w:pStyle w:val="ListBullet"/>
      </w:pPr>
      <w:r>
        <w:rPr>
          <w:rFonts w:ascii="Cambria Math" w:hAnsi="Cambria Math"/>
          <w:i/>
        </w:rPr>
        <w:t>\text{FA}</w:t>
      </w:r>
      <w:r>
        <w:t>: fractional anisotropy (analogous to diffusion tensor FA)</w:t>
      </w:r>
    </w:p>
    <w:p>
      <w:r>
        <w:rPr>
          <w:b/>
        </w:rPr>
        <w:t>Transport.</w:t>
      </w:r>
    </w:p>
    <w:p>
      <w:pPr>
        <w:pStyle w:val="ListBullet"/>
      </w:pPr>
      <w:r>
        <w:rPr>
          <w:rFonts w:ascii="Cambria Math" w:hAnsi="Cambria Math"/>
          <w:i/>
        </w:rPr>
        <w:t>\tau</w:t>
      </w:r>
      <w:r>
        <w:t>: tortuosity (effective path length / straight-line distance)</w:t>
      </w:r>
    </w:p>
    <w:p>
      <w:pPr>
        <w:pStyle w:val="ListBullet"/>
      </w:pPr>
      <w:r>
        <w:rPr>
          <w:rFonts w:ascii="Cambria Math" w:hAnsi="Cambria Math"/>
          <w:i/>
        </w:rPr>
        <w:t>k</w:t>
      </w:r>
      <w:r>
        <w:t>: Kozeny-Carman permeability</w:t>
      </w:r>
    </w:p>
    <w:p>
      <w:pPr>
        <w:pStyle w:val="Heading3"/>
      </w:pPr>
      <w:r>
        <w:t>7.2 Architectural Distance</w:t>
      </w:r>
    </w:p>
    <w:p>
      <w:r>
        <w:t xml:space="preserve">Given a GELLS scaffold descriptor </w:t>
      </w:r>
      <w:r>
        <w:rPr>
          <w:rFonts w:ascii="Cambria Math" w:hAnsi="Cambria Math"/>
          <w:i/>
        </w:rPr>
        <w:t>\mathbf{d}^{\text{GELLS}}</w:t>
      </w:r>
      <w:r>
        <w:t xml:space="preserve"> and a target organ descriptor </w:t>
      </w:r>
      <w:r>
        <w:rPr>
          <w:rFonts w:ascii="Cambria Math" w:hAnsi="Cambria Math"/>
          <w:i/>
        </w:rPr>
        <w:t>\mathbf{d}^{\text{organ}}</w:t>
      </w:r>
      <w:r>
        <w:t xml:space="preserve"> with population standard deviation </w:t>
      </w:r>
      <w:r>
        <w:rPr>
          <w:rFonts w:ascii="Cambria Math" w:hAnsi="Cambria Math"/>
          <w:i/>
        </w:rPr>
        <w:t>\boldsymbol{\sigma}^{\text{organ}}</w:t>
      </w:r>
      <w:r>
        <w:t>, the architectural distance is:</w:t>
      </w:r>
    </w:p>
    <w:p>
      <w:pPr>
        <w:spacing w:before="120" w:after="120"/>
        <w:jc w:val="center"/>
      </w:pPr>
      <w:r>
        <w:rPr>
          <w:rFonts w:ascii="Cambria Math" w:hAnsi="Cambria Math"/>
          <w:i/>
          <w:sz w:val="22"/>
        </w:rPr>
        <w:t>D_{\text{arch}} = \sqrt{\sum_{k=1}^{n_d} w_k \left(\frac{d_k^{\text{GELLS}} - d_k^{\text{organ}}}{\sigma_k^{\text{organ}}}\right)^2}</w:t>
      </w:r>
    </w:p>
    <w:p>
      <w:r>
        <w:t xml:space="preserve">where </w:t>
      </w:r>
      <w:r>
        <w:rPr>
          <w:rFonts w:ascii="Cambria Math" w:hAnsi="Cambria Math"/>
          <w:i/>
        </w:rPr>
        <w:t>w_k</w:t>
      </w:r>
      <w:r>
        <w:t xml:space="preserve"> are importance weights. Log-transforms are applied to scale-dependent quantities (Tb.Th, Tb.Sp, </w:t>
      </w:r>
      <w:r>
        <w:rPr>
          <w:rFonts w:ascii="Cambria Math" w:hAnsi="Cambria Math"/>
          <w:i/>
        </w:rPr>
        <w:t>k</w:t>
      </w:r>
      <w:r>
        <w:t xml:space="preserve">, </w:t>
      </w:r>
      <w:r>
        <w:rPr>
          <w:rFonts w:ascii="Cambria Math" w:hAnsi="Cambria Math"/>
          <w:i/>
        </w:rPr>
        <w:t>\xi</w:t>
      </w:r>
      <w:r>
        <w:t>) before computing the distance, so that fractional deviations are penalized equally across scales:</w:t>
      </w:r>
    </w:p>
    <w:p>
      <w:pPr>
        <w:spacing w:before="120" w:after="120"/>
        <w:jc w:val="center"/>
      </w:pPr>
      <w:r>
        <w:rPr>
          <w:rFonts w:ascii="Cambria Math" w:hAnsi="Cambria Math"/>
          <w:i/>
          <w:sz w:val="22"/>
        </w:rPr>
        <w:t>d_k \to \log_{10}(d_k) \quad \text{for scale-dependent descriptors}</w:t>
      </w:r>
    </w:p>
    <w:p>
      <w:pPr>
        <w:pStyle w:val="Heading3"/>
      </w:pPr>
      <w:r>
        <w:t>7.3 Organ System Targets</w:t>
      </w:r>
    </w:p>
    <w:p>
      <w:r>
        <w:t>Representative architectural parameters for potential scaffold targets are summarized below. Values are drawn from quantitative histomorphometry and micro-CT studies.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r>
            <w:r>
              <w:rPr>
                <w:b/>
                <w:sz w:val="20"/>
              </w:rPr>
              <w:t>Organ</w:t>
            </w:r>
          </w:p>
        </w:tc>
        <w:tc>
          <w:tcPr>
            <w:tcW w:type="dxa" w:w="1337"/>
          </w:tcPr>
          <w:p>
            <w:r>
              <w:rPr>
                <w:b/>
                <w:sz w:val="20"/>
              </w:rPr>
            </w:r>
            <w:r>
              <w:rPr>
                <w:b/>
                <w:sz w:val="20"/>
              </w:rPr>
              <w:t>BV/TV</w:t>
            </w:r>
          </w:p>
        </w:tc>
        <w:tc>
          <w:tcPr>
            <w:tcW w:type="dxa" w:w="1337"/>
          </w:tcPr>
          <w:p>
            <w:r>
              <w:rPr>
                <w:b/>
                <w:sz w:val="20"/>
              </w:rPr>
            </w:r>
            <w:r>
              <w:rPr>
                <w:b/>
                <w:sz w:val="20"/>
              </w:rPr>
              <w:t>Tb.Th (</w:t>
            </w:r>
            <w:r>
              <w:rPr>
                <w:rFonts w:ascii="Cambria Math" w:hAnsi="Cambria Math"/>
                <w:b/>
                <w:i/>
                <w:sz w:val="20"/>
              </w:rPr>
              <w:t>\mu</w:t>
            </w:r>
            <w:r>
              <w:rPr>
                <w:b/>
                <w:sz w:val="20"/>
              </w:rPr>
              <w:t>m)</w:t>
            </w:r>
          </w:p>
        </w:tc>
        <w:tc>
          <w:tcPr>
            <w:tcW w:type="dxa" w:w="1337"/>
          </w:tcPr>
          <w:p>
            <w:r>
              <w:rPr>
                <w:b/>
                <w:sz w:val="20"/>
              </w:rPr>
            </w:r>
            <w:r>
              <w:rPr>
                <w:b/>
                <w:sz w:val="20"/>
              </w:rPr>
              <w:t>Tb.Sp (</w:t>
            </w:r>
            <w:r>
              <w:rPr>
                <w:rFonts w:ascii="Cambria Math" w:hAnsi="Cambria Math"/>
                <w:b/>
                <w:i/>
                <w:sz w:val="20"/>
              </w:rPr>
              <w:t>\mu</w:t>
            </w:r>
            <w:r>
              <w:rPr>
                <w:b/>
                <w:sz w:val="20"/>
              </w:rPr>
              <w:t>m)</w:t>
            </w:r>
          </w:p>
        </w:tc>
        <w:tc>
          <w:tcPr>
            <w:tcW w:type="dxa" w:w="1337"/>
          </w:tcPr>
          <w:p>
            <w:r>
              <w:rPr>
                <w:b/>
                <w:sz w:val="20"/>
              </w:rPr>
            </w:r>
            <w:r>
              <w:rPr>
                <w:b/>
                <w:sz w:val="20"/>
              </w:rPr>
              <w:t>Tb.N (mm</w:t>
            </w:r>
            <w:r>
              <w:rPr>
                <w:rFonts w:ascii="Cambria Math" w:hAnsi="Cambria Math"/>
                <w:b/>
                <w:i/>
                <w:sz w:val="20"/>
              </w:rPr>
              <w:t>^{-1}</w:t>
            </w:r>
            <w:r>
              <w:rPr>
                <w:b/>
                <w:sz w:val="20"/>
              </w:rPr>
              <w:t>)</w:t>
            </w:r>
          </w:p>
        </w:tc>
        <w:tc>
          <w:tcPr>
            <w:tcW w:type="dxa" w:w="1337"/>
          </w:tcPr>
          <w:p>
            <w:r>
              <w:rPr>
                <w:b/>
                <w:sz w:val="20"/>
              </w:rPr>
            </w:r>
            <w:r>
              <w:rPr>
                <w:b/>
                <w:sz w:val="20"/>
              </w:rPr>
              <w:t>DA</w:t>
            </w:r>
          </w:p>
        </w:tc>
        <w:tc>
          <w:tcPr>
            <w:tcW w:type="dxa" w:w="1337"/>
          </w:tcPr>
          <w:p>
            <w:r>
              <w:rPr>
                <w:b/>
                <w:sz w:val="20"/>
              </w:rPr>
            </w:r>
            <w:r>
              <w:rPr>
                <w:rFonts w:ascii="Cambria Math" w:hAnsi="Cambria Math"/>
                <w:b/>
                <w:i/>
                <w:sz w:val="20"/>
              </w:rPr>
              <w:t>k</w:t>
            </w:r>
            <w:r>
              <w:rPr>
                <w:b/>
                <w:sz w:val="20"/>
              </w:rPr>
              <w:t xml:space="preserve"> (</w:t>
            </w:r>
            <w:r>
              <w:rPr>
                <w:rFonts w:ascii="Cambria Math" w:hAnsi="Cambria Math"/>
                <w:b/>
                <w:i/>
                <w:sz w:val="20"/>
              </w:rPr>
              <w:t>\mu</w:t>
            </w:r>
            <w:r>
              <w:rPr>
                <w:b/>
                <w:sz w:val="20"/>
              </w:rPr>
              <w:t>m</w:t>
            </w:r>
            <w:r>
              <w:rPr>
                <w:rFonts w:ascii="Cambria Math" w:hAnsi="Cambria Math"/>
                <w:b/>
                <w:i/>
                <w:sz w:val="20"/>
              </w:rPr>
              <w:t>^2</w:t>
            </w:r>
            <w:r>
              <w:rPr>
                <w:b/>
                <w:sz w:val="20"/>
              </w:rPr>
              <w:t>)</w:t>
            </w:r>
          </w:p>
        </w:tc>
      </w:tr>
      <w:tr>
        <w:tc>
          <w:tcPr>
            <w:tcW w:type="dxa" w:w="1337"/>
          </w:tcPr>
          <w:p>
            <w:r>
              <w:rPr>
                <w:sz w:val="20"/>
              </w:rPr>
            </w:r>
            <w:r>
              <w:rPr>
                <w:sz w:val="20"/>
              </w:rPr>
              <w:t>Trabecular bone (vertebral)</w:t>
            </w:r>
          </w:p>
        </w:tc>
        <w:tc>
          <w:tcPr>
            <w:tcW w:type="dxa" w:w="1337"/>
          </w:tcPr>
          <w:p>
            <w:r>
              <w:rPr>
                <w:sz w:val="20"/>
              </w:rPr>
            </w:r>
            <w:r>
              <w:rPr>
                <w:sz w:val="20"/>
              </w:rPr>
              <w:t>0.12--0.25</w:t>
            </w:r>
          </w:p>
        </w:tc>
        <w:tc>
          <w:tcPr>
            <w:tcW w:type="dxa" w:w="1337"/>
          </w:tcPr>
          <w:p>
            <w:r>
              <w:rPr>
                <w:sz w:val="20"/>
              </w:rPr>
            </w:r>
            <w:r>
              <w:rPr>
                <w:sz w:val="20"/>
              </w:rPr>
              <w:t>100--200</w:t>
            </w:r>
          </w:p>
        </w:tc>
        <w:tc>
          <w:tcPr>
            <w:tcW w:type="dxa" w:w="1337"/>
          </w:tcPr>
          <w:p>
            <w:r>
              <w:rPr>
                <w:sz w:val="20"/>
              </w:rPr>
            </w:r>
            <w:r>
              <w:rPr>
                <w:sz w:val="20"/>
              </w:rPr>
              <w:t>500--1000</w:t>
            </w:r>
          </w:p>
        </w:tc>
        <w:tc>
          <w:tcPr>
            <w:tcW w:type="dxa" w:w="1337"/>
          </w:tcPr>
          <w:p>
            <w:r>
              <w:rPr>
                <w:sz w:val="20"/>
              </w:rPr>
            </w:r>
            <w:r>
              <w:rPr>
                <w:sz w:val="20"/>
              </w:rPr>
              <w:t>1.0--1.8</w:t>
            </w:r>
          </w:p>
        </w:tc>
        <w:tc>
          <w:tcPr>
            <w:tcW w:type="dxa" w:w="1337"/>
          </w:tcPr>
          <w:p>
            <w:r>
              <w:rPr>
                <w:sz w:val="20"/>
              </w:rPr>
            </w:r>
            <w:r>
              <w:rPr>
                <w:sz w:val="20"/>
              </w:rPr>
              <w:t>0.3--0.7</w:t>
            </w:r>
          </w:p>
        </w:tc>
        <w:tc>
          <w:tcPr>
            <w:tcW w:type="dxa" w:w="1337"/>
          </w:tcPr>
          <w:p>
            <w:r>
              <w:rPr>
                <w:sz w:val="20"/>
              </w:rPr>
            </w:r>
            <w:r>
              <w:rPr>
                <w:rFonts w:ascii="Cambria Math" w:hAnsi="Cambria Math"/>
                <w:i/>
                <w:sz w:val="20"/>
              </w:rPr>
              <w:t>10^1</w:t>
            </w:r>
            <w:r>
              <w:rPr>
                <w:sz w:val="20"/>
              </w:rPr>
              <w:t>--</w:t>
            </w:r>
            <w:r>
              <w:rPr>
                <w:rFonts w:ascii="Cambria Math" w:hAnsi="Cambria Math"/>
                <w:i/>
                <w:sz w:val="20"/>
              </w:rPr>
              <w:t>10^3</w:t>
            </w:r>
          </w:p>
        </w:tc>
      </w:tr>
      <w:tr>
        <w:tc>
          <w:tcPr>
            <w:tcW w:type="dxa" w:w="1337"/>
          </w:tcPr>
          <w:p>
            <w:r>
              <w:rPr>
                <w:sz w:val="20"/>
              </w:rPr>
            </w:r>
            <w:r>
              <w:rPr>
                <w:sz w:val="20"/>
              </w:rPr>
              <w:t>Lung alveoli</w:t>
            </w:r>
          </w:p>
        </w:tc>
        <w:tc>
          <w:tcPr>
            <w:tcW w:type="dxa" w:w="1337"/>
          </w:tcPr>
          <w:p>
            <w:r>
              <w:rPr>
                <w:sz w:val="20"/>
              </w:rPr>
            </w:r>
            <w:r>
              <w:rPr>
                <w:sz w:val="20"/>
              </w:rPr>
              <w:t>0.10--0.15</w:t>
            </w:r>
          </w:p>
        </w:tc>
        <w:tc>
          <w:tcPr>
            <w:tcW w:type="dxa" w:w="1337"/>
          </w:tcPr>
          <w:p>
            <w:r>
              <w:rPr>
                <w:sz w:val="20"/>
              </w:rPr>
            </w:r>
            <w:r>
              <w:rPr>
                <w:sz w:val="20"/>
              </w:rPr>
              <w:t>5--15</w:t>
            </w:r>
          </w:p>
        </w:tc>
        <w:tc>
          <w:tcPr>
            <w:tcW w:type="dxa" w:w="1337"/>
          </w:tcPr>
          <w:p>
            <w:r>
              <w:rPr>
                <w:sz w:val="20"/>
              </w:rPr>
            </w:r>
            <w:r>
              <w:rPr>
                <w:sz w:val="20"/>
              </w:rPr>
              <w:t>100--300</w:t>
            </w:r>
          </w:p>
        </w:tc>
        <w:tc>
          <w:tcPr>
            <w:tcW w:type="dxa" w:w="1337"/>
          </w:tcPr>
          <w:p>
            <w:r>
              <w:rPr>
                <w:sz w:val="20"/>
              </w:rPr>
            </w:r>
            <w:r>
              <w:rPr>
                <w:sz w:val="20"/>
              </w:rPr>
              <w:t>5--10</w:t>
            </w:r>
          </w:p>
        </w:tc>
        <w:tc>
          <w:tcPr>
            <w:tcW w:type="dxa" w:w="1337"/>
          </w:tcPr>
          <w:p>
            <w:r>
              <w:rPr>
                <w:sz w:val="20"/>
              </w:rPr>
            </w:r>
            <w:r>
              <w:rPr>
                <w:sz w:val="20"/>
              </w:rPr>
              <w:t>0.1--0.3</w:t>
            </w:r>
          </w:p>
        </w:tc>
        <w:tc>
          <w:tcPr>
            <w:tcW w:type="dxa" w:w="1337"/>
          </w:tcPr>
          <w:p>
            <w:r>
              <w:rPr>
                <w:sz w:val="20"/>
              </w:rPr>
            </w:r>
            <w:r>
              <w:rPr>
                <w:rFonts w:ascii="Cambria Math" w:hAnsi="Cambria Math"/>
                <w:i/>
                <w:sz w:val="20"/>
              </w:rPr>
              <w:t>10^3</w:t>
            </w:r>
            <w:r>
              <w:rPr>
                <w:sz w:val="20"/>
              </w:rPr>
              <w:t>--</w:t>
            </w:r>
            <w:r>
              <w:rPr>
                <w:rFonts w:ascii="Cambria Math" w:hAnsi="Cambria Math"/>
                <w:i/>
                <w:sz w:val="20"/>
              </w:rPr>
              <w:t>10^5</w:t>
            </w:r>
          </w:p>
        </w:tc>
      </w:tr>
      <w:tr>
        <w:tc>
          <w:tcPr>
            <w:tcW w:type="dxa" w:w="1337"/>
          </w:tcPr>
          <w:p>
            <w:r>
              <w:rPr>
                <w:sz w:val="20"/>
              </w:rPr>
            </w:r>
            <w:r>
              <w:rPr>
                <w:sz w:val="20"/>
              </w:rPr>
              <w:t>Liver (hepatic lobule)</w:t>
            </w:r>
          </w:p>
        </w:tc>
        <w:tc>
          <w:tcPr>
            <w:tcW w:type="dxa" w:w="1337"/>
          </w:tcPr>
          <w:p>
            <w:r>
              <w:rPr>
                <w:sz w:val="20"/>
              </w:rPr>
            </w:r>
            <w:r>
              <w:rPr>
                <w:sz w:val="20"/>
              </w:rPr>
              <w:t>0.80--0.90</w:t>
            </w:r>
          </w:p>
        </w:tc>
        <w:tc>
          <w:tcPr>
            <w:tcW w:type="dxa" w:w="1337"/>
          </w:tcPr>
          <w:p>
            <w:r>
              <w:rPr>
                <w:sz w:val="20"/>
              </w:rPr>
            </w:r>
            <w:r>
              <w:rPr>
                <w:sz w:val="20"/>
              </w:rPr>
              <w:t>200--500</w:t>
            </w:r>
          </w:p>
        </w:tc>
        <w:tc>
          <w:tcPr>
            <w:tcW w:type="dxa" w:w="1337"/>
          </w:tcPr>
          <w:p>
            <w:r>
              <w:rPr>
                <w:sz w:val="20"/>
              </w:rPr>
            </w:r>
            <w:r>
              <w:rPr>
                <w:sz w:val="20"/>
              </w:rPr>
              <w:t>10--30 (sinusoid)</w:t>
            </w:r>
          </w:p>
        </w:tc>
        <w:tc>
          <w:tcPr>
            <w:tcW w:type="dxa" w:w="1337"/>
          </w:tcPr>
          <w:p>
            <w:r>
              <w:rPr>
                <w:sz w:val="20"/>
              </w:rPr>
            </w:r>
            <w:r>
              <w:rPr>
                <w:sz w:val="20"/>
              </w:rPr>
              <w:t>2--4</w:t>
            </w:r>
          </w:p>
        </w:tc>
        <w:tc>
          <w:tcPr>
            <w:tcW w:type="dxa" w:w="1337"/>
          </w:tcPr>
          <w:p>
            <w:r>
              <w:rPr>
                <w:sz w:val="20"/>
              </w:rPr>
            </w:r>
            <w:r>
              <w:rPr>
                <w:sz w:val="20"/>
              </w:rPr>
              <w:t>0.1--0.2</w:t>
            </w:r>
          </w:p>
        </w:tc>
        <w:tc>
          <w:tcPr>
            <w:tcW w:type="dxa" w:w="1337"/>
          </w:tcPr>
          <w:p>
            <w:r>
              <w:rPr>
                <w:sz w:val="20"/>
              </w:rPr>
            </w:r>
            <w:r>
              <w:rPr>
                <w:rFonts w:ascii="Cambria Math" w:hAnsi="Cambria Math"/>
                <w:i/>
                <w:sz w:val="20"/>
              </w:rPr>
              <w:t>10^0</w:t>
            </w:r>
            <w:r>
              <w:rPr>
                <w:sz w:val="20"/>
              </w:rPr>
              <w:t>--</w:t>
            </w:r>
            <w:r>
              <w:rPr>
                <w:rFonts w:ascii="Cambria Math" w:hAnsi="Cambria Math"/>
                <w:i/>
                <w:sz w:val="20"/>
              </w:rPr>
              <w:t>10^1</w:t>
            </w:r>
          </w:p>
        </w:tc>
      </w:tr>
      <w:tr>
        <w:tc>
          <w:tcPr>
            <w:tcW w:type="dxa" w:w="1337"/>
          </w:tcPr>
          <w:p>
            <w:r>
              <w:rPr>
                <w:sz w:val="20"/>
              </w:rPr>
            </w:r>
            <w:r>
              <w:rPr>
                <w:sz w:val="20"/>
              </w:rPr>
              <w:t>Kidney cortex</w:t>
            </w:r>
          </w:p>
        </w:tc>
        <w:tc>
          <w:tcPr>
            <w:tcW w:type="dxa" w:w="1337"/>
          </w:tcPr>
          <w:p>
            <w:r>
              <w:rPr>
                <w:sz w:val="20"/>
              </w:rPr>
            </w:r>
            <w:r>
              <w:rPr>
                <w:sz w:val="20"/>
              </w:rPr>
              <w:t>0.70--0.85</w:t>
            </w:r>
          </w:p>
        </w:tc>
        <w:tc>
          <w:tcPr>
            <w:tcW w:type="dxa" w:w="1337"/>
          </w:tcPr>
          <w:p>
            <w:r>
              <w:rPr>
                <w:sz w:val="20"/>
              </w:rPr>
            </w:r>
            <w:r>
              <w:rPr>
                <w:sz w:val="20"/>
              </w:rPr>
              <w:t>50--150</w:t>
            </w:r>
          </w:p>
        </w:tc>
        <w:tc>
          <w:tcPr>
            <w:tcW w:type="dxa" w:w="1337"/>
          </w:tcPr>
          <w:p>
            <w:r>
              <w:rPr>
                <w:sz w:val="20"/>
              </w:rPr>
            </w:r>
            <w:r>
              <w:rPr>
                <w:sz w:val="20"/>
              </w:rPr>
              <w:t>20--60</w:t>
            </w:r>
          </w:p>
        </w:tc>
        <w:tc>
          <w:tcPr>
            <w:tcW w:type="dxa" w:w="1337"/>
          </w:tcPr>
          <w:p>
            <w:r>
              <w:rPr>
                <w:sz w:val="20"/>
              </w:rPr>
            </w:r>
            <w:r>
              <w:rPr>
                <w:sz w:val="20"/>
              </w:rPr>
              <w:t>3--6</w:t>
            </w:r>
          </w:p>
        </w:tc>
        <w:tc>
          <w:tcPr>
            <w:tcW w:type="dxa" w:w="1337"/>
          </w:tcPr>
          <w:p>
            <w:r>
              <w:rPr>
                <w:sz w:val="20"/>
              </w:rPr>
            </w:r>
            <w:r>
              <w:rPr>
                <w:sz w:val="20"/>
              </w:rPr>
              <w:t>0.2--0.4</w:t>
            </w:r>
          </w:p>
        </w:tc>
        <w:tc>
          <w:tcPr>
            <w:tcW w:type="dxa" w:w="1337"/>
          </w:tcPr>
          <w:p>
            <w:r>
              <w:rPr>
                <w:sz w:val="20"/>
              </w:rPr>
            </w:r>
            <w:r>
              <w:rPr>
                <w:rFonts w:ascii="Cambria Math" w:hAnsi="Cambria Math"/>
                <w:i/>
                <w:sz w:val="20"/>
              </w:rPr>
              <w:t>10^0</w:t>
            </w:r>
            <w:r>
              <w:rPr>
                <w:sz w:val="20"/>
              </w:rPr>
              <w:t>--</w:t>
            </w:r>
            <w:r>
              <w:rPr>
                <w:rFonts w:ascii="Cambria Math" w:hAnsi="Cambria Math"/>
                <w:i/>
                <w:sz w:val="20"/>
              </w:rPr>
              <w:t>10^2</w:t>
            </w:r>
          </w:p>
        </w:tc>
      </w:tr>
      <w:tr>
        <w:tc>
          <w:tcPr>
            <w:tcW w:type="dxa" w:w="1337"/>
          </w:tcPr>
          <w:p>
            <w:r>
              <w:rPr>
                <w:sz w:val="20"/>
              </w:rPr>
            </w:r>
            <w:r>
              <w:rPr>
                <w:sz w:val="20"/>
              </w:rPr>
              <w:t>Cardiac muscle</w:t>
            </w:r>
          </w:p>
        </w:tc>
        <w:tc>
          <w:tcPr>
            <w:tcW w:type="dxa" w:w="1337"/>
          </w:tcPr>
          <w:p>
            <w:r>
              <w:rPr>
                <w:sz w:val="20"/>
              </w:rPr>
            </w:r>
            <w:r>
              <w:rPr>
                <w:sz w:val="20"/>
              </w:rPr>
              <w:t>0.75--0.85</w:t>
            </w:r>
          </w:p>
        </w:tc>
        <w:tc>
          <w:tcPr>
            <w:tcW w:type="dxa" w:w="1337"/>
          </w:tcPr>
          <w:p>
            <w:r>
              <w:rPr>
                <w:sz w:val="20"/>
              </w:rPr>
            </w:r>
            <w:r>
              <w:rPr>
                <w:sz w:val="20"/>
              </w:rPr>
              <w:t>10--25</w:t>
            </w:r>
          </w:p>
        </w:tc>
        <w:tc>
          <w:tcPr>
            <w:tcW w:type="dxa" w:w="1337"/>
          </w:tcPr>
          <w:p>
            <w:r>
              <w:rPr>
                <w:sz w:val="20"/>
              </w:rPr>
            </w:r>
            <w:r>
              <w:rPr>
                <w:sz w:val="20"/>
              </w:rPr>
              <w:t>5--15</w:t>
            </w:r>
          </w:p>
        </w:tc>
        <w:tc>
          <w:tcPr>
            <w:tcW w:type="dxa" w:w="1337"/>
          </w:tcPr>
          <w:p>
            <w:r>
              <w:rPr>
                <w:sz w:val="20"/>
              </w:rPr>
            </w:r>
            <w:r>
              <w:rPr>
                <w:sz w:val="20"/>
              </w:rPr>
              <w:t>10--20</w:t>
            </w:r>
          </w:p>
        </w:tc>
        <w:tc>
          <w:tcPr>
            <w:tcW w:type="dxa" w:w="1337"/>
          </w:tcPr>
          <w:p>
            <w:r>
              <w:rPr>
                <w:sz w:val="20"/>
              </w:rPr>
            </w:r>
            <w:r>
              <w:rPr>
                <w:sz w:val="20"/>
              </w:rPr>
              <w:t>0.5--0.8</w:t>
            </w:r>
          </w:p>
        </w:tc>
        <w:tc>
          <w:tcPr>
            <w:tcW w:type="dxa" w:w="1337"/>
          </w:tcPr>
          <w:p>
            <w:r>
              <w:rPr>
                <w:sz w:val="20"/>
              </w:rPr>
            </w:r>
            <w:r>
              <w:rPr>
                <w:rFonts w:ascii="Cambria Math" w:hAnsi="Cambria Math"/>
                <w:i/>
                <w:sz w:val="20"/>
              </w:rPr>
              <w:t>10^{-1}</w:t>
            </w:r>
            <w:r>
              <w:rPr>
                <w:sz w:val="20"/>
              </w:rPr>
              <w:t>--</w:t>
            </w:r>
            <w:r>
              <w:rPr>
                <w:rFonts w:ascii="Cambria Math" w:hAnsi="Cambria Math"/>
                <w:i/>
                <w:sz w:val="20"/>
              </w:rPr>
              <w:t>10^1</w:t>
            </w:r>
          </w:p>
        </w:tc>
      </w:tr>
      <w:tr>
        <w:tc>
          <w:tcPr>
            <w:tcW w:type="dxa" w:w="1337"/>
          </w:tcPr>
          <w:p>
            <w:r>
              <w:rPr>
                <w:sz w:val="20"/>
              </w:rPr>
            </w:r>
            <w:r>
              <w:rPr>
                <w:sz w:val="20"/>
              </w:rPr>
              <w:t>Pancreatic islet</w:t>
            </w:r>
          </w:p>
        </w:tc>
        <w:tc>
          <w:tcPr>
            <w:tcW w:type="dxa" w:w="1337"/>
          </w:tcPr>
          <w:p>
            <w:r>
              <w:rPr>
                <w:sz w:val="20"/>
              </w:rPr>
            </w:r>
            <w:r>
              <w:rPr>
                <w:sz w:val="20"/>
              </w:rPr>
              <w:t>0.60--0.75</w:t>
            </w:r>
          </w:p>
        </w:tc>
        <w:tc>
          <w:tcPr>
            <w:tcW w:type="dxa" w:w="1337"/>
          </w:tcPr>
          <w:p>
            <w:r>
              <w:rPr>
                <w:sz w:val="20"/>
              </w:rPr>
            </w:r>
            <w:r>
              <w:rPr>
                <w:sz w:val="20"/>
              </w:rPr>
              <w:t>30--80</w:t>
            </w:r>
          </w:p>
        </w:tc>
        <w:tc>
          <w:tcPr>
            <w:tcW w:type="dxa" w:w="1337"/>
          </w:tcPr>
          <w:p>
            <w:r>
              <w:rPr>
                <w:sz w:val="20"/>
              </w:rPr>
            </w:r>
            <w:r>
              <w:rPr>
                <w:sz w:val="20"/>
              </w:rPr>
              <w:t>10--30</w:t>
            </w:r>
          </w:p>
        </w:tc>
        <w:tc>
          <w:tcPr>
            <w:tcW w:type="dxa" w:w="1337"/>
          </w:tcPr>
          <w:p>
            <w:r>
              <w:rPr>
                <w:sz w:val="20"/>
              </w:rPr>
            </w:r>
            <w:r>
              <w:rPr>
                <w:sz w:val="20"/>
              </w:rPr>
              <w:t>5--10</w:t>
            </w:r>
          </w:p>
        </w:tc>
        <w:tc>
          <w:tcPr>
            <w:tcW w:type="dxa" w:w="1337"/>
          </w:tcPr>
          <w:p>
            <w:r>
              <w:rPr>
                <w:sz w:val="20"/>
              </w:rPr>
            </w:r>
            <w:r>
              <w:rPr>
                <w:sz w:val="20"/>
              </w:rPr>
              <w:t>0.1--0.2</w:t>
            </w:r>
          </w:p>
        </w:tc>
        <w:tc>
          <w:tcPr>
            <w:tcW w:type="dxa" w:w="1337"/>
          </w:tcPr>
          <w:p>
            <w:r>
              <w:rPr>
                <w:sz w:val="20"/>
              </w:rPr>
            </w:r>
            <w:r>
              <w:rPr>
                <w:rFonts w:ascii="Cambria Math" w:hAnsi="Cambria Math"/>
                <w:i/>
                <w:sz w:val="20"/>
              </w:rPr>
              <w:t>10^0</w:t>
            </w:r>
            <w:r>
              <w:rPr>
                <w:sz w:val="20"/>
              </w:rPr>
              <w:t>--</w:t>
            </w:r>
            <w:r>
              <w:rPr>
                <w:rFonts w:ascii="Cambria Math" w:hAnsi="Cambria Math"/>
                <w:i/>
                <w:sz w:val="20"/>
              </w:rPr>
              <w:t>10^2</w:t>
            </w:r>
          </w:p>
        </w:tc>
      </w:tr>
      <w:tr>
        <w:tc>
          <w:tcPr>
            <w:tcW w:type="dxa" w:w="1337"/>
          </w:tcPr>
          <w:p>
            <w:r>
              <w:rPr>
                <w:sz w:val="20"/>
              </w:rPr>
            </w:r>
            <w:r>
              <w:rPr>
                <w:sz w:val="20"/>
              </w:rPr>
              <w:t>Intestinal mucosa</w:t>
            </w:r>
          </w:p>
        </w:tc>
        <w:tc>
          <w:tcPr>
            <w:tcW w:type="dxa" w:w="1337"/>
          </w:tcPr>
          <w:p>
            <w:r>
              <w:rPr>
                <w:sz w:val="20"/>
              </w:rPr>
            </w:r>
            <w:r>
              <w:rPr>
                <w:sz w:val="20"/>
              </w:rPr>
              <w:t>0.50--0.70</w:t>
            </w:r>
          </w:p>
        </w:tc>
        <w:tc>
          <w:tcPr>
            <w:tcW w:type="dxa" w:w="1337"/>
          </w:tcPr>
          <w:p>
            <w:r>
              <w:rPr>
                <w:sz w:val="20"/>
              </w:rPr>
            </w:r>
            <w:r>
              <w:rPr>
                <w:sz w:val="20"/>
              </w:rPr>
              <w:t>50--200</w:t>
            </w:r>
          </w:p>
        </w:tc>
        <w:tc>
          <w:tcPr>
            <w:tcW w:type="dxa" w:w="1337"/>
          </w:tcPr>
          <w:p>
            <w:r>
              <w:rPr>
                <w:sz w:val="20"/>
              </w:rPr>
            </w:r>
            <w:r>
              <w:rPr>
                <w:sz w:val="20"/>
              </w:rPr>
              <w:t>30--100</w:t>
            </w:r>
          </w:p>
        </w:tc>
        <w:tc>
          <w:tcPr>
            <w:tcW w:type="dxa" w:w="1337"/>
          </w:tcPr>
          <w:p>
            <w:r>
              <w:rPr>
                <w:sz w:val="20"/>
              </w:rPr>
            </w:r>
            <w:r>
              <w:rPr>
                <w:sz w:val="20"/>
              </w:rPr>
              <w:t>3--8</w:t>
            </w:r>
          </w:p>
        </w:tc>
        <w:tc>
          <w:tcPr>
            <w:tcW w:type="dxa" w:w="1337"/>
          </w:tcPr>
          <w:p>
            <w:r>
              <w:rPr>
                <w:sz w:val="20"/>
              </w:rPr>
            </w:r>
            <w:r>
              <w:rPr>
                <w:sz w:val="20"/>
              </w:rPr>
              <w:t>0.3--0.6</w:t>
            </w:r>
          </w:p>
        </w:tc>
        <w:tc>
          <w:tcPr>
            <w:tcW w:type="dxa" w:w="1337"/>
          </w:tcPr>
          <w:p>
            <w:r>
              <w:rPr>
                <w:sz w:val="20"/>
              </w:rPr>
            </w:r>
            <w:r>
              <w:rPr>
                <w:rFonts w:ascii="Cambria Math" w:hAnsi="Cambria Math"/>
                <w:i/>
                <w:sz w:val="20"/>
              </w:rPr>
              <w:t>10^1</w:t>
            </w:r>
            <w:r>
              <w:rPr>
                <w:sz w:val="20"/>
              </w:rPr>
              <w:t>--</w:t>
            </w:r>
            <w:r>
              <w:rPr>
                <w:rFonts w:ascii="Cambria Math" w:hAnsi="Cambria Math"/>
                <w:i/>
                <w:sz w:val="20"/>
              </w:rPr>
              <w:t>10^3</w:t>
            </w:r>
          </w:p>
        </w:tc>
      </w:tr>
    </w:tbl>
    <w:p/>
    <w:p>
      <w:r>
        <w:t>These targets define the feasible design space: scaffold parameters (</w:t>
      </w:r>
      <w:r>
        <w:rPr>
          <w:rFonts w:ascii="Cambria Math" w:hAnsi="Cambria Math"/>
          <w:i/>
        </w:rPr>
        <w:t>E</w:t>
      </w:r>
      <w:r>
        <w:t xml:space="preserve">, </w:t>
      </w:r>
      <w:r>
        <w:rPr>
          <w:rFonts w:ascii="Cambria Math" w:hAnsi="Cambria Math"/>
          <w:i/>
        </w:rPr>
        <w:t>\phi_f</w:t>
      </w:r>
      <w:r>
        <w:t xml:space="preserve">, </w:t>
      </w:r>
      <w:r>
        <w:rPr>
          <w:rFonts w:ascii="Cambria Math" w:hAnsi="Cambria Math"/>
          <w:i/>
        </w:rPr>
        <w:t>\phi_i</w:t>
      </w:r>
      <w:r>
        <w:t xml:space="preserve">, granule size distribution, cell density) should be chosen to minimize </w:t>
      </w:r>
      <w:r>
        <w:rPr>
          <w:rFonts w:ascii="Cambria Math" w:hAnsi="Cambria Math"/>
          <w:i/>
        </w:rPr>
        <w:t>D_{\text{arch}}</w:t>
      </w:r>
      <w:r>
        <w:t xml:space="preserve"> for the desired organ.</w:t>
      </w:r>
    </w:p>
    <w:p>
      <w:pPr>
        <w:pStyle w:val="Heading2"/>
      </w:pPr>
      <w:r>
        <w:t>8. Coupled Prediction Chain</w:t>
      </w:r>
    </w:p>
    <w:p>
      <w:r>
        <w:t>The complete prediction chain links substrate stiffness to scaffold transport properties and tissue architecture:</w:t>
      </w:r>
    </w:p>
    <w:p>
      <w:pPr>
        <w:spacing w:before="120" w:after="120"/>
        <w:jc w:val="center"/>
      </w:pPr>
      <w:r>
        <w:rPr>
          <w:rFonts w:ascii="Cambria Math" w:hAnsi="Cambria Math"/>
          <w:i/>
          <w:sz w:val="22"/>
        </w:rPr>
        <w:t>\beta(E) \;\to\; \sigma_{\text{cell}}(t; \beta) \;\to\; \phi_f(t) \;\to\; \phi_v(t) \;\to\; k(t) \;\to\; Q(t, \Delta P)</w:t>
      </w:r>
    </w:p>
    <w:p>
      <w:r>
        <w:t xml:space="preserve">where </w:t>
      </w:r>
      <w:r>
        <w:rPr>
          <w:rFonts w:ascii="Cambria Math" w:hAnsi="Cambria Math"/>
          <w:i/>
        </w:rPr>
        <w:t>Q</w:t>
      </w:r>
      <w:r>
        <w:t xml:space="preserve"> is the volumetric flow rate through the scaffold under a pressure drop </w:t>
      </w:r>
      <w:r>
        <w:rPr>
          <w:rFonts w:ascii="Cambria Math" w:hAnsi="Cambria Math"/>
          <w:i/>
        </w:rPr>
        <w:t>\Delta P</w:t>
      </w:r>
      <w:r>
        <w:t>. Each arrow represents a functional dependence:</w:t>
      </w:r>
    </w:p>
    <w:p>
      <w:pPr>
        <w:pStyle w:val="ListNumber"/>
      </w:pPr>
      <w:r>
        <w:rPr>
          <w:b/>
        </w:rPr>
        <w:t>Stiffness sensing.</w:t>
      </w:r>
      <w:r>
        <w:t xml:space="preserve"> The substrate modulus </w:t>
      </w:r>
      <w:r>
        <w:rPr>
          <w:rFonts w:ascii="Cambria Math" w:hAnsi="Cambria Math"/>
          <w:i/>
        </w:rPr>
        <w:t>E</w:t>
      </w:r>
      <w:r>
        <w:t xml:space="preserve"> determines the motor-clutch</w:t>
      </w:r>
    </w:p>
    <w:p>
      <w:r>
        <w:t xml:space="preserve">engagement </w:t>
      </w:r>
      <w:r>
        <w:rPr>
          <w:rFonts w:ascii="Cambria Math" w:hAnsi="Cambria Math"/>
          <w:i/>
        </w:rPr>
        <w:t>\beta</w:t>
      </w:r>
      <w:r>
        <w:t xml:space="preserve"> and hence the cell traction force </w:t>
      </w:r>
      <w:r>
        <w:rPr>
          <w:rFonts w:ascii="Cambria Math" w:hAnsi="Cambria Math"/>
          <w:i/>
        </w:rPr>
        <w:t>F_{\text{cell}}</w:t>
      </w:r>
      <w:r>
        <w:t>.</w:t>
      </w:r>
    </w:p>
    <w:p>
      <w:pPr>
        <w:pStyle w:val="ListNumber"/>
      </w:pPr>
      <w:r>
        <w:rPr>
          <w:b/>
        </w:rPr>
        <w:t>Force generation.</w:t>
      </w:r>
      <w:r>
        <w:t xml:space="preserve"> </w:t>
      </w:r>
      <w:r>
        <w:rPr>
          <w:rFonts w:ascii="Cambria Math" w:hAnsi="Cambria Math"/>
          <w:i/>
        </w:rPr>
        <w:t>\sigma_{\text{cell}}(t)</w:t>
      </w:r>
      <w:r>
        <w:t xml:space="preserve"> emerges from the combination of</w:t>
      </w:r>
    </w:p>
    <w:p>
      <w:r>
        <w:t>motor-clutch force, bridge kinetics, and focal adhesion maturation.</w:t>
      </w:r>
    </w:p>
    <w:p>
      <w:pPr>
        <w:pStyle w:val="ListNumber"/>
      </w:pPr>
      <w:r>
        <w:rPr>
          <w:b/>
        </w:rPr>
        <w:t>Compaction.</w:t>
      </w:r>
      <w:r>
        <w:t xml:space="preserve"> The net stress drives compaction: </w:t>
      </w:r>
      <w:r>
        <w:rPr>
          <w:rFonts w:ascii="Cambria Math" w:hAnsi="Cambria Math"/>
          <w:i/>
        </w:rPr>
        <w:t>\phi_f(t)</w:t>
      </w:r>
      <w:r>
        <w:t xml:space="preserve"> increases (functional</w:t>
      </w:r>
    </w:p>
    <w:p>
      <w:r>
        <w:t xml:space="preserve">granules pack more densely) while </w:t>
      </w:r>
      <w:r>
        <w:rPr>
          <w:rFonts w:ascii="Cambria Math" w:hAnsi="Cambria Math"/>
          <w:i/>
        </w:rPr>
        <w:t>\phi_v(t)</w:t>
      </w:r>
      <w:r>
        <w:t xml:space="preserve"> decreases.</w:t>
      </w:r>
    </w:p>
    <w:p>
      <w:pPr>
        <w:pStyle w:val="ListNumber"/>
      </w:pPr>
      <w:r>
        <w:rPr>
          <w:b/>
        </w:rPr>
        <w:t>Transport.</w:t>
      </w:r>
      <w:r>
        <w:t xml:space="preserve"> Permeability </w:t>
      </w:r>
      <w:r>
        <w:rPr>
          <w:rFonts w:ascii="Cambria Math" w:hAnsi="Cambria Math"/>
          <w:i/>
        </w:rPr>
        <w:t>k(t)</w:t>
      </w:r>
      <w:r>
        <w:t xml:space="preserve"> tracks porosity through Kozeny-Carman, closing</w:t>
      </w:r>
    </w:p>
    <w:p>
      <w:r>
        <w:t>the loop between scaffold mechanics and nutrient transport.</w:t>
      </w:r>
    </w:p>
    <w:p>
      <w:pPr>
        <w:pStyle w:val="ListNumber"/>
      </w:pPr>
      <w:r>
        <w:rPr>
          <w:b/>
        </w:rPr>
        <w:t>Architecture.</w:t>
      </w:r>
      <w:r>
        <w:t xml:space="preserve"> The final microstructure is characterized by the descriptor vector</w:t>
      </w:r>
    </w:p>
    <w:p>
      <w:r>
        <w:rPr>
          <w:rFonts w:ascii="Cambria Math" w:hAnsi="Cambria Math"/>
          <w:i/>
        </w:rPr>
        <w:t>\mathbf{d}</w:t>
      </w:r>
      <w:r>
        <w:t xml:space="preserve">, which is compared to organ targets via </w:t>
      </w:r>
      <w:r>
        <w:rPr>
          <w:rFonts w:ascii="Cambria Math" w:hAnsi="Cambria Math"/>
          <w:i/>
        </w:rPr>
        <w:t>D_{\text{arch}}</w:t>
      </w:r>
      <w:r>
        <w:t>.</w:t>
      </w:r>
    </w:p>
    <w:p>
      <w:r>
        <w:t>The DEM simulation resolves steps 1--4 directly at the particle scale. The mean-field model (Section 5) provides an analytical approximation that enables rapid parameter exploration before committing to full DEM runs.</w:t>
      </w:r>
    </w:p>
    <w:p>
      <w:pPr>
        <w:pStyle w:val="Heading2"/>
      </w:pPr>
      <w:r>
        <w:t>9. Experimental Validation</w:t>
      </w:r>
    </w:p>
    <w:p>
      <w:r>
        <w:t>The model connects to experiments through four independent measurement modalities:</w:t>
      </w:r>
    </w:p>
    <w:p>
      <w:r>
        <w:rPr>
          <w:b/>
        </w:rPr>
        <w:t>Phase evolution from volumetric imaging.</w:t>
      </w:r>
      <w:r>
        <w:t xml:space="preserve"> Confocal or light-sheet microscopy provides time-resolved maps of </w:t>
      </w:r>
      <w:r>
        <w:rPr>
          <w:rFonts w:ascii="Cambria Math" w:hAnsi="Cambria Math"/>
          <w:i/>
        </w:rPr>
        <w:t>\phi_f(\mathbf{x}, t)</w:t>
      </w:r>
      <w:r>
        <w:t xml:space="preserve"> and </w:t>
      </w:r>
      <w:r>
        <w:rPr>
          <w:rFonts w:ascii="Cambria Math" w:hAnsi="Cambria Math"/>
          <w:i/>
        </w:rPr>
        <w:t>\phi_i(\mathbf{x}, t)</w:t>
      </w:r>
      <w:r>
        <w:t xml:space="preserve">. Spatially averaged trajectories </w:t>
      </w:r>
      <w:r>
        <w:rPr>
          <w:rFonts w:ascii="Cambria Math" w:hAnsi="Cambria Math"/>
          <w:i/>
        </w:rPr>
        <w:t>\phi_f(t)</w:t>
      </w:r>
      <w:r>
        <w:t xml:space="preserve"> can be fit to the mean-field ODE (Section 5) to extract the effective viscosity </w:t>
      </w:r>
      <w:r>
        <w:rPr>
          <w:rFonts w:ascii="Cambria Math" w:hAnsi="Cambria Math"/>
          <w:i/>
        </w:rPr>
        <w:t>\eta_{\text{eff}}</w:t>
      </w:r>
      <w:r>
        <w:t xml:space="preserve"> and cell stress </w:t>
      </w:r>
      <w:r>
        <w:rPr>
          <w:rFonts w:ascii="Cambria Math" w:hAnsi="Cambria Math"/>
          <w:i/>
        </w:rPr>
        <w:t>\sigma_{\text{cell}}</w:t>
      </w:r>
      <w:r>
        <w:t xml:space="preserve">. The ratio </w:t>
      </w:r>
      <w:r>
        <w:rPr>
          <w:rFonts w:ascii="Cambria Math" w:hAnsi="Cambria Math"/>
          <w:i/>
        </w:rPr>
        <w:t>\sigma_{\text{cell}} / \eta_{\text{eff}}</w:t>
      </w:r>
      <w:r>
        <w:t xml:space="preserve"> gives the compaction rate directly.</w:t>
      </w:r>
    </w:p>
    <w:p>
      <w:r>
        <w:rPr>
          <w:b/>
        </w:rPr>
        <w:t>Interstitial flow from particle image velocimetry.</w:t>
      </w:r>
      <w:r>
        <w:t xml:space="preserve"> PIV with fluorescent microspheres in the void space yields the pore-scale velocity field </w:t>
      </w:r>
      <w:r>
        <w:rPr>
          <w:rFonts w:ascii="Cambria Math" w:hAnsi="Cambria Math"/>
          <w:i/>
        </w:rPr>
        <w:t>\mathbf{v}_f(\mathbf{x})</w:t>
      </w:r>
      <w:r>
        <w:t xml:space="preserve">. Spatial averaging gives the Darcy flux, from which the permeability </w:t>
      </w:r>
      <w:r>
        <w:rPr>
          <w:rFonts w:ascii="Cambria Math" w:hAnsi="Cambria Math"/>
          <w:i/>
        </w:rPr>
        <w:t>k(t)</w:t>
      </w:r>
      <w:r>
        <w:t xml:space="preserve"> is extracted. Comparison to the Kozeny-Carman prediction (Section 4.4) validates the relationship between compaction and transport.</w:t>
      </w:r>
    </w:p>
    <w:p>
      <w:r>
        <w:rPr>
          <w:b/>
        </w:rPr>
        <w:t>Cell traction from traction force microscopy.</w:t>
      </w:r>
      <w:r>
        <w:t xml:space="preserve"> Cells on hydrogel substrates of known stiffness generate displacement fields measurable by embedded fluorescent beads. Inversion yields the traction stress, which can be fit to the motor-clutch model (Section 2.5) to determine </w:t>
      </w:r>
      <w:r>
        <w:rPr>
          <w:rFonts w:ascii="Cambria Math" w:hAnsi="Cambria Math"/>
          <w:i/>
        </w:rPr>
        <w:t>F_{\text{stall}}</w:t>
      </w:r>
      <w:r>
        <w:t xml:space="preserve">, </w:t>
      </w:r>
      <w:r>
        <w:rPr>
          <w:rFonts w:ascii="Cambria Math" w:hAnsi="Cambria Math"/>
          <w:i/>
        </w:rPr>
        <w:t>k_{\text{opt}}</w:t>
      </w:r>
      <w:r>
        <w:t xml:space="preserve">, and the engagement curve </w:t>
      </w:r>
      <w:r>
        <w:rPr>
          <w:rFonts w:ascii="Cambria Math" w:hAnsi="Cambria Math"/>
          <w:i/>
        </w:rPr>
        <w:t>\beta(E)</w:t>
      </w:r>
      <w:r>
        <w:t>.</w:t>
      </w:r>
    </w:p>
    <w:p>
      <w:r>
        <w:rPr>
          <w:b/>
        </w:rPr>
        <w:t>Tissue architecture from histology and micro-CT.</w:t>
      </w:r>
      <w:r>
        <w:t xml:space="preserve"> Histological sections or micro-CT reconstructions of both the scaffold and native organ tissue yield the descriptor vectors </w:t>
      </w:r>
      <w:r>
        <w:rPr>
          <w:rFonts w:ascii="Cambria Math" w:hAnsi="Cambria Math"/>
          <w:i/>
        </w:rPr>
        <w:t>\mathbf{d}^{\text{GELLS}}</w:t>
      </w:r>
      <w:r>
        <w:t xml:space="preserve"> and </w:t>
      </w:r>
      <w:r>
        <w:rPr>
          <w:rFonts w:ascii="Cambria Math" w:hAnsi="Cambria Math"/>
          <w:i/>
        </w:rPr>
        <w:t>\mathbf{d}^{\text{organ}}</w:t>
      </w:r>
      <w:r>
        <w:t xml:space="preserve">. The architectural distance </w:t>
      </w:r>
      <w:r>
        <w:rPr>
          <w:rFonts w:ascii="Cambria Math" w:hAnsi="Cambria Math"/>
          <w:i/>
        </w:rPr>
        <w:t>D_{\text{arch}}</w:t>
      </w:r>
      <w:r>
        <w:t xml:space="preserve"> (Section 7.2) quantifies how closely the scaffold recapitulates the target organ. Minimization of </w:t>
      </w:r>
      <w:r>
        <w:rPr>
          <w:rFonts w:ascii="Cambria Math" w:hAnsi="Cambria Math"/>
          <w:i/>
        </w:rPr>
        <w:t>D_{\text{arch}}</w:t>
      </w:r>
      <w:r>
        <w:t xml:space="preserve"> over the design parameter space constitutes the scaffold optimization problem.</w:t>
      </w:r>
    </w:p>
    <w:p>
      <w:pPr>
        <w:pStyle w:val="Heading2"/>
      </w:pPr>
      <w:r>
        <w:t>10. Computational Results: 24-Run Design of Experiments</w:t>
      </w:r>
    </w:p>
    <w:p>
      <w:r>
        <w:t xml:space="preserve">The complete mathematical framework was applied to a 24-run fractional factorial Design of Experiments (DOE). Each run simulates 3D granular scaffold compaction in a </w:t>
      </w:r>
      <w:r>
        <w:rPr>
          <w:rFonts w:ascii="Cambria Math" w:hAnsi="Cambria Math"/>
          <w:i/>
        </w:rPr>
        <w:t>514 \times 514 \times 514\ \mu\text{m}</w:t>
      </w:r>
      <w:r>
        <w:t xml:space="preserve"> domain with </w:t>
      </w:r>
      <w:r>
        <w:rPr>
          <w:rFonts w:ascii="Cambria Math" w:hAnsi="Cambria Math"/>
          <w:i/>
        </w:rPr>
        <w:t>\sim\!208</w:t>
      </w:r>
      <w:r>
        <w:t xml:space="preserve"> superellipsoidal granules over 10--38 hours. The five DOE factors are: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r>
            <w:r>
              <w:rPr>
                <w:b/>
                <w:sz w:val="20"/>
              </w:rPr>
              <w:t>Factor</w:t>
            </w:r>
          </w:p>
        </w:tc>
        <w:tc>
          <w:tcPr>
            <w:tcW w:type="dxa" w:w="2340"/>
          </w:tcPr>
          <w:p>
            <w:r>
              <w:rPr>
                <w:b/>
                <w:sz w:val="20"/>
              </w:rPr>
            </w:r>
            <w:r>
              <w:rPr>
                <w:b/>
                <w:sz w:val="20"/>
              </w:rPr>
              <w:t>Symbol</w:t>
            </w:r>
          </w:p>
        </w:tc>
        <w:tc>
          <w:tcPr>
            <w:tcW w:type="dxa" w:w="2340"/>
          </w:tcPr>
          <w:p>
            <w:r>
              <w:rPr>
                <w:b/>
                <w:sz w:val="20"/>
              </w:rPr>
            </w:r>
            <w:r>
              <w:rPr>
                <w:b/>
                <w:sz w:val="20"/>
              </w:rPr>
              <w:t>Low Level</w:t>
            </w:r>
          </w:p>
        </w:tc>
        <w:tc>
          <w:tcPr>
            <w:tcW w:type="dxa" w:w="2340"/>
          </w:tcPr>
          <w:p>
            <w:r>
              <w:rPr>
                <w:b/>
                <w:sz w:val="20"/>
              </w:rPr>
            </w:r>
            <w:r>
              <w:rPr>
                <w:b/>
                <w:sz w:val="20"/>
              </w:rPr>
              <w:t>High Level</w:t>
            </w:r>
          </w:p>
        </w:tc>
      </w:tr>
      <w:tr>
        <w:tc>
          <w:tcPr>
            <w:tcW w:type="dxa" w:w="2340"/>
          </w:tcPr>
          <w:p>
            <w:r>
              <w:rPr>
                <w:sz w:val="20"/>
              </w:rPr>
            </w:r>
            <w:r>
              <w:rPr>
                <w:sz w:val="20"/>
              </w:rPr>
              <w:t>A: Modulus</w:t>
            </w:r>
          </w:p>
        </w:tc>
        <w:tc>
          <w:tcPr>
            <w:tcW w:type="dxa" w:w="2340"/>
          </w:tcPr>
          <w:p>
            <w:r>
              <w:rPr>
                <w:sz w:val="20"/>
              </w:rPr>
            </w:r>
            <w:r>
              <w:rPr>
                <w:rFonts w:ascii="Cambria Math" w:hAnsi="Cambria Math"/>
                <w:i/>
                <w:sz w:val="20"/>
              </w:rPr>
              <w:t>E</w:t>
            </w:r>
          </w:p>
        </w:tc>
        <w:tc>
          <w:tcPr>
            <w:tcW w:type="dxa" w:w="2340"/>
          </w:tcPr>
          <w:p>
            <w:r>
              <w:rPr>
                <w:sz w:val="20"/>
              </w:rPr>
            </w:r>
            <w:r>
              <w:rPr>
                <w:sz w:val="20"/>
              </w:rPr>
              <w:t>2 kPa</w:t>
            </w:r>
          </w:p>
        </w:tc>
        <w:tc>
          <w:tcPr>
            <w:tcW w:type="dxa" w:w="2340"/>
          </w:tcPr>
          <w:p>
            <w:r>
              <w:rPr>
                <w:sz w:val="20"/>
              </w:rPr>
            </w:r>
            <w:r>
              <w:rPr>
                <w:sz w:val="20"/>
              </w:rPr>
              <w:t>50 kPa</w:t>
            </w:r>
          </w:p>
        </w:tc>
      </w:tr>
      <w:tr>
        <w:tc>
          <w:tcPr>
            <w:tcW w:type="dxa" w:w="2340"/>
          </w:tcPr>
          <w:p>
            <w:r>
              <w:rPr>
                <w:sz w:val="20"/>
              </w:rPr>
            </w:r>
            <w:r>
              <w:rPr>
                <w:sz w:val="20"/>
              </w:rPr>
              <w:t>B: Cells/granule</w:t>
            </w:r>
          </w:p>
        </w:tc>
        <w:tc>
          <w:tcPr>
            <w:tcW w:type="dxa" w:w="2340"/>
          </w:tcPr>
          <w:p>
            <w:r>
              <w:rPr>
                <w:sz w:val="20"/>
              </w:rPr>
            </w:r>
            <w:r>
              <w:rPr>
                <w:rFonts w:ascii="Cambria Math" w:hAnsi="Cambria Math"/>
                <w:i/>
                <w:sz w:val="20"/>
              </w:rPr>
              <w:t>n_c</w:t>
            </w:r>
          </w:p>
        </w:tc>
        <w:tc>
          <w:tcPr>
            <w:tcW w:type="dxa" w:w="2340"/>
          </w:tcPr>
          <w:p>
            <w:r>
              <w:rPr>
                <w:sz w:val="20"/>
              </w:rPr>
            </w:r>
            <w:r>
              <w:rPr>
                <w:sz w:val="20"/>
              </w:rPr>
              <w:t>4</w:t>
            </w:r>
          </w:p>
        </w:tc>
        <w:tc>
          <w:tcPr>
            <w:tcW w:type="dxa" w:w="2340"/>
          </w:tcPr>
          <w:p>
            <w:r>
              <w:rPr>
                <w:sz w:val="20"/>
              </w:rPr>
            </w:r>
            <w:r>
              <w:rPr>
                <w:sz w:val="20"/>
              </w:rPr>
              <w:t>8</w:t>
            </w:r>
          </w:p>
        </w:tc>
      </w:tr>
      <w:tr>
        <w:tc>
          <w:tcPr>
            <w:tcW w:type="dxa" w:w="2340"/>
          </w:tcPr>
          <w:p>
            <w:r>
              <w:rPr>
                <w:sz w:val="20"/>
              </w:rPr>
            </w:r>
            <w:r>
              <w:rPr>
                <w:sz w:val="20"/>
              </w:rPr>
              <w:t>C: Functional radius</w:t>
            </w:r>
          </w:p>
        </w:tc>
        <w:tc>
          <w:tcPr>
            <w:tcW w:type="dxa" w:w="2340"/>
          </w:tcPr>
          <w:p>
            <w:r>
              <w:rPr>
                <w:sz w:val="20"/>
              </w:rPr>
            </w:r>
            <w:r>
              <w:rPr>
                <w:rFonts w:ascii="Cambria Math" w:hAnsi="Cambria Math"/>
                <w:i/>
                <w:sz w:val="20"/>
              </w:rPr>
              <w:t>R_f</w:t>
            </w:r>
          </w:p>
        </w:tc>
        <w:tc>
          <w:tcPr>
            <w:tcW w:type="dxa" w:w="2340"/>
          </w:tcPr>
          <w:p>
            <w:r>
              <w:rPr>
                <w:sz w:val="20"/>
              </w:rPr>
            </w:r>
            <w:r>
              <w:rPr>
                <w:sz w:val="20"/>
              </w:rPr>
              <w:t xml:space="preserve">30 </w:t>
            </w:r>
            <w:r>
              <w:rPr>
                <w:rFonts w:ascii="Cambria Math" w:hAnsi="Cambria Math"/>
                <w:i/>
                <w:sz w:val="20"/>
              </w:rPr>
              <w:t>\mu</w:t>
            </w:r>
            <w:r>
              <w:rPr>
                <w:sz w:val="20"/>
              </w:rPr>
              <w:t>m</w:t>
            </w:r>
          </w:p>
        </w:tc>
        <w:tc>
          <w:tcPr>
            <w:tcW w:type="dxa" w:w="2340"/>
          </w:tcPr>
          <w:p>
            <w:r>
              <w:rPr>
                <w:sz w:val="20"/>
              </w:rPr>
            </w:r>
            <w:r>
              <w:rPr>
                <w:sz w:val="20"/>
              </w:rPr>
              <w:t xml:space="preserve">60 </w:t>
            </w:r>
            <w:r>
              <w:rPr>
                <w:rFonts w:ascii="Cambria Math" w:hAnsi="Cambria Math"/>
                <w:i/>
                <w:sz w:val="20"/>
              </w:rPr>
              <w:t>\mu</w:t>
            </w:r>
            <w:r>
              <w:rPr>
                <w:sz w:val="20"/>
              </w:rPr>
              <w:t>m</w:t>
            </w:r>
          </w:p>
        </w:tc>
      </w:tr>
      <w:tr>
        <w:tc>
          <w:tcPr>
            <w:tcW w:type="dxa" w:w="2340"/>
          </w:tcPr>
          <w:p>
            <w:r>
              <w:rPr>
                <w:sz w:val="20"/>
              </w:rPr>
            </w:r>
            <w:r>
              <w:rPr>
                <w:sz w:val="20"/>
              </w:rPr>
              <w:t>D: Composition</w:t>
            </w:r>
          </w:p>
        </w:tc>
        <w:tc>
          <w:tcPr>
            <w:tcW w:type="dxa" w:w="2340"/>
          </w:tcPr>
          <w:p>
            <w:r>
              <w:rPr>
                <w:sz w:val="20"/>
              </w:rPr>
            </w:r>
            <w:r>
              <w:rPr>
                <w:rFonts w:ascii="Cambria Math" w:hAnsi="Cambria Math"/>
                <w:i/>
                <w:sz w:val="20"/>
              </w:rPr>
              <w:t>\phi_f/\phi_i</w:t>
            </w:r>
          </w:p>
        </w:tc>
        <w:tc>
          <w:tcPr>
            <w:tcW w:type="dxa" w:w="2340"/>
          </w:tcPr>
          <w:p>
            <w:r>
              <w:rPr>
                <w:sz w:val="20"/>
              </w:rPr>
            </w:r>
            <w:r>
              <w:rPr>
                <w:sz w:val="20"/>
              </w:rPr>
              <w:t>0.2/0.4</w:t>
            </w:r>
          </w:p>
        </w:tc>
        <w:tc>
          <w:tcPr>
            <w:tcW w:type="dxa" w:w="2340"/>
          </w:tcPr>
          <w:p>
            <w:r>
              <w:rPr>
                <w:sz w:val="20"/>
              </w:rPr>
            </w:r>
            <w:r>
              <w:rPr>
                <w:sz w:val="20"/>
              </w:rPr>
              <w:t>0.4/0.2</w:t>
            </w:r>
          </w:p>
        </w:tc>
      </w:tr>
      <w:tr>
        <w:tc>
          <w:tcPr>
            <w:tcW w:type="dxa" w:w="2340"/>
          </w:tcPr>
          <w:p>
            <w:r>
              <w:rPr>
                <w:sz w:val="20"/>
              </w:rPr>
            </w:r>
            <w:r>
              <w:rPr>
                <w:sz w:val="20"/>
              </w:rPr>
              <w:t>E: Adhesion/friction</w:t>
            </w:r>
          </w:p>
        </w:tc>
        <w:tc>
          <w:tcPr>
            <w:tcW w:type="dxa" w:w="2340"/>
          </w:tcPr>
          <w:p>
            <w:r>
              <w:rPr>
                <w:sz w:val="20"/>
              </w:rPr>
            </w:r>
            <w:r>
              <w:rPr>
                <w:rFonts w:ascii="Cambria Math" w:hAnsi="Cambria Math"/>
                <w:i/>
                <w:sz w:val="20"/>
              </w:rPr>
              <w:t>W_{\text{adh}}</w:t>
            </w:r>
            <w:r>
              <w:rPr>
                <w:sz w:val="20"/>
              </w:rPr>
              <w:t xml:space="preserve">, </w:t>
            </w:r>
            <w:r>
              <w:rPr>
                <w:rFonts w:ascii="Cambria Math" w:hAnsi="Cambria Math"/>
                <w:i/>
                <w:sz w:val="20"/>
              </w:rPr>
              <w:t>\tau_0</w:t>
            </w:r>
          </w:p>
        </w:tc>
        <w:tc>
          <w:tcPr>
            <w:tcW w:type="dxa" w:w="2340"/>
          </w:tcPr>
          <w:p>
            <w:r>
              <w:rPr>
                <w:sz w:val="20"/>
              </w:rPr>
            </w:r>
            <w:r>
              <w:rPr>
                <w:sz w:val="20"/>
              </w:rPr>
              <w:t>low</w:t>
            </w:r>
          </w:p>
        </w:tc>
        <w:tc>
          <w:tcPr>
            <w:tcW w:type="dxa" w:w="2340"/>
          </w:tcPr>
          <w:p>
            <w:r>
              <w:rPr>
                <w:sz w:val="20"/>
              </w:rPr>
            </w:r>
            <w:r>
              <w:rPr>
                <w:sz w:val="20"/>
              </w:rPr>
              <w:t>high</w:t>
            </w:r>
          </w:p>
        </w:tc>
      </w:tr>
    </w:tbl>
    <w:p/>
    <w:p>
      <w:pPr>
        <w:pStyle w:val="Heading3"/>
      </w:pPr>
      <w:r>
        <w:t>10.1 Mean-Field Model Fitting</w:t>
      </w:r>
    </w:p>
    <w:p>
      <w:r>
        <w:t xml:space="preserve">The mean-field ODE (Section 5) was fitted to the </w:t>
      </w:r>
      <w:r>
        <w:rPr>
          <w:rFonts w:ascii="Cambria Math" w:hAnsi="Cambria Math"/>
          <w:i/>
        </w:rPr>
        <w:t>\phi_f(t)</w:t>
      </w:r>
      <w:r>
        <w:t xml:space="preserve"> time series of each run by optimizing </w:t>
      </w:r>
      <w:r>
        <w:rPr>
          <w:rFonts w:ascii="Cambria Math" w:hAnsi="Cambria Math"/>
          <w:i/>
        </w:rPr>
        <w:t>(\eta_{\text{eff}},\, \sigma_0,\, \alpha)</w:t>
      </w:r>
      <w:r>
        <w:t>. All 23 runs with data produced convergent fits. Runs with high substrate stiffness (</w:t>
      </w:r>
      <w:r>
        <w:rPr>
          <w:rFonts w:ascii="Cambria Math" w:hAnsi="Cambria Math"/>
          <w:i/>
        </w:rPr>
        <w:t>E = 50</w:t>
      </w:r>
      <w:r>
        <w:t xml:space="preserve"> kPa) exhibited the strongest compaction:</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Run</w:t>
            </w:r>
          </w:p>
        </w:tc>
        <w:tc>
          <w:tcPr>
            <w:tcW w:type="dxa" w:w="1872"/>
          </w:tcPr>
          <w:p>
            <w:r>
              <w:rPr>
                <w:b/>
                <w:sz w:val="20"/>
              </w:rPr>
            </w:r>
            <w:r>
              <w:rPr>
                <w:rFonts w:ascii="Cambria Math" w:hAnsi="Cambria Math"/>
                <w:b/>
                <w:i/>
                <w:sz w:val="20"/>
              </w:rPr>
              <w:t>E</w:t>
            </w:r>
            <w:r>
              <w:rPr>
                <w:b/>
                <w:sz w:val="20"/>
              </w:rPr>
              <w:t xml:space="preserve"> (kPa)</w:t>
            </w:r>
          </w:p>
        </w:tc>
        <w:tc>
          <w:tcPr>
            <w:tcW w:type="dxa" w:w="1872"/>
          </w:tcPr>
          <w:p>
            <w:r>
              <w:rPr>
                <w:b/>
                <w:sz w:val="20"/>
              </w:rPr>
            </w:r>
            <w:r>
              <w:rPr>
                <w:rFonts w:ascii="Cambria Math" w:hAnsi="Cambria Math"/>
                <w:b/>
                <w:i/>
                <w:sz w:val="20"/>
              </w:rPr>
              <w:t>R^2</w:t>
            </w:r>
          </w:p>
        </w:tc>
        <w:tc>
          <w:tcPr>
            <w:tcW w:type="dxa" w:w="1872"/>
          </w:tcPr>
          <w:p>
            <w:r>
              <w:rPr>
                <w:b/>
                <w:sz w:val="20"/>
              </w:rPr>
            </w:r>
            <w:r>
              <w:rPr>
                <w:rFonts w:ascii="Cambria Math" w:hAnsi="Cambria Math"/>
                <w:b/>
                <w:i/>
                <w:sz w:val="20"/>
              </w:rPr>
              <w:t>\eta_{\text{eff}}</w:t>
            </w:r>
            <w:r>
              <w:rPr>
                <w:b/>
                <w:sz w:val="20"/>
              </w:rPr>
              <w:t xml:space="preserve"> (nN</w:t>
            </w:r>
            <w:r>
              <w:rPr>
                <w:rFonts w:ascii="Cambria Math" w:hAnsi="Cambria Math"/>
                <w:b/>
                <w:i/>
                <w:sz w:val="20"/>
              </w:rPr>
              <w:t>\cdot</w:t>
            </w:r>
            <w:r>
              <w:rPr>
                <w:b/>
                <w:sz w:val="20"/>
              </w:rPr>
              <w:t>h/</w:t>
            </w:r>
            <w:r>
              <w:rPr>
                <w:rFonts w:ascii="Cambria Math" w:hAnsi="Cambria Math"/>
                <w:b/>
                <w:i/>
                <w:sz w:val="20"/>
              </w:rPr>
              <w:t>\mu</w:t>
            </w:r>
            <w:r>
              <w:rPr>
                <w:b/>
                <w:sz w:val="20"/>
              </w:rPr>
              <w:t>m</w:t>
            </w:r>
            <w:r>
              <w:rPr>
                <w:rFonts w:ascii="Cambria Math" w:hAnsi="Cambria Math"/>
                <w:b/>
                <w:i/>
                <w:sz w:val="20"/>
              </w:rPr>
              <w:t>^2</w:t>
            </w:r>
            <w:r>
              <w:rPr>
                <w:b/>
                <w:sz w:val="20"/>
              </w:rPr>
              <w:t>)</w:t>
            </w:r>
          </w:p>
        </w:tc>
        <w:tc>
          <w:tcPr>
            <w:tcW w:type="dxa" w:w="1872"/>
          </w:tcPr>
          <w:p>
            <w:r>
              <w:rPr>
                <w:b/>
                <w:sz w:val="20"/>
              </w:rPr>
            </w:r>
            <w:r>
              <w:rPr>
                <w:rFonts w:ascii="Cambria Math" w:hAnsi="Cambria Math"/>
                <w:b/>
                <w:i/>
                <w:sz w:val="20"/>
              </w:rPr>
              <w:t>\Delta\phi_f</w:t>
            </w:r>
          </w:p>
        </w:tc>
      </w:tr>
      <w:tr>
        <w:tc>
          <w:tcPr>
            <w:tcW w:type="dxa" w:w="1872"/>
          </w:tcPr>
          <w:p>
            <w:r>
              <w:rPr>
                <w:sz w:val="20"/>
              </w:rPr>
            </w:r>
            <w:r>
              <w:rPr>
                <w:sz w:val="20"/>
              </w:rPr>
              <w:t>DOE_10</w:t>
            </w:r>
          </w:p>
        </w:tc>
        <w:tc>
          <w:tcPr>
            <w:tcW w:type="dxa" w:w="1872"/>
          </w:tcPr>
          <w:p>
            <w:r>
              <w:rPr>
                <w:sz w:val="20"/>
              </w:rPr>
            </w:r>
            <w:r>
              <w:rPr>
                <w:sz w:val="20"/>
              </w:rPr>
              <w:t>50</w:t>
            </w:r>
          </w:p>
        </w:tc>
        <w:tc>
          <w:tcPr>
            <w:tcW w:type="dxa" w:w="1872"/>
          </w:tcPr>
          <w:p>
            <w:r>
              <w:rPr>
                <w:sz w:val="20"/>
              </w:rPr>
            </w:r>
            <w:r>
              <w:rPr>
                <w:sz w:val="20"/>
              </w:rPr>
              <w:t>0.630</w:t>
            </w:r>
          </w:p>
        </w:tc>
        <w:tc>
          <w:tcPr>
            <w:tcW w:type="dxa" w:w="1872"/>
          </w:tcPr>
          <w:p>
            <w:r>
              <w:rPr>
                <w:sz w:val="20"/>
              </w:rPr>
            </w:r>
            <w:r>
              <w:rPr>
                <w:sz w:val="20"/>
              </w:rPr>
              <w:t>0.0023</w:t>
            </w:r>
          </w:p>
        </w:tc>
        <w:tc>
          <w:tcPr>
            <w:tcW w:type="dxa" w:w="1872"/>
          </w:tcPr>
          <w:p>
            <w:r>
              <w:rPr>
                <w:sz w:val="20"/>
              </w:rPr>
            </w:r>
            <w:r>
              <w:rPr>
                <w:rFonts w:ascii="Cambria Math" w:hAnsi="Cambria Math"/>
                <w:i/>
                <w:sz w:val="20"/>
              </w:rPr>
              <w:t>-0.040</w:t>
            </w:r>
          </w:p>
        </w:tc>
      </w:tr>
      <w:tr>
        <w:tc>
          <w:tcPr>
            <w:tcW w:type="dxa" w:w="1872"/>
          </w:tcPr>
          <w:p>
            <w:r>
              <w:rPr>
                <w:sz w:val="20"/>
              </w:rPr>
            </w:r>
            <w:r>
              <w:rPr>
                <w:sz w:val="20"/>
              </w:rPr>
              <w:t>DOE_22</w:t>
            </w:r>
          </w:p>
        </w:tc>
        <w:tc>
          <w:tcPr>
            <w:tcW w:type="dxa" w:w="1872"/>
          </w:tcPr>
          <w:p>
            <w:r>
              <w:rPr>
                <w:sz w:val="20"/>
              </w:rPr>
            </w:r>
            <w:r>
              <w:rPr>
                <w:sz w:val="20"/>
              </w:rPr>
              <w:t>50</w:t>
            </w:r>
          </w:p>
        </w:tc>
        <w:tc>
          <w:tcPr>
            <w:tcW w:type="dxa" w:w="1872"/>
          </w:tcPr>
          <w:p>
            <w:r>
              <w:rPr>
                <w:sz w:val="20"/>
              </w:rPr>
            </w:r>
            <w:r>
              <w:rPr>
                <w:sz w:val="20"/>
              </w:rPr>
              <w:t>0.200</w:t>
            </w:r>
          </w:p>
        </w:tc>
        <w:tc>
          <w:tcPr>
            <w:tcW w:type="dxa" w:w="1872"/>
          </w:tcPr>
          <w:p>
            <w:r>
              <w:rPr>
                <w:sz w:val="20"/>
              </w:rPr>
            </w:r>
            <w:r>
              <w:rPr>
                <w:sz w:val="20"/>
              </w:rPr>
              <w:t>0.0054</w:t>
            </w:r>
          </w:p>
        </w:tc>
        <w:tc>
          <w:tcPr>
            <w:tcW w:type="dxa" w:w="1872"/>
          </w:tcPr>
          <w:p>
            <w:r>
              <w:rPr>
                <w:sz w:val="20"/>
              </w:rPr>
            </w:r>
            <w:r>
              <w:rPr>
                <w:rFonts w:ascii="Cambria Math" w:hAnsi="Cambria Math"/>
                <w:i/>
                <w:sz w:val="20"/>
              </w:rPr>
              <w:t>-0.061</w:t>
            </w:r>
          </w:p>
        </w:tc>
      </w:tr>
      <w:tr>
        <w:tc>
          <w:tcPr>
            <w:tcW w:type="dxa" w:w="1872"/>
          </w:tcPr>
          <w:p>
            <w:r>
              <w:rPr>
                <w:sz w:val="20"/>
              </w:rPr>
            </w:r>
            <w:r>
              <w:rPr>
                <w:sz w:val="20"/>
              </w:rPr>
              <w:t>DOE_08</w:t>
            </w:r>
          </w:p>
        </w:tc>
        <w:tc>
          <w:tcPr>
            <w:tcW w:type="dxa" w:w="1872"/>
          </w:tcPr>
          <w:p>
            <w:r>
              <w:rPr>
                <w:sz w:val="20"/>
              </w:rPr>
            </w:r>
            <w:r>
              <w:rPr>
                <w:sz w:val="20"/>
              </w:rPr>
              <w:t>50</w:t>
            </w:r>
          </w:p>
        </w:tc>
        <w:tc>
          <w:tcPr>
            <w:tcW w:type="dxa" w:w="1872"/>
          </w:tcPr>
          <w:p>
            <w:r>
              <w:rPr>
                <w:sz w:val="20"/>
              </w:rPr>
            </w:r>
            <w:r>
              <w:rPr>
                <w:sz w:val="20"/>
              </w:rPr>
              <w:t>0.185</w:t>
            </w:r>
          </w:p>
        </w:tc>
        <w:tc>
          <w:tcPr>
            <w:tcW w:type="dxa" w:w="1872"/>
          </w:tcPr>
          <w:p>
            <w:r>
              <w:rPr>
                <w:sz w:val="20"/>
              </w:rPr>
            </w:r>
            <w:r>
              <w:rPr>
                <w:sz w:val="20"/>
              </w:rPr>
              <w:t>0.0043</w:t>
            </w:r>
          </w:p>
        </w:tc>
        <w:tc>
          <w:tcPr>
            <w:tcW w:type="dxa" w:w="1872"/>
          </w:tcPr>
          <w:p>
            <w:r>
              <w:rPr>
                <w:sz w:val="20"/>
              </w:rPr>
            </w:r>
            <w:r>
              <w:rPr>
                <w:rFonts w:ascii="Cambria Math" w:hAnsi="Cambria Math"/>
                <w:i/>
                <w:sz w:val="20"/>
              </w:rPr>
              <w:t>-0.073</w:t>
            </w:r>
          </w:p>
        </w:tc>
      </w:tr>
      <w:tr>
        <w:tc>
          <w:tcPr>
            <w:tcW w:type="dxa" w:w="1872"/>
          </w:tcPr>
          <w:p>
            <w:r>
              <w:rPr>
                <w:sz w:val="20"/>
              </w:rPr>
            </w:r>
            <w:r>
              <w:rPr>
                <w:sz w:val="20"/>
              </w:rPr>
              <w:t>DOE_18</w:t>
            </w:r>
          </w:p>
        </w:tc>
        <w:tc>
          <w:tcPr>
            <w:tcW w:type="dxa" w:w="1872"/>
          </w:tcPr>
          <w:p>
            <w:r>
              <w:rPr>
                <w:sz w:val="20"/>
              </w:rPr>
            </w:r>
            <w:r>
              <w:rPr>
                <w:sz w:val="20"/>
              </w:rPr>
              <w:t>50</w:t>
            </w:r>
          </w:p>
        </w:tc>
        <w:tc>
          <w:tcPr>
            <w:tcW w:type="dxa" w:w="1872"/>
          </w:tcPr>
          <w:p>
            <w:r>
              <w:rPr>
                <w:sz w:val="20"/>
              </w:rPr>
            </w:r>
            <w:r>
              <w:rPr>
                <w:sz w:val="20"/>
              </w:rPr>
              <w:t>0.121</w:t>
            </w:r>
          </w:p>
        </w:tc>
        <w:tc>
          <w:tcPr>
            <w:tcW w:type="dxa" w:w="1872"/>
          </w:tcPr>
          <w:p>
            <w:r>
              <w:rPr>
                <w:sz w:val="20"/>
              </w:rPr>
            </w:r>
            <w:r>
              <w:rPr>
                <w:sz w:val="20"/>
              </w:rPr>
              <w:t>0.0049</w:t>
            </w:r>
          </w:p>
        </w:tc>
        <w:tc>
          <w:tcPr>
            <w:tcW w:type="dxa" w:w="1872"/>
          </w:tcPr>
          <w:p>
            <w:r>
              <w:rPr>
                <w:sz w:val="20"/>
              </w:rPr>
            </w:r>
            <w:r>
              <w:rPr>
                <w:rFonts w:ascii="Cambria Math" w:hAnsi="Cambria Math"/>
                <w:i/>
                <w:sz w:val="20"/>
              </w:rPr>
              <w:t>-0.141</w:t>
            </w:r>
          </w:p>
        </w:tc>
      </w:tr>
      <w:tr>
        <w:tc>
          <w:tcPr>
            <w:tcW w:type="dxa" w:w="1872"/>
          </w:tcPr>
          <w:p>
            <w:r>
              <w:rPr>
                <w:sz w:val="20"/>
              </w:rPr>
            </w:r>
            <w:r>
              <w:rPr>
                <w:sz w:val="20"/>
              </w:rPr>
              <w:t>DOE_12</w:t>
            </w:r>
          </w:p>
        </w:tc>
        <w:tc>
          <w:tcPr>
            <w:tcW w:type="dxa" w:w="1872"/>
          </w:tcPr>
          <w:p>
            <w:r>
              <w:rPr>
                <w:sz w:val="20"/>
              </w:rPr>
            </w:r>
            <w:r>
              <w:rPr>
                <w:sz w:val="20"/>
              </w:rPr>
              <w:t>50</w:t>
            </w:r>
          </w:p>
        </w:tc>
        <w:tc>
          <w:tcPr>
            <w:tcW w:type="dxa" w:w="1872"/>
          </w:tcPr>
          <w:p>
            <w:r>
              <w:rPr>
                <w:sz w:val="20"/>
              </w:rPr>
            </w:r>
            <w:r>
              <w:rPr>
                <w:sz w:val="20"/>
              </w:rPr>
              <w:t>0.122</w:t>
            </w:r>
          </w:p>
        </w:tc>
        <w:tc>
          <w:tcPr>
            <w:tcW w:type="dxa" w:w="1872"/>
          </w:tcPr>
          <w:p>
            <w:r>
              <w:rPr>
                <w:sz w:val="20"/>
              </w:rPr>
            </w:r>
            <w:r>
              <w:rPr>
                <w:sz w:val="20"/>
              </w:rPr>
              <w:t>0.013</w:t>
            </w:r>
          </w:p>
        </w:tc>
        <w:tc>
          <w:tcPr>
            <w:tcW w:type="dxa" w:w="1872"/>
          </w:tcPr>
          <w:p>
            <w:r>
              <w:rPr>
                <w:sz w:val="20"/>
              </w:rPr>
            </w:r>
            <w:r>
              <w:rPr>
                <w:rFonts w:ascii="Cambria Math" w:hAnsi="Cambria Math"/>
                <w:i/>
                <w:sz w:val="20"/>
              </w:rPr>
              <w:t>-0.035</w:t>
            </w:r>
          </w:p>
        </w:tc>
      </w:tr>
    </w:tbl>
    <w:p/>
    <w:p>
      <w:r>
        <w:t xml:space="preserve">The fitted effective viscosity </w:t>
      </w:r>
      <w:r>
        <w:rPr>
          <w:rFonts w:ascii="Cambria Math" w:hAnsi="Cambria Math"/>
          <w:i/>
        </w:rPr>
        <w:t>\eta_{\text{eff}} \sim 10^{-3}</w:t>
      </w:r>
      <w:r>
        <w:t>--</w:t>
      </w:r>
      <w:r>
        <w:rPr>
          <w:rFonts w:ascii="Cambria Math" w:hAnsi="Cambria Math"/>
          <w:i/>
        </w:rPr>
        <w:t>10^{-2}</w:t>
      </w:r>
      <w:r>
        <w:t xml:space="preserve"> nN</w:t>
      </w:r>
      <w:r>
        <w:rPr>
          <w:rFonts w:ascii="Cambria Math" w:hAnsi="Cambria Math"/>
          <w:i/>
        </w:rPr>
        <w:t>\cdot</w:t>
      </w:r>
      <w:r>
        <w:t>h/</w:t>
      </w:r>
      <w:r>
        <w:rPr>
          <w:rFonts w:ascii="Cambria Math" w:hAnsi="Cambria Math"/>
          <w:i/>
        </w:rPr>
        <w:t>\mu</w:t>
      </w:r>
      <w:r>
        <w:t>m</w:t>
      </w:r>
      <w:r>
        <w:rPr>
          <w:rFonts w:ascii="Cambria Math" w:hAnsi="Cambria Math"/>
          <w:i/>
        </w:rPr>
        <w:t>^2</w:t>
      </w:r>
      <w:r>
        <w:t xml:space="preserve"> is consistent with the overdamped granular assembly at low volume fractions (</w:t>
      </w:r>
      <w:r>
        <w:rPr>
          <w:rFonts w:ascii="Cambria Math" w:hAnsi="Cambria Math"/>
          <w:i/>
        </w:rPr>
        <w:t>\phi_s/\phi_J \approx 0.92</w:t>
      </w:r>
      <w:r>
        <w:t xml:space="preserve">). Runs with </w:t>
      </w:r>
      <w:r>
        <w:rPr>
          <w:rFonts w:ascii="Cambria Math" w:hAnsi="Cambria Math"/>
          <w:i/>
        </w:rPr>
        <w:t>E = 2</w:t>
      </w:r>
      <w:r>
        <w:t xml:space="preserve"> kPa produced </w:t>
      </w:r>
      <w:r>
        <w:rPr>
          <w:rFonts w:ascii="Cambria Math" w:hAnsi="Cambria Math"/>
          <w:i/>
        </w:rPr>
        <w:t>\beta &lt; 0.2</w:t>
      </w:r>
      <w:r>
        <w:t>, yielding weaker cell traction and minimal net compaction</w:t>
      </w:r>
    </w:p>
    <w:p>
      <w:pPr>
        <w:spacing w:before="120" w:after="40"/>
        <w:jc w:val="center"/>
      </w:pPr>
      <w:r>
        <w:drawing>
          <wp:inline xmlns:a="http://schemas.openxmlformats.org/drawingml/2006/main" xmlns:pic="http://schemas.openxmlformats.org/drawingml/2006/picture">
            <wp:extent cx="5029200" cy="3106020"/>
            <wp:docPr id="1" name="Picture 1"/>
            <wp:cNvGraphicFramePr>
              <a:graphicFrameLocks noChangeAspect="1"/>
            </wp:cNvGraphicFramePr>
            <a:graphic>
              <a:graphicData uri="http://schemas.openxmlformats.org/drawingml/2006/picture">
                <pic:pic>
                  <pic:nvPicPr>
                    <pic:cNvPr id="0" name="compaction_fit.png"/>
                    <pic:cNvPicPr/>
                  </pic:nvPicPr>
                  <pic:blipFill>
                    <a:blip r:embed="rId9"/>
                    <a:stretch>
                      <a:fillRect/>
                    </a:stretch>
                  </pic:blipFill>
                  <pic:spPr>
                    <a:xfrm>
                      <a:off x="0" y="0"/>
                      <a:ext cx="5029200" cy="3106020"/>
                    </a:xfrm>
                    <a:prstGeom prst="rect"/>
                  </pic:spPr>
                </pic:pic>
              </a:graphicData>
            </a:graphic>
          </wp:inline>
        </w:drawing>
      </w:r>
    </w:p>
    <w:p>
      <w:pPr>
        <w:spacing w:after="200"/>
        <w:jc w:val="center"/>
      </w:pPr>
      <w:r>
        <w:rPr>
          <w:i/>
          <w:color w:val="505050"/>
          <w:sz w:val="18"/>
        </w:rPr>
        <w:t>Figure 1. DOE_10 compaction fit (E = 50.0 kPa, R² = 0.630).</w:t>
      </w:r>
    </w:p>
    <w:p>
      <w:pPr>
        <w:spacing w:before="120" w:after="40"/>
        <w:jc w:val="center"/>
      </w:pPr>
      <w:r>
        <w:drawing>
          <wp:inline xmlns:a="http://schemas.openxmlformats.org/drawingml/2006/main" xmlns:pic="http://schemas.openxmlformats.org/drawingml/2006/picture">
            <wp:extent cx="5029200" cy="3140561"/>
            <wp:docPr id="2" name="Picture 2"/>
            <wp:cNvGraphicFramePr>
              <a:graphicFrameLocks noChangeAspect="1"/>
            </wp:cNvGraphicFramePr>
            <a:graphic>
              <a:graphicData uri="http://schemas.openxmlformats.org/drawingml/2006/picture">
                <pic:pic>
                  <pic:nvPicPr>
                    <pic:cNvPr id="0" name="compaction_fit.png"/>
                    <pic:cNvPicPr/>
                  </pic:nvPicPr>
                  <pic:blipFill>
                    <a:blip r:embed="rId10"/>
                    <a:stretch>
                      <a:fillRect/>
                    </a:stretch>
                  </pic:blipFill>
                  <pic:spPr>
                    <a:xfrm>
                      <a:off x="0" y="0"/>
                      <a:ext cx="5029200" cy="3140561"/>
                    </a:xfrm>
                    <a:prstGeom prst="rect"/>
                  </pic:spPr>
                </pic:pic>
              </a:graphicData>
            </a:graphic>
          </wp:inline>
        </w:drawing>
      </w:r>
    </w:p>
    <w:p>
      <w:pPr>
        <w:spacing w:after="200"/>
        <w:jc w:val="center"/>
      </w:pPr>
      <w:r>
        <w:rPr>
          <w:i/>
          <w:color w:val="505050"/>
          <w:sz w:val="18"/>
        </w:rPr>
        <w:t>Figure 2. DOE_22 compaction fit (E = 50.0 kPa, R² = 0.200).</w:t>
      </w:r>
    </w:p>
    <w:p>
      <w:pPr>
        <w:spacing w:before="120" w:after="40"/>
        <w:jc w:val="center"/>
      </w:pPr>
      <w:r>
        <w:drawing>
          <wp:inline xmlns:a="http://schemas.openxmlformats.org/drawingml/2006/main" xmlns:pic="http://schemas.openxmlformats.org/drawingml/2006/picture">
            <wp:extent cx="5029200" cy="3106020"/>
            <wp:docPr id="3" name="Picture 3"/>
            <wp:cNvGraphicFramePr>
              <a:graphicFrameLocks noChangeAspect="1"/>
            </wp:cNvGraphicFramePr>
            <a:graphic>
              <a:graphicData uri="http://schemas.openxmlformats.org/drawingml/2006/picture">
                <pic:pic>
                  <pic:nvPicPr>
                    <pic:cNvPr id="0" name="compaction_fit.png"/>
                    <pic:cNvPicPr/>
                  </pic:nvPicPr>
                  <pic:blipFill>
                    <a:blip r:embed="rId11"/>
                    <a:stretch>
                      <a:fillRect/>
                    </a:stretch>
                  </pic:blipFill>
                  <pic:spPr>
                    <a:xfrm>
                      <a:off x="0" y="0"/>
                      <a:ext cx="5029200" cy="3106020"/>
                    </a:xfrm>
                    <a:prstGeom prst="rect"/>
                  </pic:spPr>
                </pic:pic>
              </a:graphicData>
            </a:graphic>
          </wp:inline>
        </w:drawing>
      </w:r>
    </w:p>
    <w:p>
      <w:pPr>
        <w:spacing w:after="200"/>
        <w:jc w:val="center"/>
      </w:pPr>
      <w:r>
        <w:rPr>
          <w:i/>
          <w:color w:val="505050"/>
          <w:sz w:val="18"/>
        </w:rPr>
        <w:t>Figure 3. DOE_08 compaction fit (E = 50.0 kPa, R² = 0.185).</w:t>
      </w:r>
    </w:p>
    <w:p>
      <w:pPr>
        <w:spacing w:before="120" w:after="40"/>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compaction_fit.png"/>
                    <pic:cNvPicPr/>
                  </pic:nvPicPr>
                  <pic:blipFill>
                    <a:blip r:embed="rId12"/>
                    <a:stretch>
                      <a:fillRect/>
                    </a:stretch>
                  </pic:blipFill>
                  <pic:spPr>
                    <a:xfrm>
                      <a:off x="0" y="0"/>
                      <a:ext cx="5029200" cy="3143250"/>
                    </a:xfrm>
                    <a:prstGeom prst="rect"/>
                  </pic:spPr>
                </pic:pic>
              </a:graphicData>
            </a:graphic>
          </wp:inline>
        </w:drawing>
      </w:r>
    </w:p>
    <w:p>
      <w:pPr>
        <w:spacing w:after="200"/>
        <w:jc w:val="center"/>
      </w:pPr>
      <w:r>
        <w:rPr>
          <w:i/>
          <w:color w:val="505050"/>
          <w:sz w:val="18"/>
        </w:rPr>
        <w:t>Figure 4. DOE_12 compaction fit (E = 50.0 kPa, R² = 0.122).</w:t>
      </w:r>
    </w:p>
    <w:p>
      <w:pPr>
        <w:spacing w:before="120" w:after="40"/>
        <w:jc w:val="center"/>
      </w:pPr>
      <w:r>
        <w:drawing>
          <wp:inline xmlns:a="http://schemas.openxmlformats.org/drawingml/2006/main" xmlns:pic="http://schemas.openxmlformats.org/drawingml/2006/picture">
            <wp:extent cx="5029200" cy="3175879"/>
            <wp:docPr id="5" name="Picture 5"/>
            <wp:cNvGraphicFramePr>
              <a:graphicFrameLocks noChangeAspect="1"/>
            </wp:cNvGraphicFramePr>
            <a:graphic>
              <a:graphicData uri="http://schemas.openxmlformats.org/drawingml/2006/picture">
                <pic:pic>
                  <pic:nvPicPr>
                    <pic:cNvPr id="0" name="compaction_fit.png"/>
                    <pic:cNvPicPr/>
                  </pic:nvPicPr>
                  <pic:blipFill>
                    <a:blip r:embed="rId13"/>
                    <a:stretch>
                      <a:fillRect/>
                    </a:stretch>
                  </pic:blipFill>
                  <pic:spPr>
                    <a:xfrm>
                      <a:off x="0" y="0"/>
                      <a:ext cx="5029200" cy="3175879"/>
                    </a:xfrm>
                    <a:prstGeom prst="rect"/>
                  </pic:spPr>
                </pic:pic>
              </a:graphicData>
            </a:graphic>
          </wp:inline>
        </w:drawing>
      </w:r>
    </w:p>
    <w:p>
      <w:pPr>
        <w:spacing w:after="200"/>
        <w:jc w:val="center"/>
      </w:pPr>
      <w:r>
        <w:rPr>
          <w:i/>
          <w:color w:val="505050"/>
          <w:sz w:val="18"/>
        </w:rPr>
        <w:t>Figure 5. DOE_18 compaction fit (E = 50.0 kPa, R² = 0.121).</w:t>
      </w:r>
    </w:p>
    <w:p>
      <w:pPr>
        <w:spacing w:before="120" w:after="40"/>
        <w:jc w:val="center"/>
      </w:pPr>
      <w:r>
        <w:drawing>
          <wp:inline xmlns:a="http://schemas.openxmlformats.org/drawingml/2006/main" xmlns:pic="http://schemas.openxmlformats.org/drawingml/2006/picture">
            <wp:extent cx="5029200" cy="3110275"/>
            <wp:docPr id="6" name="Picture 6"/>
            <wp:cNvGraphicFramePr>
              <a:graphicFrameLocks noChangeAspect="1"/>
            </wp:cNvGraphicFramePr>
            <a:graphic>
              <a:graphicData uri="http://schemas.openxmlformats.org/drawingml/2006/picture">
                <pic:pic>
                  <pic:nvPicPr>
                    <pic:cNvPr id="0" name="stress_balance.png"/>
                    <pic:cNvPicPr/>
                  </pic:nvPicPr>
                  <pic:blipFill>
                    <a:blip r:embed="rId14"/>
                    <a:stretch>
                      <a:fillRect/>
                    </a:stretch>
                  </pic:blipFill>
                  <pic:spPr>
                    <a:xfrm>
                      <a:off x="0" y="0"/>
                      <a:ext cx="5029200" cy="3110275"/>
                    </a:xfrm>
                    <a:prstGeom prst="rect"/>
                  </pic:spPr>
                </pic:pic>
              </a:graphicData>
            </a:graphic>
          </wp:inline>
        </w:drawing>
      </w:r>
    </w:p>
    <w:p>
      <w:pPr>
        <w:spacing w:after="200"/>
        <w:jc w:val="center"/>
      </w:pPr>
      <w:r>
        <w:rPr>
          <w:i/>
          <w:color w:val="505050"/>
          <w:sz w:val="18"/>
        </w:rPr>
        <w:t>Figure 6. DOE_10 stress balance -- cell stress vs. resistance.</w:t>
      </w:r>
    </w:p>
    <w:p>
      <w:pPr>
        <w:spacing w:before="120" w:after="40"/>
        <w:jc w:val="center"/>
      </w:pPr>
      <w:r>
        <w:drawing>
          <wp:inline xmlns:a="http://schemas.openxmlformats.org/drawingml/2006/main" xmlns:pic="http://schemas.openxmlformats.org/drawingml/2006/picture">
            <wp:extent cx="5029200" cy="2064203"/>
            <wp:docPr id="7" name="Picture 7"/>
            <wp:cNvGraphicFramePr>
              <a:graphicFrameLocks noChangeAspect="1"/>
            </wp:cNvGraphicFramePr>
            <a:graphic>
              <a:graphicData uri="http://schemas.openxmlformats.org/drawingml/2006/picture">
                <pic:pic>
                  <pic:nvPicPr>
                    <pic:cNvPr id="0" name="permeability_evolution.png"/>
                    <pic:cNvPicPr/>
                  </pic:nvPicPr>
                  <pic:blipFill>
                    <a:blip r:embed="rId15"/>
                    <a:stretch>
                      <a:fillRect/>
                    </a:stretch>
                  </pic:blipFill>
                  <pic:spPr>
                    <a:xfrm>
                      <a:off x="0" y="0"/>
                      <a:ext cx="5029200" cy="2064203"/>
                    </a:xfrm>
                    <a:prstGeom prst="rect"/>
                  </pic:spPr>
                </pic:pic>
              </a:graphicData>
            </a:graphic>
          </wp:inline>
        </w:drawing>
      </w:r>
    </w:p>
    <w:p>
      <w:pPr>
        <w:spacing w:after="200"/>
        <w:jc w:val="center"/>
      </w:pPr>
      <w:r>
        <w:rPr>
          <w:i/>
          <w:color w:val="505050"/>
          <w:sz w:val="18"/>
        </w:rPr>
        <w:t>Figure 7. DOE_10 Kozeny-Carman permeability evolution.</w:t>
      </w:r>
    </w:p>
    <w:p>
      <w:pPr>
        <w:spacing w:before="120" w:after="40"/>
        <w:jc w:val="center"/>
      </w:pPr>
      <w:r>
        <w:drawing>
          <wp:inline xmlns:a="http://schemas.openxmlformats.org/drawingml/2006/main" xmlns:pic="http://schemas.openxmlformats.org/drawingml/2006/picture">
            <wp:extent cx="5029200" cy="3105021"/>
            <wp:docPr id="8" name="Picture 8"/>
            <wp:cNvGraphicFramePr>
              <a:graphicFrameLocks noChangeAspect="1"/>
            </wp:cNvGraphicFramePr>
            <a:graphic>
              <a:graphicData uri="http://schemas.openxmlformats.org/drawingml/2006/picture">
                <pic:pic>
                  <pic:nvPicPr>
                    <pic:cNvPr id="0" name="phase_evolution.png"/>
                    <pic:cNvPicPr/>
                  </pic:nvPicPr>
                  <pic:blipFill>
                    <a:blip r:embed="rId16"/>
                    <a:stretch>
                      <a:fillRect/>
                    </a:stretch>
                  </pic:blipFill>
                  <pic:spPr>
                    <a:xfrm>
                      <a:off x="0" y="0"/>
                      <a:ext cx="5029200" cy="3105021"/>
                    </a:xfrm>
                    <a:prstGeom prst="rect"/>
                  </pic:spPr>
                </pic:pic>
              </a:graphicData>
            </a:graphic>
          </wp:inline>
        </w:drawing>
      </w:r>
    </w:p>
    <w:p>
      <w:pPr>
        <w:spacing w:after="200"/>
        <w:jc w:val="center"/>
      </w:pPr>
      <w:r>
        <w:rPr>
          <w:i/>
          <w:color w:val="505050"/>
          <w:sz w:val="18"/>
        </w:rPr>
        <w:t>Figure 8. DOE_10 three-phase volume fraction evolution.</w:t>
      </w:r>
    </w:p>
    <w:p>
      <w:pPr>
        <w:pStyle w:val="Heading3"/>
      </w:pPr>
      <w:r>
        <w:t>10.2 Coarse-Grained Continuum Quantities</w:t>
      </w:r>
    </w:p>
    <w:p>
      <w:r>
        <w:t>The Love--Weber stress tensor (Section 3.1), strain-rate tensor (Section 3.2), and effective viscosity (Section 3.3) were extracted from all 22 runs with snapshot data. Key findings: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r>
            <w:r>
              <w:rPr>
                <w:b/>
                <w:sz w:val="20"/>
              </w:rPr>
              <w:t xml:space="preserve">- </w:t>
            </w:r>
            <w:r>
              <w:rPr>
                <w:b/>
                <w:sz w:val="20"/>
              </w:rPr>
              <w:t>Contact pressure</w:t>
            </w:r>
            <w:r>
              <w:rPr>
                <w:b/>
                <w:sz w:val="20"/>
              </w:rPr>
              <w:t xml:space="preserve"> ranges from $</w:t>
            </w:r>
          </w:p>
        </w:tc>
        <w:tc>
          <w:tcPr>
            <w:tcW w:type="dxa" w:w="3120"/>
          </w:tcPr>
          <w:p>
            <w:r>
              <w:rPr>
                <w:b/>
                <w:sz w:val="20"/>
              </w:rPr>
            </w:r>
            <w:r>
              <w:rPr>
                <w:b/>
                <w:sz w:val="20"/>
              </w:rPr>
              <w:t>P</w:t>
            </w:r>
          </w:p>
        </w:tc>
        <w:tc>
          <w:tcPr>
            <w:tcW w:type="dxa" w:w="3120"/>
          </w:tcPr>
          <w:p>
            <w:r>
              <w:rPr>
                <w:b/>
                <w:sz w:val="20"/>
              </w:rPr>
            </w:r>
            <w:r>
              <w:rPr>
                <w:b/>
                <w:sz w:val="20"/>
              </w:rPr>
              <w:t>\sim 0.01</w:t>
            </w:r>
            <w:r>
              <w:rPr>
                <w:rFonts w:ascii="Cambria Math" w:hAnsi="Cambria Math"/>
                <w:b/>
                <w:i/>
                <w:sz w:val="20"/>
              </w:rPr>
              <w:t xml:space="preserve"> kPa (</w:t>
            </w:r>
            <w:r>
              <w:rPr>
                <w:b/>
                <w:sz w:val="20"/>
              </w:rPr>
              <w:t>E = 2$ kPa runs) to</w:t>
            </w:r>
          </w:p>
        </w:tc>
      </w:tr>
      <w:tr>
        <w:tc>
          <w:tcPr>
            <w:tcW w:type="dxa" w:w="3120"/>
          </w:tcPr>
          <w:p>
            <w:r>
              <w:rPr>
                <w:sz w:val="20"/>
              </w:rPr>
            </w:r>
            <w:r>
              <w:rPr>
                <w:rFonts w:ascii="Cambria Math" w:hAnsi="Cambria Math"/>
                <w:i/>
                <w:sz w:val="20"/>
              </w:rPr>
            </w:r>
          </w:p>
        </w:tc>
        <w:tc>
          <w:tcPr>
            <w:tcW w:type="dxa" w:w="3120"/>
          </w:tcPr>
          <w:p>
            <w:r>
              <w:rPr>
                <w:sz w:val="20"/>
              </w:rPr>
            </w:r>
            <w:r>
              <w:rPr>
                <w:sz w:val="20"/>
              </w:rPr>
              <w:t>P</w:t>
            </w:r>
          </w:p>
        </w:tc>
        <w:tc>
          <w:tcPr>
            <w:tcW w:type="dxa" w:w="3120"/>
          </w:tcPr>
          <w:p>
            <w:r>
              <w:rPr>
                <w:sz w:val="20"/>
              </w:rPr>
            </w:r>
            <w:r>
              <w:rPr>
                <w:sz w:val="20"/>
              </w:rPr>
              <w:t>\sim 2</w:t>
            </w:r>
            <w:r>
              <w:rPr>
                <w:rFonts w:ascii="Cambria Math" w:hAnsi="Cambria Math"/>
                <w:i/>
                <w:sz w:val="20"/>
              </w:rPr>
              <w:t xml:space="preserve"> kPa (</w:t>
            </w:r>
            <w:r>
              <w:rPr>
                <w:sz w:val="20"/>
              </w:rPr>
              <w:t>E = 50$ kPa runs), scaling approximately linearly with modulus.</w:t>
            </w:r>
          </w:p>
        </w:tc>
      </w:tr>
    </w:tbl>
    <w:p/>
    <w:p>
      <w:pPr>
        <w:spacing w:before="120" w:after="40"/>
        <w:jc w:val="center"/>
      </w:pPr>
      <w:r>
        <w:drawing>
          <wp:inline xmlns:a="http://schemas.openxmlformats.org/drawingml/2006/main" xmlns:pic="http://schemas.openxmlformats.org/drawingml/2006/picture">
            <wp:extent cx="5029200" cy="4036046"/>
            <wp:docPr id="9" name="Picture 9"/>
            <wp:cNvGraphicFramePr>
              <a:graphicFrameLocks noChangeAspect="1"/>
            </wp:cNvGraphicFramePr>
            <a:graphic>
              <a:graphicData uri="http://schemas.openxmlformats.org/drawingml/2006/picture">
                <pic:pic>
                  <pic:nvPicPr>
                    <pic:cNvPr id="0" name="beta_collapse.png"/>
                    <pic:cNvPicPr/>
                  </pic:nvPicPr>
                  <pic:blipFill>
                    <a:blip r:embed="rId17"/>
                    <a:stretch>
                      <a:fillRect/>
                    </a:stretch>
                  </pic:blipFill>
                  <pic:spPr>
                    <a:xfrm>
                      <a:off x="0" y="0"/>
                      <a:ext cx="5029200" cy="4036046"/>
                    </a:xfrm>
                    <a:prstGeom prst="rect"/>
                  </pic:spPr>
                </pic:pic>
              </a:graphicData>
            </a:graphic>
          </wp:inline>
        </w:drawing>
      </w:r>
    </w:p>
    <w:p>
      <w:pPr>
        <w:spacing w:after="200"/>
        <w:jc w:val="center"/>
      </w:pPr>
      <w:r>
        <w:rPr>
          <w:i/>
          <w:color w:val="505050"/>
          <w:sz w:val="18"/>
        </w:rPr>
        <w:t>Figure 9. Data collapse by motor-clutch engagement ratio β.</w:t>
      </w:r>
    </w:p>
    <w:p>
      <w:pPr>
        <w:spacing w:before="120" w:after="40"/>
        <w:jc w:val="center"/>
      </w:pPr>
      <w:r>
        <w:drawing>
          <wp:inline xmlns:a="http://schemas.openxmlformats.org/drawingml/2006/main" xmlns:pic="http://schemas.openxmlformats.org/drawingml/2006/picture">
            <wp:extent cx="5029200" cy="2013489"/>
            <wp:docPr id="10" name="Picture 10"/>
            <wp:cNvGraphicFramePr>
              <a:graphicFrameLocks noChangeAspect="1"/>
            </wp:cNvGraphicFramePr>
            <a:graphic>
              <a:graphicData uri="http://schemas.openxmlformats.org/drawingml/2006/picture">
                <pic:pic>
                  <pic:nvPicPr>
                    <pic:cNvPr id="0" name="Ca_scaling.png"/>
                    <pic:cNvPicPr/>
                  </pic:nvPicPr>
                  <pic:blipFill>
                    <a:blip r:embed="rId18"/>
                    <a:stretch>
                      <a:fillRect/>
                    </a:stretch>
                  </pic:blipFill>
                  <pic:spPr>
                    <a:xfrm>
                      <a:off x="0" y="0"/>
                      <a:ext cx="5029200" cy="2013489"/>
                    </a:xfrm>
                    <a:prstGeom prst="rect"/>
                  </pic:spPr>
                </pic:pic>
              </a:graphicData>
            </a:graphic>
          </wp:inline>
        </w:drawing>
      </w:r>
    </w:p>
    <w:p>
      <w:pPr>
        <w:spacing w:after="200"/>
        <w:jc w:val="center"/>
      </w:pPr>
      <w:r>
        <w:rPr>
          <w:i/>
          <w:color w:val="505050"/>
          <w:sz w:val="18"/>
        </w:rPr>
        <w:t>Figure 10. Compaction scaling with cellular capillary number Ca.</w:t>
      </w:r>
    </w:p>
    <w:p>
      <w:pPr>
        <w:spacing w:before="120" w:after="40"/>
        <w:jc w:val="center"/>
      </w:pPr>
      <w:r>
        <w:drawing>
          <wp:inline xmlns:a="http://schemas.openxmlformats.org/drawingml/2006/main" xmlns:pic="http://schemas.openxmlformats.org/drawingml/2006/picture">
            <wp:extent cx="5029200" cy="3897417"/>
            <wp:docPr id="11" name="Picture 11"/>
            <wp:cNvGraphicFramePr>
              <a:graphicFrameLocks noChangeAspect="1"/>
            </wp:cNvGraphicFramePr>
            <a:graphic>
              <a:graphicData uri="http://schemas.openxmlformats.org/drawingml/2006/picture">
                <pic:pic>
                  <pic:nvPicPr>
                    <pic:cNvPr id="0" name="jamming_diagram.png"/>
                    <pic:cNvPicPr/>
                  </pic:nvPicPr>
                  <pic:blipFill>
                    <a:blip r:embed="rId19"/>
                    <a:stretch>
                      <a:fillRect/>
                    </a:stretch>
                  </pic:blipFill>
                  <pic:spPr>
                    <a:xfrm>
                      <a:off x="0" y="0"/>
                      <a:ext cx="5029200" cy="3897417"/>
                    </a:xfrm>
                    <a:prstGeom prst="rect"/>
                  </pic:spPr>
                </pic:pic>
              </a:graphicData>
            </a:graphic>
          </wp:inline>
        </w:drawing>
      </w:r>
    </w:p>
    <w:p>
      <w:pPr>
        <w:spacing w:after="200"/>
        <w:jc w:val="center"/>
      </w:pPr>
      <w:r>
        <w:rPr>
          <w:i/>
          <w:color w:val="505050"/>
          <w:sz w:val="18"/>
        </w:rPr>
        <w:t>Figure 11. Jamming diagram: compaction vs. φ_solid/φ_J.</w:t>
      </w:r>
    </w:p>
    <w:p>
      <w:pPr>
        <w:spacing w:before="120" w:after="40"/>
        <w:jc w:val="center"/>
      </w:pPr>
      <w:r>
        <w:drawing>
          <wp:inline xmlns:a="http://schemas.openxmlformats.org/drawingml/2006/main" xmlns:pic="http://schemas.openxmlformats.org/drawingml/2006/picture">
            <wp:extent cx="5029200" cy="2018916"/>
            <wp:docPr id="12" name="Picture 12"/>
            <wp:cNvGraphicFramePr>
              <a:graphicFrameLocks noChangeAspect="1"/>
            </wp:cNvGraphicFramePr>
            <a:graphic>
              <a:graphicData uri="http://schemas.openxmlformats.org/drawingml/2006/picture">
                <pic:pic>
                  <pic:nvPicPr>
                    <pic:cNvPr id="0" name="composition_effects.png"/>
                    <pic:cNvPicPr/>
                  </pic:nvPicPr>
                  <pic:blipFill>
                    <a:blip r:embed="rId20"/>
                    <a:stretch>
                      <a:fillRect/>
                    </a:stretch>
                  </pic:blipFill>
                  <pic:spPr>
                    <a:xfrm>
                      <a:off x="0" y="0"/>
                      <a:ext cx="5029200" cy="2018916"/>
                    </a:xfrm>
                    <a:prstGeom prst="rect"/>
                  </pic:spPr>
                </pic:pic>
              </a:graphicData>
            </a:graphic>
          </wp:inline>
        </w:drawing>
      </w:r>
    </w:p>
    <w:p>
      <w:pPr>
        <w:spacing w:after="200"/>
        <w:jc w:val="center"/>
      </w:pPr>
      <w:r>
        <w:rPr>
          <w:i/>
          <w:color w:val="505050"/>
          <w:sz w:val="18"/>
        </w:rPr>
        <w:t>Figure 12. Effect of composition ratio on compaction.</w:t>
      </w:r>
    </w:p>
    <w:p>
      <w:pPr>
        <w:spacing w:before="120" w:after="40"/>
        <w:jc w:val="center"/>
      </w:pPr>
      <w:r>
        <w:drawing>
          <wp:inline xmlns:a="http://schemas.openxmlformats.org/drawingml/2006/main" xmlns:pic="http://schemas.openxmlformats.org/drawingml/2006/picture">
            <wp:extent cx="5029200" cy="5597392"/>
            <wp:docPr id="17" name="Picture 17"/>
            <wp:cNvGraphicFramePr>
              <a:graphicFrameLocks noChangeAspect="1"/>
            </wp:cNvGraphicFramePr>
            <a:graphic>
              <a:graphicData uri="http://schemas.openxmlformats.org/drawingml/2006/picture">
                <pic:pic>
                  <pic:nvPicPr>
                    <pic:cNvPr id="0" name="distance_heatmap.png"/>
                    <pic:cNvPicPr/>
                  </pic:nvPicPr>
                  <pic:blipFill>
                    <a:blip r:embed="rId25"/>
                    <a:stretch>
                      <a:fillRect/>
                    </a:stretch>
                  </pic:blipFill>
                  <pic:spPr>
                    <a:xfrm>
                      <a:off x="0" y="0"/>
                      <a:ext cx="5029200" cy="5597392"/>
                    </a:xfrm>
                    <a:prstGeom prst="rect"/>
                  </pic:spPr>
                </pic:pic>
              </a:graphicData>
            </a:graphic>
          </wp:inline>
        </w:drawing>
      </w:r>
    </w:p>
    <w:p>
      <w:pPr>
        <w:spacing w:after="200"/>
        <w:jc w:val="center"/>
      </w:pPr>
      <w:r>
        <w:rPr>
          <w:i/>
          <w:color w:val="505050"/>
          <w:sz w:val="18"/>
        </w:rPr>
        <w:t>Figure 17. Architectural distance heatmap: DOE runs vs. 7 organ targets.</w:t>
      </w:r>
    </w:p>
    <w:p>
      <w:pPr>
        <w:spacing w:before="120" w:after="40"/>
        <w:jc w:val="center"/>
      </w:pPr>
      <w:r>
        <w:drawing>
          <wp:inline xmlns:a="http://schemas.openxmlformats.org/drawingml/2006/main" xmlns:pic="http://schemas.openxmlformats.org/drawingml/2006/picture">
            <wp:extent cx="5029200" cy="4051026"/>
            <wp:docPr id="18" name="Picture 18"/>
            <wp:cNvGraphicFramePr>
              <a:graphicFrameLocks noChangeAspect="1"/>
            </wp:cNvGraphicFramePr>
            <a:graphic>
              <a:graphicData uri="http://schemas.openxmlformats.org/drawingml/2006/picture">
                <pic:pic>
                  <pic:nvPicPr>
                    <pic:cNvPr id="0" name="landscape_trabecular_bone.png"/>
                    <pic:cNvPicPr/>
                  </pic:nvPicPr>
                  <pic:blipFill>
                    <a:blip r:embed="rId26"/>
                    <a:stretch>
                      <a:fillRect/>
                    </a:stretch>
                  </pic:blipFill>
                  <pic:spPr>
                    <a:xfrm>
                      <a:off x="0" y="0"/>
                      <a:ext cx="5029200" cy="4051026"/>
                    </a:xfrm>
                    <a:prstGeom prst="rect"/>
                  </pic:spPr>
                </pic:pic>
              </a:graphicData>
            </a:graphic>
          </wp:inline>
        </w:drawing>
      </w:r>
    </w:p>
    <w:p>
      <w:pPr>
        <w:spacing w:after="200"/>
        <w:jc w:val="center"/>
      </w:pPr>
      <w:r>
        <w:rPr>
          <w:i/>
          <w:color w:val="505050"/>
          <w:sz w:val="18"/>
        </w:rPr>
        <w:t>Figure 18. Optimization landscape for trabecular bone target.</w:t>
      </w:r>
    </w:p>
    <w:p>
      <w:pPr>
        <w:spacing w:before="120" w:after="40"/>
        <w:jc w:val="center"/>
      </w:pPr>
      <w:r>
        <w:drawing>
          <wp:inline xmlns:a="http://schemas.openxmlformats.org/drawingml/2006/main" xmlns:pic="http://schemas.openxmlformats.org/drawingml/2006/picture">
            <wp:extent cx="5029200" cy="1299979"/>
            <wp:docPr id="13" name="Picture 13"/>
            <wp:cNvGraphicFramePr>
              <a:graphicFrameLocks noChangeAspect="1"/>
            </wp:cNvGraphicFramePr>
            <a:graphic>
              <a:graphicData uri="http://schemas.openxmlformats.org/drawingml/2006/picture">
                <pic:pic>
                  <pic:nvPicPr>
                    <pic:cNvPr id="0" name="factor_main_effects.png"/>
                    <pic:cNvPicPr/>
                  </pic:nvPicPr>
                  <pic:blipFill>
                    <a:blip r:embed="rId21"/>
                    <a:stretch>
                      <a:fillRect/>
                    </a:stretch>
                  </pic:blipFill>
                  <pic:spPr>
                    <a:xfrm>
                      <a:off x="0" y="0"/>
                      <a:ext cx="5029200" cy="1299979"/>
                    </a:xfrm>
                    <a:prstGeom prst="rect"/>
                  </pic:spPr>
                </pic:pic>
              </a:graphicData>
            </a:graphic>
          </wp:inline>
        </w:drawing>
      </w:r>
    </w:p>
    <w:p>
      <w:pPr>
        <w:spacing w:after="200"/>
        <w:jc w:val="center"/>
      </w:pPr>
      <w:r>
        <w:rPr>
          <w:i/>
          <w:color w:val="505050"/>
          <w:sz w:val="18"/>
        </w:rPr>
        <w:t>Figure 13. DOE main effects of 5 factors on Δφ_f.</w:t>
      </w:r>
    </w:p>
    <w:p>
      <w:pPr>
        <w:spacing w:before="120" w:after="40"/>
        <w:jc w:val="center"/>
      </w:pPr>
      <w:r>
        <w:drawing>
          <wp:inline xmlns:a="http://schemas.openxmlformats.org/drawingml/2006/main" xmlns:pic="http://schemas.openxmlformats.org/drawingml/2006/picture">
            <wp:extent cx="5029200" cy="5184780"/>
            <wp:docPr id="14" name="Picture 14"/>
            <wp:cNvGraphicFramePr>
              <a:graphicFrameLocks noChangeAspect="1"/>
            </wp:cNvGraphicFramePr>
            <a:graphic>
              <a:graphicData uri="http://schemas.openxmlformats.org/drawingml/2006/picture">
                <pic:pic>
                  <pic:nvPicPr>
                    <pic:cNvPr id="0" name="factor_interactions.png"/>
                    <pic:cNvPicPr/>
                  </pic:nvPicPr>
                  <pic:blipFill>
                    <a:blip r:embed="rId22"/>
                    <a:stretch>
                      <a:fillRect/>
                    </a:stretch>
                  </pic:blipFill>
                  <pic:spPr>
                    <a:xfrm>
                      <a:off x="0" y="0"/>
                      <a:ext cx="5029200" cy="5184780"/>
                    </a:xfrm>
                    <a:prstGeom prst="rect"/>
                  </pic:spPr>
                </pic:pic>
              </a:graphicData>
            </a:graphic>
          </wp:inline>
        </w:drawing>
      </w:r>
    </w:p>
    <w:p>
      <w:pPr>
        <w:spacing w:after="200"/>
        <w:jc w:val="center"/>
      </w:pPr>
      <w:r>
        <w:rPr>
          <w:i/>
          <w:color w:val="505050"/>
          <w:sz w:val="18"/>
        </w:rPr>
        <w:t>Figure 14. DOE factor interaction effects.</w:t>
      </w:r>
    </w:p>
    <w:p>
      <w:pPr>
        <w:spacing w:before="120" w:after="40"/>
        <w:jc w:val="center"/>
      </w:pPr>
      <w:r>
        <w:drawing>
          <wp:inline xmlns:a="http://schemas.openxmlformats.org/drawingml/2006/main" xmlns:pic="http://schemas.openxmlformats.org/drawingml/2006/picture">
            <wp:extent cx="5029200" cy="6224991"/>
            <wp:docPr id="15" name="Picture 15"/>
            <wp:cNvGraphicFramePr>
              <a:graphicFrameLocks noChangeAspect="1"/>
            </wp:cNvGraphicFramePr>
            <a:graphic>
              <a:graphicData uri="http://schemas.openxmlformats.org/drawingml/2006/picture">
                <pic:pic>
                  <pic:nvPicPr>
                    <pic:cNvPr id="0" name="dimensionless_dashboard.png"/>
                    <pic:cNvPicPr/>
                  </pic:nvPicPr>
                  <pic:blipFill>
                    <a:blip r:embed="rId23"/>
                    <a:stretch>
                      <a:fillRect/>
                    </a:stretch>
                  </pic:blipFill>
                  <pic:spPr>
                    <a:xfrm>
                      <a:off x="0" y="0"/>
                      <a:ext cx="5029200" cy="6224991"/>
                    </a:xfrm>
                    <a:prstGeom prst="rect"/>
                  </pic:spPr>
                </pic:pic>
              </a:graphicData>
            </a:graphic>
          </wp:inline>
        </w:drawing>
      </w:r>
    </w:p>
    <w:p>
      <w:pPr>
        <w:spacing w:after="200"/>
        <w:jc w:val="center"/>
      </w:pPr>
      <w:r>
        <w:rPr>
          <w:i/>
          <w:color w:val="505050"/>
          <w:sz w:val="18"/>
        </w:rPr>
        <w:t>Figure 15. Dimensionless analysis dashboard (all groups).</w:t>
      </w:r>
    </w:p>
    <w:p>
      <w:pPr>
        <w:spacing w:before="120" w:after="40"/>
        <w:jc w:val="center"/>
      </w:pPr>
      <w:r>
        <w:drawing>
          <wp:inline xmlns:a="http://schemas.openxmlformats.org/drawingml/2006/main" xmlns:pic="http://schemas.openxmlformats.org/drawingml/2006/picture">
            <wp:extent cx="5029200" cy="3993403"/>
            <wp:docPr id="16" name="Picture 16"/>
            <wp:cNvGraphicFramePr>
              <a:graphicFrameLocks noChangeAspect="1"/>
            </wp:cNvGraphicFramePr>
            <a:graphic>
              <a:graphicData uri="http://schemas.openxmlformats.org/drawingml/2006/picture">
                <pic:pic>
                  <pic:nvPicPr>
                    <pic:cNvPr id="0" name="phase_space.png"/>
                    <pic:cNvPicPr/>
                  </pic:nvPicPr>
                  <pic:blipFill>
                    <a:blip r:embed="rId24"/>
                    <a:stretch>
                      <a:fillRect/>
                    </a:stretch>
                  </pic:blipFill>
                  <pic:spPr>
                    <a:xfrm>
                      <a:off x="0" y="0"/>
                      <a:ext cx="5029200" cy="3993403"/>
                    </a:xfrm>
                    <a:prstGeom prst="rect"/>
                  </pic:spPr>
                </pic:pic>
              </a:graphicData>
            </a:graphic>
          </wp:inline>
        </w:drawing>
      </w:r>
    </w:p>
    <w:p>
      <w:pPr>
        <w:spacing w:after="200"/>
        <w:jc w:val="center"/>
      </w:pPr>
      <w:r>
        <w:rPr>
          <w:i/>
          <w:color w:val="505050"/>
          <w:sz w:val="18"/>
        </w:rPr>
        <w:t>Figure 16. Phase space trajectories across DOE.</w:t>
      </w:r>
    </w:p>
    <w:p>
      <w:pPr>
        <w:pStyle w:val="ListBullet"/>
      </w:pPr>
      <w:r>
        <w:rPr>
          <w:b/>
        </w:rPr>
        <w:t>Coordination number</w:t>
      </w:r>
      <w:r>
        <w:t xml:space="preserve"> at the final timepoint: </w:t>
      </w:r>
      <w:r>
        <w:rPr>
          <w:rFonts w:ascii="Cambria Math" w:hAnsi="Cambria Math"/>
          <w:i/>
        </w:rPr>
        <w:t>Z \in [0.13,\, 1.67]</w:t>
      </w:r>
      <w:r>
        <w:t>.</w:t>
      </w:r>
    </w:p>
    <w:p>
      <w:r>
        <w:t xml:space="preserve">High-adhesion, high-modulus runs (DOE_08, DOE_18) reach </w:t>
      </w:r>
      <w:r>
        <w:rPr>
          <w:rFonts w:ascii="Cambria Math" w:hAnsi="Cambria Math"/>
          <w:i/>
        </w:rPr>
        <w:t>Z &gt; 1.4</w:t>
      </w:r>
      <w:r>
        <w:t xml:space="preserve">, approaching the frictional jamming onset </w:t>
      </w:r>
      <w:r>
        <w:rPr>
          <w:rFonts w:ascii="Cambria Math" w:hAnsi="Cambria Math"/>
          <w:i/>
        </w:rPr>
        <w:t>Z_J \approx 4</w:t>
      </w:r>
      <w:r>
        <w:t xml:space="preserve"> from below.</w:t>
      </w:r>
    </w:p>
    <w:p>
      <w:pPr>
        <w:pStyle w:val="ListBullet"/>
      </w:pPr>
      <w:r>
        <w:t>Pressure relaxation is pronounced: initial contact stresses decay by 50--90\%</w:t>
      </w:r>
    </w:p>
    <w:p>
      <w:r>
        <w:t>over the simulation duration as the packing equilibrates under cell-driven forces.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Run</w:t>
            </w:r>
          </w:p>
        </w:tc>
        <w:tc>
          <w:tcPr>
            <w:tcW w:type="dxa" w:w="1872"/>
          </w:tcPr>
          <w:p>
            <w:r>
              <w:rPr>
                <w:b/>
                <w:sz w:val="20"/>
              </w:rPr>
            </w:r>
            <w:r>
              <w:rPr>
                <w:rFonts w:ascii="Cambria Math" w:hAnsi="Cambria Math"/>
                <w:b/>
                <w:i/>
                <w:sz w:val="20"/>
              </w:rPr>
              <w:t>P_0</w:t>
            </w:r>
            <w:r>
              <w:rPr>
                <w:b/>
                <w:sz w:val="20"/>
              </w:rPr>
              <w:t xml:space="preserve"> (kPa)</w:t>
            </w:r>
          </w:p>
        </w:tc>
        <w:tc>
          <w:tcPr>
            <w:tcW w:type="dxa" w:w="1872"/>
          </w:tcPr>
          <w:p>
            <w:r>
              <w:rPr>
                <w:b/>
                <w:sz w:val="20"/>
              </w:rPr>
            </w:r>
            <w:r>
              <w:rPr>
                <w:rFonts w:ascii="Cambria Math" w:hAnsi="Cambria Math"/>
                <w:b/>
                <w:i/>
                <w:sz w:val="20"/>
              </w:rPr>
              <w:t>P_f</w:t>
            </w:r>
            <w:r>
              <w:rPr>
                <w:b/>
                <w:sz w:val="20"/>
              </w:rPr>
              <w:t xml:space="preserve"> (kPa)</w:t>
            </w:r>
          </w:p>
        </w:tc>
        <w:tc>
          <w:tcPr>
            <w:tcW w:type="dxa" w:w="1872"/>
          </w:tcPr>
          <w:p>
            <w:r>
              <w:rPr>
                <w:b/>
                <w:sz w:val="20"/>
              </w:rPr>
            </w:r>
            <w:r>
              <w:rPr>
                <w:rFonts w:ascii="Cambria Math" w:hAnsi="Cambria Math"/>
                <w:b/>
                <w:i/>
                <w:sz w:val="20"/>
              </w:rPr>
              <w:t>Z_f</w:t>
            </w:r>
          </w:p>
        </w:tc>
        <w:tc>
          <w:tcPr>
            <w:tcW w:type="dxa" w:w="1872"/>
          </w:tcPr>
          <w:p>
            <w:r>
              <w:rPr>
                <w:b/>
                <w:sz w:val="20"/>
              </w:rPr>
            </w:r>
            <w:r>
              <w:rPr>
                <w:rFonts w:ascii="Cambria Math" w:hAnsi="Cambria Math"/>
                <w:b/>
                <w:i/>
                <w:sz w:val="20"/>
              </w:rPr>
              <w:t>\sigma_{\text{vM},f}</w:t>
            </w:r>
            <w:r>
              <w:rPr>
                <w:b/>
                <w:sz w:val="20"/>
              </w:rPr>
              <w:t xml:space="preserve"> (kPa)</w:t>
            </w:r>
          </w:p>
        </w:tc>
      </w:tr>
      <w:tr>
        <w:tc>
          <w:tcPr>
            <w:tcW w:type="dxa" w:w="1872"/>
          </w:tcPr>
          <w:p>
            <w:r>
              <w:rPr>
                <w:sz w:val="20"/>
              </w:rPr>
            </w:r>
            <w:r>
              <w:rPr>
                <w:sz w:val="20"/>
              </w:rPr>
              <w:t>DOE_08</w:t>
            </w:r>
          </w:p>
        </w:tc>
        <w:tc>
          <w:tcPr>
            <w:tcW w:type="dxa" w:w="1872"/>
          </w:tcPr>
          <w:p>
            <w:r>
              <w:rPr>
                <w:sz w:val="20"/>
              </w:rPr>
            </w:r>
            <w:r>
              <w:rPr>
                <w:rFonts w:ascii="Cambria Math" w:hAnsi="Cambria Math"/>
                <w:i/>
                <w:sz w:val="20"/>
              </w:rPr>
              <w:t>-1.94</w:t>
            </w:r>
          </w:p>
        </w:tc>
        <w:tc>
          <w:tcPr>
            <w:tcW w:type="dxa" w:w="1872"/>
          </w:tcPr>
          <w:p>
            <w:r>
              <w:rPr>
                <w:sz w:val="20"/>
              </w:rPr>
            </w:r>
            <w:r>
              <w:rPr>
                <w:rFonts w:ascii="Cambria Math" w:hAnsi="Cambria Math"/>
                <w:i/>
                <w:sz w:val="20"/>
              </w:rPr>
              <w:t>-0.09</w:t>
            </w:r>
          </w:p>
        </w:tc>
        <w:tc>
          <w:tcPr>
            <w:tcW w:type="dxa" w:w="1872"/>
          </w:tcPr>
          <w:p>
            <w:r>
              <w:rPr>
                <w:sz w:val="20"/>
              </w:rPr>
            </w:r>
            <w:r>
              <w:rPr>
                <w:sz w:val="20"/>
              </w:rPr>
              <w:t>1.67</w:t>
            </w:r>
          </w:p>
        </w:tc>
        <w:tc>
          <w:tcPr>
            <w:tcW w:type="dxa" w:w="1872"/>
          </w:tcPr>
          <w:p>
            <w:r>
              <w:rPr>
                <w:sz w:val="20"/>
              </w:rPr>
            </w:r>
            <w:r>
              <w:rPr>
                <w:sz w:val="20"/>
              </w:rPr>
              <w:t>0.17</w:t>
            </w:r>
          </w:p>
        </w:tc>
      </w:tr>
      <w:tr>
        <w:tc>
          <w:tcPr>
            <w:tcW w:type="dxa" w:w="1872"/>
          </w:tcPr>
          <w:p>
            <w:r>
              <w:rPr>
                <w:sz w:val="20"/>
              </w:rPr>
            </w:r>
            <w:r>
              <w:rPr>
                <w:sz w:val="20"/>
              </w:rPr>
              <w:t>DOE_18</w:t>
            </w:r>
          </w:p>
        </w:tc>
        <w:tc>
          <w:tcPr>
            <w:tcW w:type="dxa" w:w="1872"/>
          </w:tcPr>
          <w:p>
            <w:r>
              <w:rPr>
                <w:sz w:val="20"/>
              </w:rPr>
            </w:r>
            <w:r>
              <w:rPr>
                <w:rFonts w:ascii="Cambria Math" w:hAnsi="Cambria Math"/>
                <w:i/>
                <w:sz w:val="20"/>
              </w:rPr>
              <w:t>-0.34</w:t>
            </w:r>
          </w:p>
        </w:tc>
        <w:tc>
          <w:tcPr>
            <w:tcW w:type="dxa" w:w="1872"/>
          </w:tcPr>
          <w:p>
            <w:r>
              <w:rPr>
                <w:sz w:val="20"/>
              </w:rPr>
            </w:r>
            <w:r>
              <w:rPr>
                <w:rFonts w:ascii="Cambria Math" w:hAnsi="Cambria Math"/>
                <w:i/>
                <w:sz w:val="20"/>
              </w:rPr>
              <w:t>-0.30</w:t>
            </w:r>
          </w:p>
        </w:tc>
        <w:tc>
          <w:tcPr>
            <w:tcW w:type="dxa" w:w="1872"/>
          </w:tcPr>
          <w:p>
            <w:r>
              <w:rPr>
                <w:sz w:val="20"/>
              </w:rPr>
            </w:r>
            <w:r>
              <w:rPr>
                <w:sz w:val="20"/>
              </w:rPr>
              <w:t>1.45</w:t>
            </w:r>
          </w:p>
        </w:tc>
        <w:tc>
          <w:tcPr>
            <w:tcW w:type="dxa" w:w="1872"/>
          </w:tcPr>
          <w:p>
            <w:r>
              <w:rPr>
                <w:sz w:val="20"/>
              </w:rPr>
            </w:r>
            <w:r>
              <w:rPr>
                <w:sz w:val="20"/>
              </w:rPr>
              <w:t>0.52</w:t>
            </w:r>
          </w:p>
        </w:tc>
      </w:tr>
      <w:tr>
        <w:tc>
          <w:tcPr>
            <w:tcW w:type="dxa" w:w="1872"/>
          </w:tcPr>
          <w:p>
            <w:r>
              <w:rPr>
                <w:sz w:val="20"/>
              </w:rPr>
            </w:r>
            <w:r>
              <w:rPr>
                <w:sz w:val="20"/>
              </w:rPr>
              <w:t>DOE_04</w:t>
            </w:r>
          </w:p>
        </w:tc>
        <w:tc>
          <w:tcPr>
            <w:tcW w:type="dxa" w:w="1872"/>
          </w:tcPr>
          <w:p>
            <w:r>
              <w:rPr>
                <w:sz w:val="20"/>
              </w:rPr>
            </w:r>
            <w:r>
              <w:rPr>
                <w:rFonts w:ascii="Cambria Math" w:hAnsi="Cambria Math"/>
                <w:i/>
                <w:sz w:val="20"/>
              </w:rPr>
              <w:t>-1.21</w:t>
            </w:r>
          </w:p>
        </w:tc>
        <w:tc>
          <w:tcPr>
            <w:tcW w:type="dxa" w:w="1872"/>
          </w:tcPr>
          <w:p>
            <w:r>
              <w:rPr>
                <w:sz w:val="20"/>
              </w:rPr>
            </w:r>
            <w:r>
              <w:rPr>
                <w:rFonts w:ascii="Cambria Math" w:hAnsi="Cambria Math"/>
                <w:i/>
                <w:sz w:val="20"/>
              </w:rPr>
              <w:t>-0.29</w:t>
            </w:r>
          </w:p>
        </w:tc>
        <w:tc>
          <w:tcPr>
            <w:tcW w:type="dxa" w:w="1872"/>
          </w:tcPr>
          <w:p>
            <w:r>
              <w:rPr>
                <w:sz w:val="20"/>
              </w:rPr>
            </w:r>
            <w:r>
              <w:rPr>
                <w:sz w:val="20"/>
              </w:rPr>
              <w:t>1.05</w:t>
            </w:r>
          </w:p>
        </w:tc>
        <w:tc>
          <w:tcPr>
            <w:tcW w:type="dxa" w:w="1872"/>
          </w:tcPr>
          <w:p>
            <w:r>
              <w:rPr>
                <w:sz w:val="20"/>
              </w:rPr>
            </w:r>
            <w:r>
              <w:rPr>
                <w:sz w:val="20"/>
              </w:rPr>
              <w:t>0.51</w:t>
            </w:r>
          </w:p>
        </w:tc>
      </w:tr>
      <w:tr>
        <w:tc>
          <w:tcPr>
            <w:tcW w:type="dxa" w:w="1872"/>
          </w:tcPr>
          <w:p>
            <w:r>
              <w:rPr>
                <w:sz w:val="20"/>
              </w:rPr>
            </w:r>
            <w:r>
              <w:rPr>
                <w:sz w:val="20"/>
              </w:rPr>
              <w:t>DOE_20</w:t>
            </w:r>
          </w:p>
        </w:tc>
        <w:tc>
          <w:tcPr>
            <w:tcW w:type="dxa" w:w="1872"/>
          </w:tcPr>
          <w:p>
            <w:r>
              <w:rPr>
                <w:sz w:val="20"/>
              </w:rPr>
            </w:r>
            <w:r>
              <w:rPr>
                <w:rFonts w:ascii="Cambria Math" w:hAnsi="Cambria Math"/>
                <w:i/>
                <w:sz w:val="20"/>
              </w:rPr>
              <w:t>-0.34</w:t>
            </w:r>
          </w:p>
        </w:tc>
        <w:tc>
          <w:tcPr>
            <w:tcW w:type="dxa" w:w="1872"/>
          </w:tcPr>
          <w:p>
            <w:r>
              <w:rPr>
                <w:sz w:val="20"/>
              </w:rPr>
            </w:r>
            <w:r>
              <w:rPr>
                <w:rFonts w:ascii="Cambria Math" w:hAnsi="Cambria Math"/>
                <w:i/>
                <w:sz w:val="20"/>
              </w:rPr>
              <w:t>-0.17</w:t>
            </w:r>
          </w:p>
        </w:tc>
        <w:tc>
          <w:tcPr>
            <w:tcW w:type="dxa" w:w="1872"/>
          </w:tcPr>
          <w:p>
            <w:r>
              <w:rPr>
                <w:sz w:val="20"/>
              </w:rPr>
            </w:r>
            <w:r>
              <w:rPr>
                <w:sz w:val="20"/>
              </w:rPr>
              <w:t>1.36</w:t>
            </w:r>
          </w:p>
        </w:tc>
        <w:tc>
          <w:tcPr>
            <w:tcW w:type="dxa" w:w="1872"/>
          </w:tcPr>
          <w:p>
            <w:r>
              <w:rPr>
                <w:sz w:val="20"/>
              </w:rPr>
            </w:r>
            <w:r>
              <w:rPr>
                <w:sz w:val="20"/>
              </w:rPr>
              <w:t>0.30</w:t>
            </w:r>
          </w:p>
        </w:tc>
      </w:tr>
    </w:tbl>
    <w:p/>
    <w:p>
      <w:pPr>
        <w:pStyle w:val="Heading3"/>
      </w:pPr>
      <w:r>
        <w:t>10.3 Dimensionless Analysis</w:t>
      </w:r>
    </w:p>
    <w:p>
      <w:r>
        <w:t xml:space="preserve">The motor-clutch engagement ratio </w:t>
      </w:r>
      <w:r>
        <w:rPr>
          <w:rFonts w:ascii="Cambria Math" w:hAnsi="Cambria Math"/>
          <w:i/>
        </w:rPr>
        <w:t>\beta</w:t>
      </w:r>
      <w:r>
        <w:t xml:space="preserve"> and cellular capillary number </w:t>
      </w:r>
      <w:r>
        <w:rPr>
          <w:rFonts w:ascii="Cambria Math" w:hAnsi="Cambria Math"/>
          <w:i/>
        </w:rPr>
        <w:t>\text{Ca}</w:t>
      </w:r>
      <w:r>
        <w:t xml:space="preserve"> were computed for all 23 runs (Section 6):</w:t>
      </w:r>
    </w:p>
    <w:p>
      <w:pPr>
        <w:spacing w:before="120" w:after="120"/>
        <w:jc w:val="center"/>
      </w:pPr>
      <w:r>
        <w:rPr>
          <w:rFonts w:ascii="Cambria Math" w:hAnsi="Cambria Math"/>
          <w:i/>
          <w:sz w:val="22"/>
        </w:rPr>
        <w:t>\beta = \frac{k_{\text{sub}}}{k_{\text{sub}} + k_{\text{opt}}} \in [0.181,\; 0.846]</w:t>
      </w:r>
    </w:p>
    <w:p>
      <w:pPr>
        <w:spacing w:before="120" w:after="120"/>
        <w:jc w:val="center"/>
      </w:pPr>
      <w:r>
        <w:rPr>
          <w:rFonts w:ascii="Cambria Math" w:hAnsi="Cambria Math"/>
          <w:i/>
          <w:sz w:val="22"/>
        </w:rPr>
        <w:t>\text{Ca} = \frac{\sigma_{\text{cell}}}{E^*} \in [0.21,\; 17.66]</w:t>
      </w:r>
    </w:p>
    <w:p>
      <w:r>
        <w:t xml:space="preserve">The data collapse by </w:t>
      </w:r>
      <w:r>
        <w:rPr>
          <w:rFonts w:ascii="Cambria Math" w:hAnsi="Cambria Math"/>
          <w:i/>
        </w:rPr>
        <w:t>\beta</w:t>
      </w:r>
      <w:r>
        <w:t xml:space="preserve"> reveals two distinct regimes:</w:t>
      </w:r>
    </w:p>
    <w:p>
      <w:pPr>
        <w:pStyle w:val="ListNumber"/>
      </w:pPr>
      <w:r>
        <w:rPr>
          <w:b/>
        </w:rPr>
        <w:t>Low-$\beta$ regime</w:t>
      </w:r>
      <w:r>
        <w:t xml:space="preserve"> (</w:t>
      </w:r>
      <w:r>
        <w:rPr>
          <w:rFonts w:ascii="Cambria Math" w:hAnsi="Cambria Math"/>
          <w:i/>
        </w:rPr>
        <w:t>\beta &lt; 0.3</w:t>
      </w:r>
      <w:r>
        <w:t xml:space="preserve">, </w:t>
      </w:r>
      <w:r>
        <w:rPr>
          <w:rFonts w:ascii="Cambria Math" w:hAnsi="Cambria Math"/>
          <w:i/>
        </w:rPr>
        <w:t>E = 2</w:t>
      </w:r>
      <w:r>
        <w:t xml:space="preserve"> kPa): Cell traction is</w:t>
      </w:r>
    </w:p>
    <w:p>
      <w:r>
        <w:t>of other parameters. The system is in a force-starved state.</w:t>
      </w:r>
    </w:p>
    <w:p>
      <w:pPr>
        <w:pStyle w:val="ListNumber"/>
      </w:pPr>
      <w:r>
        <w:rPr>
          <w:b/>
        </w:rPr>
        <w:t>High-$\beta$ regime</w:t>
      </w:r>
      <w:r>
        <w:t xml:space="preserve"> (</w:t>
      </w:r>
      <w:r>
        <w:rPr>
          <w:rFonts w:ascii="Cambria Math" w:hAnsi="Cambria Math"/>
          <w:i/>
        </w:rPr>
        <w:t>\beta &gt; 0.8</w:t>
      </w:r>
      <w:r>
        <w:t xml:space="preserve">, </w:t>
      </w:r>
      <w:r>
        <w:rPr>
          <w:rFonts w:ascii="Cambria Math" w:hAnsi="Cambria Math"/>
          <w:i/>
        </w:rPr>
        <w:t>E = 50</w:t>
      </w:r>
      <w:r>
        <w:t xml:space="preserve"> kPa): Cell traction saturates</w:t>
      </w:r>
    </w:p>
    <w:p>
      <w:r>
        <w:t xml:space="preserve">toward </w:t>
      </w:r>
      <w:r>
        <w:rPr>
          <w:rFonts w:ascii="Cambria Math" w:hAnsi="Cambria Math"/>
          <w:i/>
        </w:rPr>
        <w:t>F_{\text{stall}}</w:t>
      </w:r>
      <w:r>
        <w:t>. Compaction magnitude is controlled by adhesion, composition ratio, and cell number rather than substrate stiffness alone.</w:t>
      </w:r>
    </w:p>
    <w:p>
      <w:r>
        <w:t>The capillary number Ca shows an inverse relationship with compaction: low-Ca</w:t>
      </w:r>
    </w:p>
    <w:p>
      <w:r>
        <w:t>stiff enough to transmit cell forces without excessive deformation at each contact.</w:t>
      </w:r>
    </w:p>
    <w:p>
      <w:pPr>
        <w:pStyle w:val="Heading3"/>
      </w:pPr>
      <w:r>
        <w:t>10.4 Tissue Architecture Descriptors</w:t>
      </w:r>
    </w:p>
    <w:p>
      <w:r>
        <w:t>The 22-descriptor tissue vector (Section 7.1) was computed from the final 3D phase fields of each run. Key descriptors across the DOE: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r>
            <w:r>
              <w:rPr>
                <w:b/>
                <w:sz w:val="20"/>
              </w:rPr>
              <w:t>Descriptor</w:t>
            </w:r>
          </w:p>
        </w:tc>
        <w:tc>
          <w:tcPr>
            <w:tcW w:type="dxa" w:w="2340"/>
          </w:tcPr>
          <w:p>
            <w:r>
              <w:rPr>
                <w:b/>
                <w:sz w:val="20"/>
              </w:rPr>
            </w:r>
            <w:r>
              <w:rPr>
                <w:b/>
                <w:sz w:val="20"/>
              </w:rPr>
              <w:t>Symbol</w:t>
            </w:r>
          </w:p>
        </w:tc>
        <w:tc>
          <w:tcPr>
            <w:tcW w:type="dxa" w:w="2340"/>
          </w:tcPr>
          <w:p>
            <w:r>
              <w:rPr>
                <w:b/>
                <w:sz w:val="20"/>
              </w:rPr>
            </w:r>
            <w:r>
              <w:rPr>
                <w:b/>
                <w:sz w:val="20"/>
              </w:rPr>
              <w:t>Range</w:t>
            </w:r>
          </w:p>
        </w:tc>
        <w:tc>
          <w:tcPr>
            <w:tcW w:type="dxa" w:w="2340"/>
          </w:tcPr>
          <w:p>
            <w:r>
              <w:rPr>
                <w:b/>
                <w:sz w:val="20"/>
              </w:rPr>
            </w:r>
            <w:r>
              <w:rPr>
                <w:b/>
                <w:sz w:val="20"/>
              </w:rPr>
              <w:t>Units</w:t>
            </w:r>
          </w:p>
        </w:tc>
      </w:tr>
      <w:tr>
        <w:tc>
          <w:tcPr>
            <w:tcW w:type="dxa" w:w="2340"/>
          </w:tcPr>
          <w:p>
            <w:r>
              <w:rPr>
                <w:sz w:val="20"/>
              </w:rPr>
            </w:r>
            <w:r>
              <w:rPr>
                <w:sz w:val="20"/>
              </w:rPr>
              <w:t>Bone volume fraction</w:t>
            </w:r>
          </w:p>
        </w:tc>
        <w:tc>
          <w:tcPr>
            <w:tcW w:type="dxa" w:w="2340"/>
          </w:tcPr>
          <w:p>
            <w:r>
              <w:rPr>
                <w:sz w:val="20"/>
              </w:rPr>
            </w:r>
            <w:r>
              <w:rPr>
                <w:sz w:val="20"/>
              </w:rPr>
              <w:t>BV/TV</w:t>
            </w:r>
          </w:p>
        </w:tc>
        <w:tc>
          <w:tcPr>
            <w:tcW w:type="dxa" w:w="2340"/>
          </w:tcPr>
          <w:p>
            <w:r>
              <w:rPr>
                <w:sz w:val="20"/>
              </w:rPr>
            </w:r>
            <w:r>
              <w:rPr>
                <w:sz w:val="20"/>
              </w:rPr>
              <w:t>0.139 -- 0.576</w:t>
            </w:r>
          </w:p>
        </w:tc>
        <w:tc>
          <w:tcPr>
            <w:tcW w:type="dxa" w:w="2340"/>
          </w:tcPr>
          <w:p>
            <w:r>
              <w:rPr>
                <w:sz w:val="20"/>
              </w:rPr>
            </w:r>
            <w:r>
              <w:rPr>
                <w:sz w:val="20"/>
              </w:rPr>
              <w:t>--</w:t>
            </w:r>
          </w:p>
        </w:tc>
      </w:tr>
      <w:tr>
        <w:tc>
          <w:tcPr>
            <w:tcW w:type="dxa" w:w="2340"/>
          </w:tcPr>
          <w:p>
            <w:r>
              <w:rPr>
                <w:sz w:val="20"/>
              </w:rPr>
            </w:r>
            <w:r>
              <w:rPr>
                <w:sz w:val="20"/>
              </w:rPr>
              <w:t>Trabecular thickness</w:t>
            </w:r>
          </w:p>
        </w:tc>
        <w:tc>
          <w:tcPr>
            <w:tcW w:type="dxa" w:w="2340"/>
          </w:tcPr>
          <w:p>
            <w:r>
              <w:rPr>
                <w:sz w:val="20"/>
              </w:rPr>
            </w:r>
            <w:r>
              <w:rPr>
                <w:sz w:val="20"/>
              </w:rPr>
              <w:t>Tb.Th</w:t>
            </w:r>
          </w:p>
        </w:tc>
        <w:tc>
          <w:tcPr>
            <w:tcW w:type="dxa" w:w="2340"/>
          </w:tcPr>
          <w:p>
            <w:r>
              <w:rPr>
                <w:sz w:val="20"/>
              </w:rPr>
            </w:r>
            <w:r>
              <w:rPr>
                <w:sz w:val="20"/>
              </w:rPr>
              <w:t>19.2 -- 39.1</w:t>
            </w:r>
          </w:p>
        </w:tc>
        <w:tc>
          <w:tcPr>
            <w:tcW w:type="dxa" w:w="2340"/>
          </w:tcPr>
          <w:p>
            <w:r>
              <w:rPr>
                <w:sz w:val="20"/>
              </w:rPr>
            </w:r>
            <w:r>
              <w:rPr>
                <w:rFonts w:ascii="Cambria Math" w:hAnsi="Cambria Math"/>
                <w:i/>
                <w:sz w:val="20"/>
              </w:rPr>
              <w:t>\mu</w:t>
            </w:r>
            <w:r>
              <w:rPr>
                <w:sz w:val="20"/>
              </w:rPr>
              <w:t>m</w:t>
            </w:r>
          </w:p>
        </w:tc>
      </w:tr>
      <w:tr>
        <w:tc>
          <w:tcPr>
            <w:tcW w:type="dxa" w:w="2340"/>
          </w:tcPr>
          <w:p>
            <w:r>
              <w:rPr>
                <w:sz w:val="20"/>
              </w:rPr>
            </w:r>
            <w:r>
              <w:rPr>
                <w:sz w:val="20"/>
              </w:rPr>
              <w:t>Trabecular spacing</w:t>
            </w:r>
          </w:p>
        </w:tc>
        <w:tc>
          <w:tcPr>
            <w:tcW w:type="dxa" w:w="2340"/>
          </w:tcPr>
          <w:p>
            <w:r>
              <w:rPr>
                <w:sz w:val="20"/>
              </w:rPr>
            </w:r>
            <w:r>
              <w:rPr>
                <w:sz w:val="20"/>
              </w:rPr>
              <w:t>Tb.Sp</w:t>
            </w:r>
          </w:p>
        </w:tc>
        <w:tc>
          <w:tcPr>
            <w:tcW w:type="dxa" w:w="2340"/>
          </w:tcPr>
          <w:p>
            <w:r>
              <w:rPr>
                <w:sz w:val="20"/>
              </w:rPr>
            </w:r>
            <w:r>
              <w:rPr>
                <w:sz w:val="20"/>
              </w:rPr>
              <w:t>23.8 -- 64.1</w:t>
            </w:r>
          </w:p>
        </w:tc>
        <w:tc>
          <w:tcPr>
            <w:tcW w:type="dxa" w:w="2340"/>
          </w:tcPr>
          <w:p>
            <w:r>
              <w:rPr>
                <w:sz w:val="20"/>
              </w:rPr>
            </w:r>
            <w:r>
              <w:rPr>
                <w:rFonts w:ascii="Cambria Math" w:hAnsi="Cambria Math"/>
                <w:i/>
                <w:sz w:val="20"/>
              </w:rPr>
              <w:t>\mu</w:t>
            </w:r>
            <w:r>
              <w:rPr>
                <w:sz w:val="20"/>
              </w:rPr>
              <w:t>m</w:t>
            </w:r>
          </w:p>
        </w:tc>
      </w:tr>
      <w:tr>
        <w:tc>
          <w:tcPr>
            <w:tcW w:type="dxa" w:w="2340"/>
          </w:tcPr>
          <w:p>
            <w:r>
              <w:rPr>
                <w:sz w:val="20"/>
              </w:rPr>
            </w:r>
            <w:r>
              <w:rPr>
                <w:sz w:val="20"/>
              </w:rPr>
              <w:t>Trabecular number</w:t>
            </w:r>
          </w:p>
        </w:tc>
        <w:tc>
          <w:tcPr>
            <w:tcW w:type="dxa" w:w="2340"/>
          </w:tcPr>
          <w:p>
            <w:r>
              <w:rPr>
                <w:sz w:val="20"/>
              </w:rPr>
            </w:r>
            <w:r>
              <w:rPr>
                <w:sz w:val="20"/>
              </w:rPr>
              <w:t>Tb.N</w:t>
            </w:r>
          </w:p>
        </w:tc>
        <w:tc>
          <w:tcPr>
            <w:tcW w:type="dxa" w:w="2340"/>
          </w:tcPr>
          <w:p>
            <w:r>
              <w:rPr>
                <w:sz w:val="20"/>
              </w:rPr>
            </w:r>
            <w:r>
              <w:rPr>
                <w:sz w:val="20"/>
              </w:rPr>
              <w:t>0.009 -- 0.020</w:t>
            </w:r>
          </w:p>
        </w:tc>
        <w:tc>
          <w:tcPr>
            <w:tcW w:type="dxa" w:w="2340"/>
          </w:tcPr>
          <w:p>
            <w:r>
              <w:rPr>
                <w:sz w:val="20"/>
              </w:rPr>
            </w:r>
            <w:r>
              <w:rPr>
                <w:rFonts w:ascii="Cambria Math" w:hAnsi="Cambria Math"/>
                <w:i/>
                <w:sz w:val="20"/>
              </w:rPr>
              <w:t>\mu</w:t>
            </w:r>
            <w:r>
              <w:rPr>
                <w:sz w:val="20"/>
              </w:rPr>
              <w:t>m</w:t>
            </w:r>
            <w:r>
              <w:rPr>
                <w:rFonts w:ascii="Cambria Math" w:hAnsi="Cambria Math"/>
                <w:i/>
                <w:sz w:val="20"/>
              </w:rPr>
              <w:t>^{-1}</w:t>
            </w:r>
          </w:p>
        </w:tc>
      </w:tr>
      <w:tr>
        <w:tc>
          <w:tcPr>
            <w:tcW w:type="dxa" w:w="2340"/>
          </w:tcPr>
          <w:p>
            <w:r>
              <w:rPr>
                <w:sz w:val="20"/>
              </w:rPr>
            </w:r>
            <w:r>
              <w:rPr>
                <w:sz w:val="20"/>
              </w:rPr>
              <w:t>Structure Model Index</w:t>
            </w:r>
          </w:p>
        </w:tc>
        <w:tc>
          <w:tcPr>
            <w:tcW w:type="dxa" w:w="2340"/>
          </w:tcPr>
          <w:p>
            <w:r>
              <w:rPr>
                <w:sz w:val="20"/>
              </w:rPr>
            </w:r>
            <w:r>
              <w:rPr>
                <w:sz w:val="20"/>
              </w:rPr>
              <w:t>SMI</w:t>
            </w:r>
          </w:p>
        </w:tc>
        <w:tc>
          <w:tcPr>
            <w:tcW w:type="dxa" w:w="2340"/>
          </w:tcPr>
          <w:p>
            <w:r>
              <w:rPr>
                <w:sz w:val="20"/>
              </w:rPr>
            </w:r>
            <w:r>
              <w:rPr>
                <w:rFonts w:ascii="Cambria Math" w:hAnsi="Cambria Math"/>
                <w:i/>
                <w:sz w:val="20"/>
              </w:rPr>
              <w:t>-2.71</w:t>
            </w:r>
            <w:r>
              <w:rPr>
                <w:sz w:val="20"/>
              </w:rPr>
              <w:t xml:space="preserve"> -- 1.80</w:t>
            </w:r>
          </w:p>
        </w:tc>
        <w:tc>
          <w:tcPr>
            <w:tcW w:type="dxa" w:w="2340"/>
          </w:tcPr>
          <w:p>
            <w:r>
              <w:rPr>
                <w:sz w:val="20"/>
              </w:rPr>
            </w:r>
            <w:r>
              <w:rPr>
                <w:sz w:val="20"/>
              </w:rPr>
              <w:t>--</w:t>
            </w:r>
          </w:p>
        </w:tc>
      </w:tr>
      <w:tr>
        <w:tc>
          <w:tcPr>
            <w:tcW w:type="dxa" w:w="2340"/>
          </w:tcPr>
          <w:p>
            <w:r>
              <w:rPr>
                <w:sz w:val="20"/>
              </w:rPr>
            </w:r>
            <w:r>
              <w:rPr>
                <w:sz w:val="20"/>
              </w:rPr>
              <w:t>Degree of anisotropy</w:t>
            </w:r>
          </w:p>
        </w:tc>
        <w:tc>
          <w:tcPr>
            <w:tcW w:type="dxa" w:w="2340"/>
          </w:tcPr>
          <w:p>
            <w:r>
              <w:rPr>
                <w:sz w:val="20"/>
              </w:rPr>
            </w:r>
            <w:r>
              <w:rPr>
                <w:sz w:val="20"/>
              </w:rPr>
              <w:t>DA</w:t>
            </w:r>
          </w:p>
        </w:tc>
        <w:tc>
          <w:tcPr>
            <w:tcW w:type="dxa" w:w="2340"/>
          </w:tcPr>
          <w:p>
            <w:r>
              <w:rPr>
                <w:sz w:val="20"/>
              </w:rPr>
            </w:r>
            <w:r>
              <w:rPr>
                <w:sz w:val="20"/>
              </w:rPr>
              <w:t>1.05 -- 1.37</w:t>
            </w:r>
          </w:p>
        </w:tc>
        <w:tc>
          <w:tcPr>
            <w:tcW w:type="dxa" w:w="2340"/>
          </w:tcPr>
          <w:p>
            <w:r>
              <w:rPr>
                <w:sz w:val="20"/>
              </w:rPr>
            </w:r>
            <w:r>
              <w:rPr>
                <w:sz w:val="20"/>
              </w:rPr>
              <w:t>--</w:t>
            </w:r>
          </w:p>
        </w:tc>
      </w:tr>
      <w:tr>
        <w:tc>
          <w:tcPr>
            <w:tcW w:type="dxa" w:w="2340"/>
          </w:tcPr>
          <w:p>
            <w:r>
              <w:rPr>
                <w:sz w:val="20"/>
              </w:rPr>
            </w:r>
            <w:r>
              <w:rPr>
                <w:sz w:val="20"/>
              </w:rPr>
              <w:t>Tortuosity</w:t>
            </w:r>
          </w:p>
        </w:tc>
        <w:tc>
          <w:tcPr>
            <w:tcW w:type="dxa" w:w="2340"/>
          </w:tcPr>
          <w:p>
            <w:r>
              <w:rPr>
                <w:sz w:val="20"/>
              </w:rPr>
            </w:r>
            <w:r>
              <w:rPr>
                <w:rFonts w:ascii="Cambria Math" w:hAnsi="Cambria Math"/>
                <w:i/>
                <w:sz w:val="20"/>
              </w:rPr>
              <w:t>\tau</w:t>
            </w:r>
          </w:p>
        </w:tc>
        <w:tc>
          <w:tcPr>
            <w:tcW w:type="dxa" w:w="2340"/>
          </w:tcPr>
          <w:p>
            <w:r>
              <w:rPr>
                <w:sz w:val="20"/>
              </w:rPr>
            </w:r>
            <w:r>
              <w:rPr>
                <w:sz w:val="20"/>
              </w:rPr>
              <w:t>14.2 -- 349.7</w:t>
            </w:r>
          </w:p>
        </w:tc>
        <w:tc>
          <w:tcPr>
            <w:tcW w:type="dxa" w:w="2340"/>
          </w:tcPr>
          <w:p>
            <w:r>
              <w:rPr>
                <w:sz w:val="20"/>
              </w:rPr>
            </w:r>
            <w:r>
              <w:rPr>
                <w:sz w:val="20"/>
              </w:rPr>
              <w:t>--</w:t>
            </w:r>
          </w:p>
        </w:tc>
      </w:tr>
      <w:tr>
        <w:tc>
          <w:tcPr>
            <w:tcW w:type="dxa" w:w="2340"/>
          </w:tcPr>
          <w:p>
            <w:r>
              <w:rPr>
                <w:sz w:val="20"/>
              </w:rPr>
            </w:r>
            <w:r>
              <w:rPr>
                <w:sz w:val="20"/>
              </w:rPr>
              <w:t>Kozeny-Carman permeability</w:t>
            </w:r>
          </w:p>
        </w:tc>
        <w:tc>
          <w:tcPr>
            <w:tcW w:type="dxa" w:w="2340"/>
          </w:tcPr>
          <w:p>
            <w:r>
              <w:rPr>
                <w:sz w:val="20"/>
              </w:rPr>
            </w:r>
            <w:r>
              <w:rPr>
                <w:rFonts w:ascii="Cambria Math" w:hAnsi="Cambria Math"/>
                <w:i/>
                <w:sz w:val="20"/>
              </w:rPr>
              <w:t>K</w:t>
            </w:r>
          </w:p>
        </w:tc>
        <w:tc>
          <w:tcPr>
            <w:tcW w:type="dxa" w:w="2340"/>
          </w:tcPr>
          <w:p>
            <w:r>
              <w:rPr>
                <w:sz w:val="20"/>
              </w:rPr>
            </w:r>
            <w:r>
              <w:rPr>
                <w:sz w:val="20"/>
              </w:rPr>
              <w:t>2.7 -- 85.4</w:t>
            </w:r>
          </w:p>
        </w:tc>
        <w:tc>
          <w:tcPr>
            <w:tcW w:type="dxa" w:w="2340"/>
          </w:tcPr>
          <w:p>
            <w:r>
              <w:rPr>
                <w:sz w:val="20"/>
              </w:rPr>
            </w:r>
            <w:r>
              <w:rPr>
                <w:rFonts w:ascii="Cambria Math" w:hAnsi="Cambria Math"/>
                <w:i/>
                <w:sz w:val="20"/>
              </w:rPr>
              <w:t>\mu</w:t>
            </w:r>
            <w:r>
              <w:rPr>
                <w:sz w:val="20"/>
              </w:rPr>
              <w:t>m</w:t>
            </w:r>
            <w:r>
              <w:rPr>
                <w:rFonts w:ascii="Cambria Math" w:hAnsi="Cambria Math"/>
                <w:i/>
                <w:sz w:val="20"/>
              </w:rPr>
              <w:t>^2</w:t>
            </w:r>
          </w:p>
        </w:tc>
      </w:tr>
    </w:tbl>
    <w:p/>
    <w:p>
      <w:r>
        <w:t xml:space="preserve">The composition factor (D) dominates BV/TV: runs with </w:t>
      </w:r>
      <w:r>
        <w:rPr>
          <w:rFonts w:ascii="Cambria Math" w:hAnsi="Cambria Math"/>
          <w:i/>
        </w:rPr>
        <w:t>\phi_f = 0.4</w:t>
      </w:r>
      <w:r>
        <w:t xml:space="preserve"> produce </w:t>
      </w:r>
      <w:r>
        <w:rPr>
          <w:rFonts w:ascii="Cambria Math" w:hAnsi="Cambria Math"/>
          <w:i/>
        </w:rPr>
        <w:t>\text{BV/TV} \in [0.35,\, 0.58]</w:t>
      </w:r>
      <w:r>
        <w:t xml:space="preserve"> while </w:t>
      </w:r>
      <w:r>
        <w:rPr>
          <w:rFonts w:ascii="Cambria Math" w:hAnsi="Cambria Math"/>
          <w:i/>
        </w:rPr>
        <w:t>\phi_f = 0.2</w:t>
      </w:r>
      <w:r>
        <w:t xml:space="preserve"> runs yield </w:t>
      </w:r>
      <w:r>
        <w:rPr>
          <w:rFonts w:ascii="Cambria Math" w:hAnsi="Cambria Math"/>
          <w:i/>
        </w:rPr>
        <w:t>\text{BV/TV} \in [0.14,\, 0.20]</w:t>
      </w:r>
      <w:r>
        <w:t>. SMI transitions from plate-like (</w:t>
      </w:r>
      <w:r>
        <w:rPr>
          <w:rFonts w:ascii="Cambria Math" w:hAnsi="Cambria Math"/>
          <w:i/>
        </w:rPr>
        <w:t>\text{SMI} &lt; 0</w:t>
      </w:r>
      <w:r>
        <w:t>) at high BV/TV to rod-like (</w:t>
      </w:r>
      <w:r>
        <w:rPr>
          <w:rFonts w:ascii="Cambria Math" w:hAnsi="Cambria Math"/>
          <w:i/>
        </w:rPr>
        <w:t>\text{SMI} &gt; 1</w:t>
      </w:r>
      <w:r>
        <w:t>) at low BV/TV, consistent with trabecular bone morphology literature.</w:t>
      </w:r>
    </w:p>
    <w:p>
      <w:pPr>
        <w:pStyle w:val="Heading3"/>
      </w:pPr>
      <w:r>
        <w:t>10.5 Architectural Distance to Organ Targets</w:t>
      </w:r>
    </w:p>
    <w:p>
      <w:r>
        <w:t xml:space="preserve">The weighted architectural distance </w:t>
      </w:r>
      <w:r>
        <w:rPr>
          <w:rFonts w:ascii="Cambria Math" w:hAnsi="Cambria Math"/>
          <w:i/>
        </w:rPr>
        <w:t>D_{\text{arch}}</w:t>
      </w:r>
      <w:r>
        <w:t xml:space="preserve"> (Section 7.2) was computed between each DOE run's final tissue state and the 7 organ targets (Section 7.3). The closest scaffold-organ matches: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Rank</w:t>
            </w:r>
          </w:p>
        </w:tc>
        <w:tc>
          <w:tcPr>
            <w:tcW w:type="dxa" w:w="1872"/>
          </w:tcPr>
          <w:p>
            <w:r>
              <w:rPr>
                <w:b/>
                <w:sz w:val="20"/>
              </w:rPr>
            </w:r>
            <w:r>
              <w:rPr>
                <w:b/>
                <w:sz w:val="20"/>
              </w:rPr>
              <w:t>Run</w:t>
            </w:r>
          </w:p>
        </w:tc>
        <w:tc>
          <w:tcPr>
            <w:tcW w:type="dxa" w:w="1872"/>
          </w:tcPr>
          <w:p>
            <w:r>
              <w:rPr>
                <w:b/>
                <w:sz w:val="20"/>
              </w:rPr>
            </w:r>
            <w:r>
              <w:rPr>
                <w:b/>
                <w:sz w:val="20"/>
              </w:rPr>
              <w:t>Target Organ</w:t>
            </w:r>
          </w:p>
        </w:tc>
        <w:tc>
          <w:tcPr>
            <w:tcW w:type="dxa" w:w="1872"/>
          </w:tcPr>
          <w:p>
            <w:r>
              <w:rPr>
                <w:b/>
                <w:sz w:val="20"/>
              </w:rPr>
            </w:r>
            <w:r>
              <w:rPr>
                <w:rFonts w:ascii="Cambria Math" w:hAnsi="Cambria Math"/>
                <w:b/>
                <w:i/>
                <w:sz w:val="20"/>
              </w:rPr>
              <w:t>D_{\text{arch}}</w:t>
            </w:r>
          </w:p>
        </w:tc>
        <w:tc>
          <w:tcPr>
            <w:tcW w:type="dxa" w:w="1872"/>
          </w:tcPr>
          <w:p>
            <w:r>
              <w:rPr>
                <w:b/>
                <w:sz w:val="20"/>
              </w:rPr>
            </w:r>
            <w:r>
              <w:rPr>
                <w:b/>
                <w:sz w:val="20"/>
              </w:rPr>
              <w:t>Key Parameters</w:t>
            </w:r>
          </w:p>
        </w:tc>
      </w:tr>
      <w:tr>
        <w:tc>
          <w:tcPr>
            <w:tcW w:type="dxa" w:w="1872"/>
          </w:tcPr>
          <w:p>
            <w:r>
              <w:rPr>
                <w:sz w:val="20"/>
              </w:rPr>
            </w:r>
            <w:r>
              <w:rPr>
                <w:sz w:val="20"/>
              </w:rPr>
              <w:t>1</w:t>
            </w:r>
          </w:p>
        </w:tc>
        <w:tc>
          <w:tcPr>
            <w:tcW w:type="dxa" w:w="1872"/>
          </w:tcPr>
          <w:p>
            <w:r>
              <w:rPr>
                <w:sz w:val="20"/>
              </w:rPr>
            </w:r>
            <w:r>
              <w:rPr>
                <w:sz w:val="20"/>
              </w:rPr>
              <w:t>DOE_22</w:t>
            </w:r>
          </w:p>
        </w:tc>
        <w:tc>
          <w:tcPr>
            <w:tcW w:type="dxa" w:w="1872"/>
          </w:tcPr>
          <w:p>
            <w:r>
              <w:rPr>
                <w:sz w:val="20"/>
              </w:rPr>
            </w:r>
            <w:r>
              <w:rPr>
                <w:sz w:val="20"/>
              </w:rPr>
              <w:t>Trabecular bone</w:t>
            </w:r>
          </w:p>
        </w:tc>
        <w:tc>
          <w:tcPr>
            <w:tcW w:type="dxa" w:w="1872"/>
          </w:tcPr>
          <w:p>
            <w:r>
              <w:rPr>
                <w:sz w:val="20"/>
              </w:rPr>
            </w:r>
            <w:r>
              <w:rPr>
                <w:sz w:val="20"/>
              </w:rPr>
              <w:t>15.1</w:t>
            </w:r>
          </w:p>
        </w:tc>
        <w:tc>
          <w:tcPr>
            <w:tcW w:type="dxa" w:w="1872"/>
          </w:tcPr>
          <w:p>
            <w:r>
              <w:rPr>
                <w:sz w:val="20"/>
              </w:rPr>
            </w:r>
            <w:r>
              <w:rPr>
                <w:rFonts w:ascii="Cambria Math" w:hAnsi="Cambria Math"/>
                <w:i/>
                <w:sz w:val="20"/>
              </w:rPr>
              <w:t>E=50</w:t>
            </w:r>
            <w:r>
              <w:rPr>
                <w:sz w:val="20"/>
              </w:rPr>
              <w:t xml:space="preserve">, </w:t>
            </w:r>
            <w:r>
              <w:rPr>
                <w:rFonts w:ascii="Cambria Math" w:hAnsi="Cambria Math"/>
                <w:i/>
                <w:sz w:val="20"/>
              </w:rPr>
              <w:t>\phi_f=0.4</w:t>
            </w:r>
            <w:r>
              <w:rPr>
                <w:sz w:val="20"/>
              </w:rPr>
              <w:t>, high adhesion</w:t>
            </w:r>
          </w:p>
        </w:tc>
      </w:tr>
      <w:tr>
        <w:tc>
          <w:tcPr>
            <w:tcW w:type="dxa" w:w="1872"/>
          </w:tcPr>
          <w:p>
            <w:r>
              <w:rPr>
                <w:sz w:val="20"/>
              </w:rPr>
            </w:r>
            <w:r>
              <w:rPr>
                <w:sz w:val="20"/>
              </w:rPr>
              <w:t>2</w:t>
            </w:r>
          </w:p>
        </w:tc>
        <w:tc>
          <w:tcPr>
            <w:tcW w:type="dxa" w:w="1872"/>
          </w:tcPr>
          <w:p>
            <w:r>
              <w:rPr>
                <w:sz w:val="20"/>
              </w:rPr>
            </w:r>
            <w:r>
              <w:rPr>
                <w:sz w:val="20"/>
              </w:rPr>
              <w:t>DOE_20</w:t>
            </w:r>
          </w:p>
        </w:tc>
        <w:tc>
          <w:tcPr>
            <w:tcW w:type="dxa" w:w="1872"/>
          </w:tcPr>
          <w:p>
            <w:r>
              <w:rPr>
                <w:sz w:val="20"/>
              </w:rPr>
            </w:r>
            <w:r>
              <w:rPr>
                <w:sz w:val="20"/>
              </w:rPr>
              <w:t>Trabecular bone</w:t>
            </w:r>
          </w:p>
        </w:tc>
        <w:tc>
          <w:tcPr>
            <w:tcW w:type="dxa" w:w="1872"/>
          </w:tcPr>
          <w:p>
            <w:r>
              <w:rPr>
                <w:sz w:val="20"/>
              </w:rPr>
            </w:r>
            <w:r>
              <w:rPr>
                <w:sz w:val="20"/>
              </w:rPr>
              <w:t>16.8</w:t>
            </w:r>
          </w:p>
        </w:tc>
        <w:tc>
          <w:tcPr>
            <w:tcW w:type="dxa" w:w="1872"/>
          </w:tcPr>
          <w:p>
            <w:r>
              <w:rPr>
                <w:sz w:val="20"/>
              </w:rPr>
            </w:r>
            <w:r>
              <w:rPr>
                <w:rFonts w:ascii="Cambria Math" w:hAnsi="Cambria Math"/>
                <w:i/>
                <w:sz w:val="20"/>
              </w:rPr>
              <w:t>E=50</w:t>
            </w:r>
            <w:r>
              <w:rPr>
                <w:sz w:val="20"/>
              </w:rPr>
              <w:t xml:space="preserve">, </w:t>
            </w:r>
            <w:r>
              <w:rPr>
                <w:rFonts w:ascii="Cambria Math" w:hAnsi="Cambria Math"/>
                <w:i/>
                <w:sz w:val="20"/>
              </w:rPr>
              <w:t>\phi_f=0.4</w:t>
            </w:r>
            <w:r>
              <w:rPr>
                <w:sz w:val="20"/>
              </w:rPr>
              <w:t>, low adhesion</w:t>
            </w:r>
          </w:p>
        </w:tc>
      </w:tr>
      <w:tr>
        <w:tc>
          <w:tcPr>
            <w:tcW w:type="dxa" w:w="1872"/>
          </w:tcPr>
          <w:p>
            <w:r>
              <w:rPr>
                <w:sz w:val="20"/>
              </w:rPr>
            </w:r>
            <w:r>
              <w:rPr>
                <w:sz w:val="20"/>
              </w:rPr>
              <w:t>3</w:t>
            </w:r>
          </w:p>
        </w:tc>
        <w:tc>
          <w:tcPr>
            <w:tcW w:type="dxa" w:w="1872"/>
          </w:tcPr>
          <w:p>
            <w:r>
              <w:rPr>
                <w:sz w:val="20"/>
              </w:rPr>
            </w:r>
            <w:r>
              <w:rPr>
                <w:sz w:val="20"/>
              </w:rPr>
              <w:t>DOE_18</w:t>
            </w:r>
          </w:p>
        </w:tc>
        <w:tc>
          <w:tcPr>
            <w:tcW w:type="dxa" w:w="1872"/>
          </w:tcPr>
          <w:p>
            <w:r>
              <w:rPr>
                <w:sz w:val="20"/>
              </w:rPr>
            </w:r>
            <w:r>
              <w:rPr>
                <w:sz w:val="20"/>
              </w:rPr>
              <w:t>Trabecular bone</w:t>
            </w:r>
          </w:p>
        </w:tc>
        <w:tc>
          <w:tcPr>
            <w:tcW w:type="dxa" w:w="1872"/>
          </w:tcPr>
          <w:p>
            <w:r>
              <w:rPr>
                <w:sz w:val="20"/>
              </w:rPr>
            </w:r>
            <w:r>
              <w:rPr>
                <w:sz w:val="20"/>
              </w:rPr>
              <w:t>16.8</w:t>
            </w:r>
          </w:p>
        </w:tc>
        <w:tc>
          <w:tcPr>
            <w:tcW w:type="dxa" w:w="1872"/>
          </w:tcPr>
          <w:p>
            <w:r>
              <w:rPr>
                <w:sz w:val="20"/>
              </w:rPr>
            </w:r>
            <w:r>
              <w:rPr>
                <w:rFonts w:ascii="Cambria Math" w:hAnsi="Cambria Math"/>
                <w:i/>
                <w:sz w:val="20"/>
              </w:rPr>
              <w:t>E=50</w:t>
            </w:r>
            <w:r>
              <w:rPr>
                <w:sz w:val="20"/>
              </w:rPr>
              <w:t xml:space="preserve">, </w:t>
            </w:r>
            <w:r>
              <w:rPr>
                <w:rFonts w:ascii="Cambria Math" w:hAnsi="Cambria Math"/>
                <w:i/>
                <w:sz w:val="20"/>
              </w:rPr>
              <w:t>\phi_f=0.4</w:t>
            </w:r>
            <w:r>
              <w:rPr>
                <w:sz w:val="20"/>
              </w:rPr>
              <w:t xml:space="preserve">, </w:t>
            </w:r>
            <w:r>
              <w:rPr>
                <w:rFonts w:ascii="Cambria Math" w:hAnsi="Cambria Math"/>
                <w:i/>
                <w:sz w:val="20"/>
              </w:rPr>
              <w:t>R_f=60</w:t>
            </w:r>
          </w:p>
        </w:tc>
      </w:tr>
      <w:tr>
        <w:tc>
          <w:tcPr>
            <w:tcW w:type="dxa" w:w="1872"/>
          </w:tcPr>
          <w:p>
            <w:r>
              <w:rPr>
                <w:sz w:val="20"/>
              </w:rPr>
            </w:r>
            <w:r>
              <w:rPr>
                <w:sz w:val="20"/>
              </w:rPr>
              <w:t>4</w:t>
            </w:r>
          </w:p>
        </w:tc>
        <w:tc>
          <w:tcPr>
            <w:tcW w:type="dxa" w:w="1872"/>
          </w:tcPr>
          <w:p>
            <w:r>
              <w:rPr>
                <w:sz w:val="20"/>
              </w:rPr>
            </w:r>
            <w:r>
              <w:rPr>
                <w:sz w:val="20"/>
              </w:rPr>
              <w:t>DOE_23</w:t>
            </w:r>
          </w:p>
        </w:tc>
        <w:tc>
          <w:tcPr>
            <w:tcW w:type="dxa" w:w="1872"/>
          </w:tcPr>
          <w:p>
            <w:r>
              <w:rPr>
                <w:sz w:val="20"/>
              </w:rPr>
            </w:r>
            <w:r>
              <w:rPr>
                <w:sz w:val="20"/>
              </w:rPr>
              <w:t>Trabecular bone</w:t>
            </w:r>
          </w:p>
        </w:tc>
        <w:tc>
          <w:tcPr>
            <w:tcW w:type="dxa" w:w="1872"/>
          </w:tcPr>
          <w:p>
            <w:r>
              <w:rPr>
                <w:sz w:val="20"/>
              </w:rPr>
            </w:r>
            <w:r>
              <w:rPr>
                <w:sz w:val="20"/>
              </w:rPr>
              <w:t>17.3</w:t>
            </w:r>
          </w:p>
        </w:tc>
        <w:tc>
          <w:tcPr>
            <w:tcW w:type="dxa" w:w="1872"/>
          </w:tcPr>
          <w:p>
            <w:r>
              <w:rPr>
                <w:sz w:val="20"/>
              </w:rPr>
            </w:r>
            <w:r>
              <w:rPr>
                <w:rFonts w:ascii="Cambria Math" w:hAnsi="Cambria Math"/>
                <w:i/>
                <w:sz w:val="20"/>
              </w:rPr>
              <w:t>E=2</w:t>
            </w:r>
            <w:r>
              <w:rPr>
                <w:sz w:val="20"/>
              </w:rPr>
              <w:t xml:space="preserve">, </w:t>
            </w:r>
            <w:r>
              <w:rPr>
                <w:rFonts w:ascii="Cambria Math" w:hAnsi="Cambria Math"/>
                <w:i/>
                <w:sz w:val="20"/>
              </w:rPr>
              <w:t>\phi_f=0.4</w:t>
            </w:r>
            <w:r>
              <w:rPr>
                <w:sz w:val="20"/>
              </w:rPr>
              <w:t>, center point</w:t>
            </w:r>
          </w:p>
        </w:tc>
      </w:tr>
    </w:tbl>
    <w:p/>
    <w:p>
      <w:r>
        <w:rPr>
          <w:b/>
        </w:rPr>
        <w:t>Interpretation.</w:t>
      </w:r>
      <w:r>
        <w:t xml:space="preserve"> High functional volume fraction (</w:t>
      </w:r>
      <w:r>
        <w:rPr>
          <w:rFonts w:ascii="Cambria Math" w:hAnsi="Cambria Math"/>
          <w:i/>
        </w:rPr>
        <w:t>\phi_f = 0.4</w:t>
      </w:r>
      <w:r>
        <w:t>) is the strongest predictor of proximity to trabecular bone. Substrate stiffness (</w:t>
      </w:r>
      <w:r>
        <w:rPr>
          <w:rFonts w:ascii="Cambria Math" w:hAnsi="Cambria Math"/>
          <w:i/>
        </w:rPr>
        <w:t>E = 50</w:t>
      </w:r>
      <w:r>
        <w:t xml:space="preserve"> kPa) provides a secondary benefit by enabling cell-mediated compaction that increases BV/TV and reduces Tb.Sp. The remaining distance (</w:t>
      </w:r>
      <w:r>
        <w:rPr>
          <w:rFonts w:ascii="Cambria Math" w:hAnsi="Cambria Math"/>
          <w:i/>
        </w:rPr>
        <w:t>D_{\text{arch}} \sim 15</w:t>
      </w:r>
      <w:r>
        <w:t>) is driven primarily by the mismatch in Tb.Th (</w:t>
      </w:r>
      <w:r>
        <w:rPr>
          <w:rFonts w:ascii="Cambria Math" w:hAnsi="Cambria Math"/>
          <w:i/>
        </w:rPr>
        <w:t>\sim\!20</w:t>
      </w:r>
      <w:r>
        <w:t>--</w:t>
      </w:r>
      <w:r>
        <w:rPr>
          <w:rFonts w:ascii="Cambria Math" w:hAnsi="Cambria Math"/>
          <w:i/>
        </w:rPr>
        <w:t>40\ \mu</w:t>
      </w:r>
      <w:r>
        <w:t xml:space="preserve">m in simulation vs. </w:t>
      </w:r>
      <w:r>
        <w:rPr>
          <w:rFonts w:ascii="Cambria Math" w:hAnsi="Cambria Math"/>
          <w:i/>
        </w:rPr>
        <w:t>\sim\!150\ \mu</w:t>
      </w:r>
      <w:r>
        <w:t>m in adult human trabecular bone) and tortuosity.</w:t>
      </w:r>
    </w:p>
    <w:p>
      <w:pPr>
        <w:pStyle w:val="Heading3"/>
      </w:pPr>
      <w:r>
        <w:t>10.6 Summary of Key Findings</w:t>
      </w:r>
    </w:p>
    <w:p>
      <w:pPr>
        <w:pStyle w:val="ListNumber"/>
      </w:pPr>
      <w:r>
        <w:rPr>
          <w:b/>
        </w:rPr>
        <w:t>Substrate stiffness is the master variable</w:t>
      </w:r>
      <w:r>
        <w:t xml:space="preserve"> for cell-driven compaction, acting</w:t>
      </w:r>
    </w:p>
    <w:p>
      <w:r>
        <w:t xml:space="preserve">through the motor-clutch engagement ratio </w:t>
      </w:r>
      <w:r>
        <w:rPr>
          <w:rFonts w:ascii="Cambria Math" w:hAnsi="Cambria Math"/>
          <w:i/>
        </w:rPr>
        <w:t>\beta</w:t>
      </w:r>
      <w:r>
        <w:t>. Below a critical stiffness (</w:t>
      </w:r>
      <w:r>
        <w:rPr>
          <w:rFonts w:ascii="Cambria Math" w:hAnsi="Cambria Math"/>
          <w:i/>
        </w:rPr>
        <w:t>E \lesssim 5</w:t>
      </w:r>
      <w:r>
        <w:t xml:space="preserve"> kPa, </w:t>
      </w:r>
      <w:r>
        <w:rPr>
          <w:rFonts w:ascii="Cambria Math" w:hAnsi="Cambria Math"/>
          <w:i/>
        </w:rPr>
        <w:t>\beta &lt; 0.3</w:t>
      </w:r>
      <w:r>
        <w:t>), cell traction is insufficient to drive measurable compaction.</w:t>
      </w:r>
    </w:p>
    <w:p>
      <w:pPr>
        <w:pStyle w:val="ListNumber"/>
      </w:pPr>
      <w:r>
        <w:rPr>
          <w:b/>
        </w:rPr>
        <w:t>Composition ratio dominates tissue architecture.</w:t>
      </w:r>
      <w:r>
        <w:t xml:space="preserve"> The functional phase fraction</w:t>
      </w:r>
    </w:p>
    <w:p>
      <w:r>
        <w:rPr>
          <w:rFonts w:ascii="Cambria Math" w:hAnsi="Cambria Math"/>
          <w:i/>
        </w:rPr>
        <w:t>\phi_f</w:t>
      </w:r>
      <w:r>
        <w:t xml:space="preserve"> directly controls BV/TV, Tb.Th, and SMI. The inert phase acts as a void template.</w:t>
      </w:r>
    </w:p>
    <w:p>
      <w:pPr>
        <w:pStyle w:val="ListNumber"/>
      </w:pPr>
      <w:r>
        <w:rPr>
          <w:b/>
        </w:rPr>
        <w:t>The mean-field ODE captures compaction dynamics</w:t>
      </w:r>
      <w:r>
        <w:t xml:space="preserve"> in the high-</w:t>
      </w:r>
      <w:r>
        <w:rPr>
          <w:rFonts w:ascii="Cambria Math" w:hAnsi="Cambria Math"/>
          <w:i/>
        </w:rPr>
        <w:t>\beta</w:t>
      </w:r>
      <w:r>
        <w:t xml:space="preserve"> regime</w:t>
      </w:r>
    </w:p>
    <w:p>
      <w:r>
        <w:t>(</w:t>
      </w:r>
      <w:r>
        <w:rPr>
          <w:rFonts w:ascii="Cambria Math" w:hAnsi="Cambria Math"/>
          <w:i/>
        </w:rPr>
        <w:t>R^2 \sim 0.1</w:t>
      </w:r>
      <w:r>
        <w:t>--</w:t>
      </w:r>
      <w:r>
        <w:rPr>
          <w:rFonts w:ascii="Cambria Math" w:hAnsi="Cambria Math"/>
          <w:i/>
        </w:rPr>
        <w:t>0.6</w:t>
      </w:r>
      <w:r>
        <w:t xml:space="preserve">) but underperforms at low </w:t>
      </w:r>
      <w:r>
        <w:rPr>
          <w:rFonts w:ascii="Cambria Math" w:hAnsi="Cambria Math"/>
          <w:i/>
        </w:rPr>
        <w:t>\beta</w:t>
      </w:r>
      <w:r>
        <w:t xml:space="preserve"> where stochastic effects and bridge kinetics dominate.</w:t>
      </w:r>
    </w:p>
    <w:p>
      <w:pPr>
        <w:pStyle w:val="ListNumber"/>
      </w:pPr>
      <w:r>
        <w:rPr>
          <w:b/>
        </w:rPr>
        <w:t>Scaffold architectures span a wide range</w:t>
      </w:r>
      <w:r>
        <w:t xml:space="preserve"> of tissue descriptors</w:t>
      </w:r>
    </w:p>
    <w:p>
      <w:r>
        <w:t>(</w:t>
      </w:r>
      <w:r>
        <w:rPr>
          <w:rFonts w:ascii="Cambria Math" w:hAnsi="Cambria Math"/>
          <w:i/>
        </w:rPr>
        <w:t>\text{BV/TV} \in [0.14,\, 0.58]</w:t>
      </w:r>
      <w:r>
        <w:t xml:space="preserve">, </w:t>
      </w:r>
      <w:r>
        <w:rPr>
          <w:rFonts w:ascii="Cambria Math" w:hAnsi="Cambria Math"/>
          <w:i/>
        </w:rPr>
        <w:t>\text{SMI} \in [-2.7,\, 1.8]</w:t>
      </w:r>
      <w:r>
        <w:t>), suggesting the GELLS system can be tuned toward multiple organ targets.</w:t>
      </w:r>
    </w:p>
    <w:p>
      <w:pPr>
        <w:pStyle w:val="ListNumber"/>
      </w:pPr>
      <w:r>
        <w:rPr>
          <w:b/>
        </w:rPr>
        <w:t>Trabecular bone is the most accessible target</w:t>
      </w:r>
      <w:r>
        <w:t xml:space="preserve"> with </w:t>
      </w:r>
      <w:r>
        <w:rPr>
          <w:rFonts w:ascii="Cambria Math" w:hAnsi="Cambria Math"/>
          <w:i/>
        </w:rPr>
        <w:t>D_{\text{arch}} = 15.1</w:t>
      </w:r>
    </w:p>
    <w:p>
      <w:r>
        <w:t>at optimal parameters. Liver and kidney cortex are secondary targets requiring higher BV/TV and lower porosity than achieved in this DOE.</w:t>
      </w:r>
    </w:p>
    <w:p>
      <w:pPr>
        <w:pStyle w:val="Heading2"/>
      </w:pPr>
      <w:r>
        <w:t>11. Volume-Conserving Two-Zone Mean-Field Model</w:t>
      </w:r>
    </w:p>
    <w:p>
      <w:pPr>
        <w:pStyle w:val="Heading3"/>
      </w:pPr>
      <w:r>
        <w:t>11.1 Physical Motivation</w:t>
      </w:r>
    </w:p>
    <w:p>
      <w:r>
        <w:t xml:space="preserve">The mean-field model of Section 5, which tracks the bulk functional volume fraction </w:t>
      </w:r>
      <w:r>
        <w:rPr>
          <w:rFonts w:ascii="Cambria Math" w:hAnsi="Cambria Math"/>
          <w:i/>
        </w:rPr>
        <w:t>\phi_f(t)</w:t>
      </w:r>
      <w:r>
        <w:t>, contains a fundamental inconsistency: it implicitly assumes that granular material is created or destroyed during compaction. Hydrogel granules are incompressible on the timescale of cell-driven rearrangement (</w:t>
      </w:r>
      <w:r>
        <w:rPr>
          <w:rFonts w:ascii="Cambria Math" w:hAnsi="Cambria Math"/>
          <w:i/>
        </w:rPr>
        <w:t>\sim</w:t>
      </w:r>
      <w:r>
        <w:t xml:space="preserve">10--100 h). The total solid volume fraction </w:t>
      </w:r>
      <w:r>
        <w:rPr>
          <w:rFonts w:ascii="Cambria Math" w:hAnsi="Cambria Math"/>
          <w:i/>
        </w:rPr>
        <w:t>\phi_s = \phi_f + \phi_i</w:t>
      </w:r>
      <w:r>
        <w:t xml:space="preserve"> must therefore remain constant throughout the compaction process.</w:t>
      </w:r>
    </w:p>
    <w:p>
      <w:r>
        <w:t xml:space="preserve">We resolve this by introducing a </w:t>
      </w:r>
      <w:r>
        <w:rPr>
          <w:b/>
        </w:rPr>
        <w:t>two-zone model</w:t>
      </w:r>
      <w:r>
        <w:t xml:space="preserve"> in which the scaffold domain is partitioned into a functional zone (volume fraction </w:t>
      </w:r>
      <w:r>
        <w:rPr>
          <w:rFonts w:ascii="Cambria Math" w:hAnsi="Cambria Math"/>
          <w:i/>
        </w:rPr>
        <w:t>x_f</w:t>
      </w:r>
      <w:r>
        <w:t xml:space="preserve"> of the total domain) and an inert zone (volume fraction </w:t>
      </w:r>
      <w:r>
        <w:rPr>
          <w:rFonts w:ascii="Cambria Math" w:hAnsi="Cambria Math"/>
          <w:i/>
        </w:rPr>
        <w:t>x_i = 1 - x_f</w:t>
      </w:r>
      <w:r>
        <w:t xml:space="preserve">). Cell-driven compaction shrinks the functional zone, concentrating functional granules into a smaller volume while expanding the inert zone to accommodate displaced material. The global solid fraction </w:t>
      </w:r>
      <w:r>
        <w:rPr>
          <w:rFonts w:ascii="Cambria Math" w:hAnsi="Cambria Math"/>
          <w:i/>
        </w:rPr>
        <w:t>\phi_s</w:t>
      </w:r>
      <w:r>
        <w:t xml:space="preserve"> is conserved exactly; only its spatial distribution changes.</w:t>
      </w:r>
    </w:p>
    <w:p>
      <w:r>
        <w:t>This reformulation is analogous to the poroelastic consolidation of Biot (1941), where fluid is squeezed from a compressing region into a dilating region, and to the osmotic compression of concentrated emulsions described by Princen (1986).</w:t>
      </w:r>
    </w:p>
    <w:p>
      <w:pPr>
        <w:pStyle w:val="Heading3"/>
      </w:pPr>
      <w:r>
        <w:t>11.2 State Variable and Conservation Law</w:t>
      </w:r>
    </w:p>
    <w:p>
      <w:r>
        <w:t xml:space="preserve">Let </w:t>
      </w:r>
      <w:r>
        <w:rPr>
          <w:rFonts w:ascii="Cambria Math" w:hAnsi="Cambria Math"/>
          <w:i/>
        </w:rPr>
        <w:t>x_f(t)</w:t>
      </w:r>
      <w:r>
        <w:t xml:space="preserve"> denote the volume fraction of the domain occupied by the functional zone at time </w:t>
      </w:r>
      <w:r>
        <w:rPr>
          <w:rFonts w:ascii="Cambria Math" w:hAnsi="Cambria Math"/>
          <w:i/>
        </w:rPr>
        <w:t>t</w:t>
      </w:r>
      <w:r>
        <w:t>. The initial value is</w:t>
      </w:r>
    </w:p>
    <w:p>
      <w:pPr>
        <w:spacing w:before="120" w:after="120"/>
        <w:jc w:val="center"/>
      </w:pPr>
      <w:r>
        <w:rPr>
          <w:rFonts w:ascii="Cambria Math" w:hAnsi="Cambria Math"/>
          <w:i/>
          <w:sz w:val="22"/>
        </w:rPr>
        <w:t>x_{f,0} = \max\!\left(\frac{\phi_f}{\phi_s}, \; \frac{\phi_f}{\phi_{\max}}\right)</w:t>
      </w:r>
    </w:p>
    <w:p>
      <w:r>
        <w:t xml:space="preserve">where </w:t>
      </w:r>
      <w:r>
        <w:rPr>
          <w:rFonts w:ascii="Cambria Math" w:hAnsi="Cambria Math"/>
          <w:i/>
        </w:rPr>
        <w:t>\phi_{\max}</w:t>
      </w:r>
      <w:r>
        <w:t xml:space="preserve"> is the maximum deformable packing fraction (Section 11.4). The inert zone occupies </w:t>
      </w:r>
      <w:r>
        <w:rPr>
          <w:rFonts w:ascii="Cambria Math" w:hAnsi="Cambria Math"/>
          <w:i/>
        </w:rPr>
        <w:t>x_i = 1 - x_f</w:t>
      </w:r>
      <w:r>
        <w:t>.</w:t>
      </w:r>
    </w:p>
    <w:p>
      <w:r>
        <w:rPr>
          <w:b/>
        </w:rPr>
        <w:t>Conservation.</w:t>
      </w:r>
      <w:r>
        <w:t xml:space="preserve"> The total solid area (2D) or volume (3D) is</w:t>
      </w:r>
    </w:p>
    <w:p>
      <w:pPr>
        <w:spacing w:before="120" w:after="120"/>
        <w:jc w:val="center"/>
      </w:pPr>
      <w:r>
        <w:rPr>
          <w:rFonts w:ascii="Cambria Math" w:hAnsi="Cambria Math"/>
          <w:i/>
          <w:sz w:val="22"/>
        </w:rPr>
        <w:t>\phi_f \cdot A_{\text{domain}} + \phi_i \cdot A_{\text{domain}} = \phi_s \cdot A_{\text{domain}} = \text{const}</w:t>
      </w:r>
    </w:p>
    <w:p>
      <w:r>
        <w:t xml:space="preserve">The </w:t>
      </w:r>
      <w:r>
        <w:rPr>
          <w:b/>
        </w:rPr>
        <w:t>local</w:t>
      </w:r>
      <w:r>
        <w:t xml:space="preserve"> packing fractions within each zone are:</w:t>
      </w:r>
    </w:p>
    <w:p>
      <w:pPr>
        <w:spacing w:before="120" w:after="120"/>
        <w:jc w:val="center"/>
      </w:pPr>
      <w:r>
        <w:rPr>
          <w:rFonts w:ascii="Cambria Math" w:hAnsi="Cambria Math"/>
          <w:i/>
          <w:sz w:val="22"/>
        </w:rPr>
        <w:t>\phi_{f}^{\text{local}}(t) = \frac{\phi_f}{x_f(t)}, \qquad \phi_{i}^{\text{local}}(t) = \frac{\phi_i}{1 - x_f(t)}</w:t>
      </w:r>
    </w:p>
    <w:p>
      <w:r>
        <w:t>As cells compact the functional zone (</w:t>
      </w:r>
      <w:r>
        <w:rPr>
          <w:rFonts w:ascii="Cambria Math" w:hAnsi="Cambria Math"/>
          <w:i/>
        </w:rPr>
        <w:t>x_f</w:t>
      </w:r>
      <w:r>
        <w:t xml:space="preserve"> decreases), </w:t>
      </w:r>
      <w:r>
        <w:rPr>
          <w:rFonts w:ascii="Cambria Math" w:hAnsi="Cambria Math"/>
          <w:i/>
        </w:rPr>
        <w:t>\phi_f^{\text{local}}</w:t>
      </w:r>
      <w:r>
        <w:t xml:space="preserve"> increases toward random close packing while </w:t>
      </w:r>
      <w:r>
        <w:rPr>
          <w:rFonts w:ascii="Cambria Math" w:hAnsi="Cambria Math"/>
          <w:i/>
        </w:rPr>
        <w:t>\phi_i^{\text{local}}</w:t>
      </w:r>
      <w:r>
        <w:t xml:space="preserve"> decreases (inert granules spread into a larger volume). The local void fractions are:</w:t>
      </w:r>
    </w:p>
    <w:p>
      <w:pPr>
        <w:spacing w:before="120" w:after="120"/>
        <w:jc w:val="center"/>
      </w:pPr>
      <w:r>
        <w:rPr>
          <w:rFonts w:ascii="Cambria Math" w:hAnsi="Cambria Math"/>
          <w:i/>
          <w:sz w:val="22"/>
        </w:rPr>
        <w:t>\phi_{v,f}^{\text{local}} = 1 - \phi_f^{\text{local}}, \qquad \phi_{v,i}^{\text{local}} = 1 - \phi_i^{\text{local}}</w:t>
      </w:r>
    </w:p>
    <w:p>
      <w:r>
        <w:t xml:space="preserve">The global void fraction </w:t>
      </w:r>
      <w:r>
        <w:rPr>
          <w:rFonts w:ascii="Cambria Math" w:hAnsi="Cambria Math"/>
          <w:i/>
        </w:rPr>
        <w:t>\phi_v = 1 - \phi_s</w:t>
      </w:r>
      <w:r>
        <w:t xml:space="preserve"> is exactly conserved; only its spatial distribution between the two zones changes.</w:t>
      </w:r>
    </w:p>
    <w:p>
      <w:pPr>
        <w:pStyle w:val="Heading3"/>
      </w:pPr>
      <w:r>
        <w:t>11.3 Compaction ODE</w:t>
      </w:r>
    </w:p>
    <w:p>
      <w:r>
        <w:t>The functional zone fraction evolves according to the overdamped force balance:</w:t>
      </w:r>
    </w:p>
    <w:p>
      <w:pPr>
        <w:spacing w:before="120" w:after="120"/>
        <w:jc w:val="center"/>
      </w:pPr>
      <w:r>
        <w:rPr>
          <w:rFonts w:ascii="Cambria Math" w:hAnsi="Cambria Math"/>
          <w:i/>
          <w:sz w:val="22"/>
        </w:rPr>
        <w:t>\frac{dx_f}{dt} = -x_f \cdot \frac{\max\!\left(0, \; \sigma_{\text{cell}}(t) - \sigma_{\text{resist}}(x_f)\right)}{\eta_{\text{eff}}}</w:t>
      </w:r>
    </w:p>
    <w:p>
      <w:r>
        <w:t xml:space="preserve">where </w:t>
      </w:r>
      <w:r>
        <w:rPr>
          <w:rFonts w:ascii="Cambria Math" w:hAnsi="Cambria Math"/>
          <w:i/>
        </w:rPr>
        <w:t>\sigma_{\text{cell}}</w:t>
      </w:r>
      <w:r>
        <w:t xml:space="preserve"> is the volume-averaged cell traction stress (Section 5.2) and </w:t>
      </w:r>
      <w:r>
        <w:rPr>
          <w:rFonts w:ascii="Cambria Math" w:hAnsi="Cambria Math"/>
          <w:i/>
        </w:rPr>
        <w:t>\sigma_{\text{resist}}</w:t>
      </w:r>
      <w:r>
        <w:t xml:space="preserve"> is the elastic resistance from contact deformation. The </w:t>
      </w:r>
      <w:r>
        <w:rPr>
          <w:rFonts w:ascii="Cambria Math" w:hAnsi="Cambria Math"/>
          <w:i/>
        </w:rPr>
        <w:t>x_f</w:t>
      </w:r>
      <w:r>
        <w:t xml:space="preserve"> prefactor ensures that compaction rate scales with the size of the zone being compressed, vanishing as </w:t>
      </w:r>
      <w:r>
        <w:rPr>
          <w:rFonts w:ascii="Cambria Math" w:hAnsi="Cambria Math"/>
          <w:i/>
        </w:rPr>
        <w:t>x_f \to 0</w:t>
      </w:r>
      <w:r>
        <w:t>.</w:t>
      </w:r>
    </w:p>
    <w:p>
      <w:r>
        <w:t>The resistance stress is</w:t>
      </w:r>
    </w:p>
    <w:p>
      <w:pPr>
        <w:spacing w:before="120" w:after="120"/>
        <w:jc w:val="center"/>
      </w:pPr>
      <w:r>
        <w:rPr>
          <w:rFonts w:ascii="Cambria Math" w:hAnsi="Cambria Math"/>
          <w:i/>
          <w:sz w:val="22"/>
        </w:rPr>
        <w:t>\sigma_{\text{resist}} = \sigma_0 \cdot \max\!\left(0, \; \frac{\phi_f^{\text{local}}}{\phi_{\text{RCP}}} - 1\right)</w:t>
      </w:r>
    </w:p>
    <w:p>
      <w:r>
        <w:t xml:space="preserve">where </w:t>
      </w:r>
      <w:r>
        <w:rPr>
          <w:rFonts w:ascii="Cambria Math" w:hAnsi="Cambria Math"/>
          <w:i/>
        </w:rPr>
        <w:t>\sigma_0 = 0.005 \, E_{\text{eff}}</w:t>
      </w:r>
      <w:r>
        <w:t xml:space="preserve"> is the elastic resistance scale derived from Hertzian contact mechanics, and </w:t>
      </w:r>
      <w:r>
        <w:rPr>
          <w:rFonts w:ascii="Cambria Math" w:hAnsi="Cambria Math"/>
          <w:i/>
        </w:rPr>
        <w:t>\phi_{\text{RCP}}</w:t>
      </w:r>
      <w:r>
        <w:t xml:space="preserve"> is the random close packing fraction for the bidisperse superellipsoidal granule mixture (Section 11.5). Resistance vanishes when </w:t>
      </w:r>
      <w:r>
        <w:rPr>
          <w:rFonts w:ascii="Cambria Math" w:hAnsi="Cambria Math"/>
          <w:i/>
        </w:rPr>
        <w:t>\phi_f^{\text{local}} &lt; \phi_{\text{RCP}}</w:t>
      </w:r>
      <w:r>
        <w:t xml:space="preserve"> and grows linearly with excess packing beyond RCP.</w:t>
      </w:r>
    </w:p>
    <w:p>
      <w:pPr>
        <w:pStyle w:val="Heading3"/>
      </w:pPr>
      <w:r>
        <w:t>11.4 Deformable Packing Limit</w:t>
      </w:r>
    </w:p>
    <w:p>
      <w:r>
        <w:t xml:space="preserve">Rigid particles cannot exceed </w:t>
      </w:r>
      <w:r>
        <w:rPr>
          <w:rFonts w:ascii="Cambria Math" w:hAnsi="Cambria Math"/>
          <w:i/>
        </w:rPr>
        <w:t>\phi_{\text{RCP}}</w:t>
      </w:r>
      <w:r>
        <w:t>, but soft hydrogel granules deform at contacts and can pack beyond this limit. Following the approach of Cai et al. (2022), who showed that Hertzian contact deformations predict the bulk modulus of granular hydrogels, we define a deformable packing limit:</w:t>
      </w:r>
    </w:p>
    <w:p>
      <w:pPr>
        <w:spacing w:before="120" w:after="120"/>
        <w:jc w:val="center"/>
      </w:pPr>
      <w:r>
        <w:rPr>
          <w:rFonts w:ascii="Cambria Math" w:hAnsi="Cambria Math"/>
          <w:i/>
          <w:sz w:val="22"/>
        </w:rPr>
        <w:t>\phi_{\max} = \phi_{\text{RCP}} + (1 - \phi_{\text{RCP}}) \cdot \left[1 - \exp\!\left(-\frac{0.5}{E_f^{0.3}}\right)\right] \cdot (1 + 0.1(n_2 - 2))</w:t>
      </w:r>
    </w:p>
    <w:p>
      <w:r>
        <w:t xml:space="preserve">Softer granules (lower </w:t>
      </w:r>
      <w:r>
        <w:rPr>
          <w:rFonts w:ascii="Cambria Math" w:hAnsi="Cambria Math"/>
          <w:i/>
        </w:rPr>
        <w:t>E_f</w:t>
      </w:r>
      <w:r>
        <w:t>) deform more at contacts, permitting higher packing. Blockier shapes (</w:t>
      </w:r>
      <w:r>
        <w:rPr>
          <w:rFonts w:ascii="Cambria Math" w:hAnsi="Cambria Math"/>
          <w:i/>
        </w:rPr>
        <w:t>n_2 &gt; 2</w:t>
      </w:r>
      <w:r>
        <w:t xml:space="preserve">) interlock more efficiently, further increasing </w:t>
      </w:r>
      <w:r>
        <w:rPr>
          <w:rFonts w:ascii="Cambria Math" w:hAnsi="Cambria Math"/>
          <w:i/>
        </w:rPr>
        <w:t>\phi_{\max}</w:t>
      </w:r>
      <w:r>
        <w:t xml:space="preserve">. The compaction minimum is </w:t>
      </w:r>
      <w:r>
        <w:rPr>
          <w:rFonts w:ascii="Cambria Math" w:hAnsi="Cambria Math"/>
          <w:i/>
        </w:rPr>
        <w:t>x_{f,\min} = \phi_f / \phi_{\max}</w:t>
      </w:r>
      <w:r>
        <w:t>.</w:t>
      </w:r>
    </w:p>
    <w:p>
      <w:pPr>
        <w:pStyle w:val="Heading3"/>
      </w:pPr>
      <w:r>
        <w:t>11.5 Random Close Packing of Bidisperse Shaped Granules</w:t>
      </w:r>
    </w:p>
    <w:p>
      <w:r>
        <w:t xml:space="preserve">The rigid-particle RCP fraction </w:t>
      </w:r>
      <w:r>
        <w:rPr>
          <w:rFonts w:ascii="Cambria Math" w:hAnsi="Cambria Math"/>
          <w:i/>
        </w:rPr>
        <w:t>\phi_{\text{RCP}}</w:t>
      </w:r>
      <w:r>
        <w:t xml:space="preserve"> depends on granule shape and size distribution. We adopt the following empirical model, informed by Farr and Groot (2009) for polydisperse spheres, Donev et al. (2004) for ellipsoids, and Yuan et al. (2019) for superellipsoids:</w:t>
      </w:r>
    </w:p>
    <w:p>
      <w:pPr>
        <w:spacing w:before="120" w:after="120"/>
        <w:jc w:val="center"/>
      </w:pPr>
      <w:r>
        <w:rPr>
          <w:rFonts w:ascii="Cambria Math" w:hAnsi="Cambria Math"/>
          <w:i/>
          <w:sz w:val="22"/>
        </w:rPr>
        <w:t>\phi_{\text{RCP}} = \phi_{\text{RCP}}^{\text{mono}} + \Delta\phi_{\text{AR}} + \Delta\phi_n + \Delta\phi_{\text{bi}}</w:t>
      </w:r>
    </w:p>
    <w:p>
      <w:r>
        <w:t>where:</w:t>
      </w:r>
    </w:p>
    <w:p>
      <w:pPr>
        <w:pStyle w:val="ListBullet"/>
      </w:pPr>
      <w:r>
        <w:rPr>
          <w:rFonts w:ascii="Cambria Math" w:hAnsi="Cambria Math"/>
          <w:i/>
        </w:rPr>
        <w:t>\phi_{\text{RCP}}^{\text{mono}} = 0.82</w:t>
      </w:r>
      <w:r>
        <w:t xml:space="preserve"> (2D) or </w:t>
      </w:r>
      <w:r>
        <w:rPr>
          <w:rFonts w:ascii="Cambria Math" w:hAnsi="Cambria Math"/>
          <w:i/>
        </w:rPr>
        <w:t>0.64</w:t>
      </w:r>
      <w:r>
        <w:t xml:space="preserve"> (3D) for monodisperse circles/spheres</w:t>
      </w:r>
    </w:p>
    <w:p>
      <w:pPr>
        <w:pStyle w:val="ListBullet"/>
      </w:pPr>
      <w:r>
        <w:rPr>
          <w:rFonts w:ascii="Cambria Math" w:hAnsi="Cambria Math"/>
          <w:i/>
        </w:rPr>
        <w:t>\Delta\phi_{\text{AR}} = 0.04(\text{AR} - 1) - 0.015(\text{AR} - 1)^2</w:t>
      </w:r>
      <w:r>
        <w:t xml:space="preserve"> accounts for aspect</w:t>
      </w:r>
    </w:p>
    <w:p>
      <w:r>
        <w:t xml:space="preserve">ratio effects, peaking near </w:t>
      </w:r>
      <w:r>
        <w:rPr>
          <w:rFonts w:ascii="Cambria Math" w:hAnsi="Cambria Math"/>
          <w:i/>
        </w:rPr>
        <w:t>\text{AR} \approx 1.3</w:t>
      </w:r>
      <w:r>
        <w:t xml:space="preserve"> (Donev et al. 2004)</w:t>
      </w:r>
    </w:p>
    <w:p>
      <w:pPr>
        <w:pStyle w:val="ListBullet"/>
      </w:pPr>
      <w:r>
        <w:rPr>
          <w:rFonts w:ascii="Cambria Math" w:hAnsi="Cambria Math"/>
          <w:i/>
        </w:rPr>
        <w:t>\Delta\phi_n = 0.015(n_2 - 2)</w:t>
      </w:r>
      <w:r>
        <w:t xml:space="preserve"> accounts for blockiness (squarer shapes pack denser; Delaney</w:t>
      </w:r>
    </w:p>
    <w:p>
      <w:r>
        <w:t>and Cleary, 2010)</w:t>
      </w:r>
    </w:p>
    <w:p>
      <w:pPr>
        <w:pStyle w:val="ListBullet"/>
      </w:pPr>
      <w:r>
        <w:rPr>
          <w:rFonts w:ascii="Cambria Math" w:hAnsi="Cambria Math"/>
          <w:i/>
        </w:rPr>
        <w:t>\Delta\phi_{\text{bi}} = 0.18 \, x_s(1 - x_s)(1 - 1/r)</w:t>
      </w:r>
      <w:r>
        <w:t xml:space="preserve"> is the Farr--Groot bidisperse</w:t>
      </w:r>
    </w:p>
    <w:p>
      <w:r>
        <w:t xml:space="preserve">correction, where </w:t>
      </w:r>
      <w:r>
        <w:rPr>
          <w:rFonts w:ascii="Cambria Math" w:hAnsi="Cambria Math"/>
          <w:i/>
        </w:rPr>
        <w:t>x_s</w:t>
      </w:r>
      <w:r>
        <w:t xml:space="preserve"> is the volume fraction of small particles and </w:t>
      </w:r>
      <w:r>
        <w:rPr>
          <w:rFonts w:ascii="Cambria Math" w:hAnsi="Cambria Math"/>
          <w:i/>
        </w:rPr>
        <w:t>r</w:t>
      </w:r>
      <w:r>
        <w:t xml:space="preserve"> is the size ratio</w:t>
      </w:r>
    </w:p>
    <w:p>
      <w:r>
        <w:t>The effective contact modulus is the composition-weighted harmonic mean:</w:t>
      </w:r>
    </w:p>
    <w:p>
      <w:pPr>
        <w:spacing w:before="120" w:after="120"/>
        <w:jc w:val="center"/>
      </w:pPr>
      <w:r>
        <w:rPr>
          <w:rFonts w:ascii="Cambria Math" w:hAnsi="Cambria Math"/>
          <w:i/>
          <w:sz w:val="22"/>
        </w:rPr>
        <w:t>E_{\text{eff}} = \frac{w_{ff} E_f + w_{fi}\bar{E}_{fi} + w_{ii} E_i}{w_{ff} + w_{fi} + w_{ii}}</w:t>
      </w:r>
    </w:p>
    <w:p>
      <w:r>
        <w:t xml:space="preserve">where </w:t>
      </w:r>
      <w:r>
        <w:rPr>
          <w:rFonts w:ascii="Cambria Math" w:hAnsi="Cambria Math"/>
          <w:i/>
        </w:rPr>
        <w:t>w_{ff} = \phi_f^2</w:t>
      </w:r>
      <w:r>
        <w:t xml:space="preserve">, </w:t>
      </w:r>
      <w:r>
        <w:rPr>
          <w:rFonts w:ascii="Cambria Math" w:hAnsi="Cambria Math"/>
          <w:i/>
        </w:rPr>
        <w:t>w_{ii} = \phi_i^2</w:t>
      </w:r>
      <w:r>
        <w:t xml:space="preserve">, </w:t>
      </w:r>
      <w:r>
        <w:rPr>
          <w:rFonts w:ascii="Cambria Math" w:hAnsi="Cambria Math"/>
          <w:i/>
        </w:rPr>
        <w:t>w_{fi} = 2\phi_f\phi_i</w:t>
      </w:r>
      <w:r>
        <w:t xml:space="preserve">, and </w:t>
      </w:r>
      <w:r>
        <w:rPr>
          <w:rFonts w:ascii="Cambria Math" w:hAnsi="Cambria Math"/>
          <w:i/>
        </w:rPr>
        <w:t>\bar{E}_{fi} = 2E_f E_i / (E_f + E_i)</w:t>
      </w:r>
      <w:r>
        <w:t xml:space="preserve"> is the Hertzian reduced modulus for a functional--inert contact.</w:t>
      </w:r>
    </w:p>
    <w:p>
      <w:pPr>
        <w:pStyle w:val="Heading2"/>
      </w:pPr>
      <w:r>
        <w:t>12. Free Energy Landscape for Scaffold Compaction</w:t>
      </w:r>
    </w:p>
    <w:p>
      <w:pPr>
        <w:pStyle w:val="Heading3"/>
      </w:pPr>
      <w:r>
        <w:t>12.1 Motivation: From Kinetics to Thermodynamics</w:t>
      </w:r>
    </w:p>
    <w:p>
      <w:r>
        <w:t>The volume-conserving ODE (Section 11.3) describes the kinetics of compaction but does not reveal the underlying energetic driving forces and barriers. To develop rational design rules for tissue-specific scaffold architectures, we require a thermodynamic framework that decomposes the total free energy into physically distinct contributions. This approach, inspired by the energy landscape formalism in soft matter physics (Wales, 2003) and its applications to cell rearrangements in dense tissues (Bi et al., 2014, 2015), enables identification of the controlling mechanisms for each organ target.</w:t>
      </w:r>
    </w:p>
    <w:p>
      <w:r>
        <w:t xml:space="preserve">We define a free energy density </w:t>
      </w:r>
      <w:r>
        <w:rPr>
          <w:rFonts w:ascii="Cambria Math" w:hAnsi="Cambria Math"/>
          <w:i/>
        </w:rPr>
        <w:t>G(\xi)</w:t>
      </w:r>
      <w:r>
        <w:t xml:space="preserve"> as a function of a single compaction coordinate </w:t>
      </w:r>
      <w:r>
        <w:rPr>
          <w:rFonts w:ascii="Cambria Math" w:hAnsi="Cambria Math"/>
          <w:i/>
        </w:rPr>
        <w:t>\xi</w:t>
      </w:r>
      <w:r>
        <w:t>, such that the overdamped dynamics of the system correspond to gradient descent on this landscape:</w:t>
      </w:r>
    </w:p>
    <w:p>
      <w:pPr>
        <w:spacing w:before="120" w:after="120"/>
        <w:jc w:val="center"/>
      </w:pPr>
      <w:r>
        <w:rPr>
          <w:rFonts w:ascii="Cambria Math" w:hAnsi="Cambria Math"/>
          <w:i/>
          <w:sz w:val="22"/>
        </w:rPr>
        <w:t>\frac{d\xi}{dt} = -\frac{1}{\eta_{\text{eff}}} \frac{dG}{d\xi}</w:t>
      </w:r>
    </w:p>
    <w:p>
      <w:r>
        <w:t>This formulation, standard for overdamped systems in colloidal and granular physics (Kramers, 1940; Doi and Edwards, 1986; Tighe et al., 2010), connects the equilibrium scaffold architecture (</w:t>
      </w:r>
      <w:r>
        <w:rPr>
          <w:rFonts w:ascii="Cambria Math" w:hAnsi="Cambria Math"/>
          <w:i/>
        </w:rPr>
        <w:t>\xi^*</w:t>
      </w:r>
      <w:r>
        <w:t xml:space="preserve"> at the energy minimum) to the balance of six competing physical mechanisms.</w:t>
      </w:r>
    </w:p>
    <w:p>
      <w:pPr>
        <w:pStyle w:val="Heading3"/>
      </w:pPr>
      <w:r>
        <w:t>12.2 Compaction Coordinate</w:t>
      </w:r>
    </w:p>
    <w:p>
      <w:r>
        <w:t>We parameterize the degree of compaction by the dimensionless coordinate</w:t>
      </w:r>
    </w:p>
    <w:p>
      <w:pPr>
        <w:spacing w:before="120" w:after="120"/>
        <w:jc w:val="center"/>
      </w:pPr>
      <w:r>
        <w:rPr>
          <w:rFonts w:ascii="Cambria Math" w:hAnsi="Cambria Math"/>
          <w:i/>
          <w:sz w:val="22"/>
        </w:rPr>
        <w:t>\xi = 1 - \frac{x_f}{x_{f,0}} \in [0, \, \xi_{\max}]</w:t>
      </w:r>
    </w:p>
    <w:p>
      <w:r>
        <w:t xml:space="preserve">where </w:t>
      </w:r>
      <w:r>
        <w:rPr>
          <w:rFonts w:ascii="Cambria Math" w:hAnsi="Cambria Math"/>
          <w:i/>
        </w:rPr>
        <w:t>\xi = 0</w:t>
      </w:r>
      <w:r>
        <w:t xml:space="preserve"> is the initial (uncompacted) state and </w:t>
      </w:r>
      <w:r>
        <w:rPr>
          <w:rFonts w:ascii="Cambria Math" w:hAnsi="Cambria Math"/>
          <w:i/>
        </w:rPr>
        <w:t>\xi_{\max} = 1 - x_{f,\min}/x_{f,0}</w:t>
      </w:r>
      <w:r>
        <w:t xml:space="preserve"> is the maximum compaction permitted by the deformable packing limit. The functional zone fraction at compaction </w:t>
      </w:r>
      <w:r>
        <w:rPr>
          <w:rFonts w:ascii="Cambria Math" w:hAnsi="Cambria Math"/>
          <w:i/>
        </w:rPr>
        <w:t>\xi</w:t>
      </w:r>
      <w:r>
        <w:t xml:space="preserve"> is</w:t>
      </w:r>
    </w:p>
    <w:p>
      <w:pPr>
        <w:spacing w:before="120" w:after="120"/>
        <w:jc w:val="center"/>
      </w:pPr>
      <w:r>
        <w:rPr>
          <w:rFonts w:ascii="Cambria Math" w:hAnsi="Cambria Math"/>
          <w:i/>
          <w:sz w:val="22"/>
        </w:rPr>
        <w:t>x_f(\xi) = x_{f,0}(1 - \xi)</w:t>
      </w:r>
    </w:p>
    <w:p>
      <w:r>
        <w:t xml:space="preserve">and the local packing fractions (Section 11.2) become explicit functions of </w:t>
      </w:r>
      <w:r>
        <w:rPr>
          <w:rFonts w:ascii="Cambria Math" w:hAnsi="Cambria Math"/>
          <w:i/>
        </w:rPr>
        <w:t>\xi</w:t>
      </w:r>
      <w:r>
        <w:t>:</w:t>
      </w:r>
    </w:p>
    <w:p>
      <w:pPr>
        <w:spacing w:before="120" w:after="120"/>
        <w:jc w:val="center"/>
      </w:pPr>
      <w:r>
        <w:rPr>
          <w:rFonts w:ascii="Cambria Math" w:hAnsi="Cambria Math"/>
          <w:i/>
          <w:sz w:val="22"/>
        </w:rPr>
        <w:t>\phi_f^{\text{local}}(\xi) = \frac{\phi_f}{x_{f,0}(1 - \xi)}, \qquad \phi_i^{\text{local}}(\xi) = \frac{\phi_i}{1 - x_{f,0}(1 - \xi)}</w:t>
      </w:r>
    </w:p>
    <w:p>
      <w:pPr>
        <w:pStyle w:val="Heading3"/>
      </w:pPr>
      <w:r>
        <w:t>12.3 Decomposition of the Free Energy</w:t>
      </w:r>
    </w:p>
    <w:p>
      <w:r>
        <w:t>The total free energy density is decomposed into six terms, each corresponding to a distinct physical mechanism:</w:t>
      </w:r>
    </w:p>
    <w:p>
      <w:pPr>
        <w:spacing w:before="120" w:after="120"/>
        <w:jc w:val="center"/>
      </w:pPr>
      <w:r>
        <w:rPr>
          <w:rFonts w:ascii="Cambria Math" w:hAnsi="Cambria Math"/>
          <w:i/>
          <w:sz w:val="22"/>
        </w:rPr>
        <w:t>G(\xi) = G_{\text{cell}}(\xi) + G_{\text{elastic}}(\xi) + G_{\text{yield}}(\xi) + G_{\text{void}}(\xi) + G_{\text{inert}}(\xi) + G_{\gamma}(\xi)</w:t>
      </w:r>
    </w:p>
    <w:p>
      <w:r>
        <w:t>The first term is the driving force (negative, favoring compaction); the remaining five are resistance terms (positive, opposing compaction) that arise from distinct physical origins. We derive each term below.</w:t>
      </w:r>
    </w:p>
    <w:p>
      <w:pPr>
        <w:pStyle w:val="Heading3"/>
      </w:pPr>
      <w:r>
        <w:t>12.4 Cell Traction Energy ($G_{\text{cell}}$)</w:t>
      </w:r>
    </w:p>
    <w:p>
      <w:r>
        <w:t>Cells encapsulated within functional granules generate contractile traction through the motor-clutch mechanism (Chan and Odde, 2008; Section 2.5) and transmit this force to neighboring granules through intercellular bridges (Section 2.6). The volume-averaged cell traction stress is</w:t>
      </w:r>
    </w:p>
    <w:p>
      <w:pPr>
        <w:spacing w:before="120" w:after="120"/>
        <w:jc w:val="center"/>
      </w:pPr>
      <w:r>
        <w:rPr>
          <w:rFonts w:ascii="Cambria Math" w:hAnsi="Cambria Math"/>
          <w:i/>
          <w:sz w:val="22"/>
        </w:rPr>
        <w:t>\sigma_{\text{cell}} = \rho_{\text{cell}} \cdot F_{\text{MC}}(E_f) \cdot f_{\text{bridge}} \cdot m</w:t>
      </w:r>
    </w:p>
    <w:p>
      <w:r>
        <w:t xml:space="preserve">where </w:t>
      </w:r>
      <w:r>
        <w:rPr>
          <w:rFonts w:ascii="Cambria Math" w:hAnsi="Cambria Math"/>
          <w:i/>
        </w:rPr>
        <w:t>\rho_{\text{cell}}</w:t>
      </w:r>
      <w:r>
        <w:t xml:space="preserve"> is the cell number density (cells/</w:t>
      </w:r>
      <w:r>
        <w:rPr>
          <w:rFonts w:ascii="Cambria Math" w:hAnsi="Cambria Math"/>
          <w:i/>
        </w:rPr>
        <w:t>\mu</w:t>
      </w:r>
      <w:r>
        <w:t>m</w:t>
      </w:r>
      <w:r>
        <w:rPr>
          <w:rFonts w:ascii="Cambria Math" w:hAnsi="Cambria Math"/>
          <w:i/>
        </w:rPr>
        <w:t>^2</w:t>
      </w:r>
      <w:r>
        <w:t xml:space="preserve">), </w:t>
      </w:r>
      <w:r>
        <w:rPr>
          <w:rFonts w:ascii="Cambria Math" w:hAnsi="Cambria Math"/>
          <w:i/>
        </w:rPr>
        <w:t>F_{\text{MC}}(E_f)</w:t>
      </w:r>
      <w:r>
        <w:t xml:space="preserve"> is the motor-clutch traction force at substrate stiffness </w:t>
      </w:r>
      <w:r>
        <w:rPr>
          <w:rFonts w:ascii="Cambria Math" w:hAnsi="Cambria Math"/>
          <w:i/>
        </w:rPr>
        <w:t>E_f</w:t>
      </w:r>
      <w:r>
        <w:t xml:space="preserve"> (Section 2.5), </w:t>
      </w:r>
      <w:r>
        <w:rPr>
          <w:rFonts w:ascii="Cambria Math" w:hAnsi="Cambria Math"/>
          <w:i/>
        </w:rPr>
        <w:t>f_{\text{bridge}}</w:t>
      </w:r>
      <w:r>
        <w:t xml:space="preserve"> is the fraction of cells that have formed bridges (Poisson kinetics, Section 2.6), and </w:t>
      </w:r>
      <w:r>
        <w:rPr>
          <w:rFonts w:ascii="Cambria Math" w:hAnsi="Cambria Math"/>
          <w:i/>
        </w:rPr>
        <w:t>m</w:t>
      </w:r>
      <w:r>
        <w:t xml:space="preserve"> is the focal adhesion maturity.</w:t>
      </w:r>
    </w:p>
    <w:p>
      <w:r>
        <w:t xml:space="preserve">As the functional zone compacts, the local cell density increases as </w:t>
      </w:r>
      <w:r>
        <w:rPr>
          <w:rFonts w:ascii="Cambria Math" w:hAnsi="Cambria Math"/>
          <w:i/>
        </w:rPr>
        <w:t>1/(1 - \xi)</w:t>
      </w:r>
      <w:r>
        <w:t>, enhancing the bridging probability and effective traction. The cell traction energy is obtained by integrating the density-enhanced driving stress:</w:t>
      </w:r>
    </w:p>
    <w:p>
      <w:pPr>
        <w:spacing w:before="120" w:after="120"/>
        <w:jc w:val="center"/>
      </w:pPr>
      <w:r>
        <w:rPr>
          <w:rFonts w:ascii="Cambria Math" w:hAnsi="Cambria Math"/>
          <w:i/>
          <w:sz w:val="22"/>
        </w:rPr>
        <w:t>G_{\text{cell}}(\xi) = \sigma_{\text{cell}} \cdot \ln(1 - \xi)</w:t>
      </w:r>
    </w:p>
    <w:p>
      <w:r>
        <w:t xml:space="preserve">This expression is strictly negative for </w:t>
      </w:r>
      <w:r>
        <w:rPr>
          <w:rFonts w:ascii="Cambria Math" w:hAnsi="Cambria Math"/>
          <w:i/>
        </w:rPr>
        <w:t>\xi &gt; 0</w:t>
      </w:r>
      <w:r>
        <w:t xml:space="preserve">, reflecting the thermodynamic driving force for compaction. The logarithmic divergence as </w:t>
      </w:r>
      <w:r>
        <w:rPr>
          <w:rFonts w:ascii="Cambria Math" w:hAnsi="Cambria Math"/>
          <w:i/>
        </w:rPr>
        <w:t>\xi \to 1</w:t>
      </w:r>
      <w:r>
        <w:t xml:space="preserve"> captures the physical reality that cell density (and hence contractile stress) grows without bound as the functional zone shrinks to zero volume --- though in practice, compaction is arrested by the resistance terms long before this limit.</w:t>
      </w:r>
    </w:p>
    <w:p>
      <w:r>
        <w:rPr>
          <w:b/>
        </w:rPr>
        <w:t>Decision rationale.</w:t>
      </w:r>
      <w:r>
        <w:t xml:space="preserve"> The logarithmic form arises naturally from the density enhancement </w:t>
      </w:r>
      <w:r>
        <w:rPr>
          <w:rFonts w:ascii="Cambria Math" w:hAnsi="Cambria Math"/>
          <w:i/>
        </w:rPr>
        <w:t>\rho(\xi) = \rho_0/(1 - \xi)</w:t>
      </w:r>
      <w:r>
        <w:t xml:space="preserve"> and the assumption that per-cell traction force is independent of local density (valid in the sub-saturated regime where cells do not compete for adhesion sites). This is a conservative assumption; cooperative effects between nearby cells could further enhance traction at high density (Di Caprio et al., 2025).</w:t>
      </w:r>
    </w:p>
    <w:p>
      <w:pPr>
        <w:pStyle w:val="Heading3"/>
      </w:pPr>
      <w:r>
        <w:t>12.5 Hertzian Elastic Energy ($G_{\text{elastic}}$)</w:t>
      </w:r>
    </w:p>
    <w:p>
      <w:r>
        <w:t xml:space="preserve">When compaction drives the local functional packing fraction above the random close packing threshold </w:t>
      </w:r>
      <w:r>
        <w:rPr>
          <w:rFonts w:ascii="Cambria Math" w:hAnsi="Cambria Math"/>
          <w:i/>
        </w:rPr>
        <w:t>\phi_{\text{RCP}}</w:t>
      </w:r>
      <w:r>
        <w:t>, granules are forced into elastic contact and store Hertzian elastic energy. This is the primary resistance mechanism identified by the mean-field ODE (Section 11.3).</w:t>
      </w:r>
    </w:p>
    <w:p>
      <w:r>
        <w:t xml:space="preserve">We derive the elastic energy by integrating the ODE-consistent resistance stress </w:t>
      </w:r>
      <w:r>
        <w:rPr>
          <w:rFonts w:ascii="Cambria Math" w:hAnsi="Cambria Math"/>
          <w:i/>
        </w:rPr>
        <w:t>\sigma_{\text{resist}} = \sigma_0 \max(0, \phi_f^{\text{local}}/\phi_{\text{RCP}} - 1)</w:t>
      </w:r>
      <w:r>
        <w:t xml:space="preserve"> over the compaction coordinate. Defining the elastic onset</w:t>
      </w:r>
    </w:p>
    <w:p>
      <w:pPr>
        <w:spacing w:before="120" w:after="120"/>
        <w:jc w:val="center"/>
      </w:pPr>
      <w:r>
        <w:rPr>
          <w:rFonts w:ascii="Cambria Math" w:hAnsi="Cambria Math"/>
          <w:i/>
          <w:sz w:val="22"/>
        </w:rPr>
        <w:t>\xi_c = 1 - \frac{\phi_f}{x_{f,0} \phi_{\text{RCP}}}</w:t>
      </w:r>
    </w:p>
    <w:p>
      <w:r>
        <w:t xml:space="preserve">as the compaction at which </w:t>
      </w:r>
      <w:r>
        <w:rPr>
          <w:rFonts w:ascii="Cambria Math" w:hAnsi="Cambria Math"/>
          <w:i/>
        </w:rPr>
        <w:t>\phi_f^{\text{local}}</w:t>
      </w:r>
      <w:r>
        <w:t xml:space="preserve"> first reaches </w:t>
      </w:r>
      <w:r>
        <w:rPr>
          <w:rFonts w:ascii="Cambria Math" w:hAnsi="Cambria Math"/>
          <w:i/>
        </w:rPr>
        <w:t>\phi_{\text{RCP}}</w:t>
      </w:r>
      <w:r>
        <w:t xml:space="preserve">, the integrated elastic energy is (to leading order near </w:t>
      </w:r>
      <w:r>
        <w:rPr>
          <w:rFonts w:ascii="Cambria Math" w:hAnsi="Cambria Math"/>
          <w:i/>
        </w:rPr>
        <w:t>\xi_c</w:t>
      </w:r>
      <w:r>
        <w:t>):</w:t>
      </w:r>
    </w:p>
    <w:p>
      <w:pPr>
        <w:spacing w:before="120" w:after="120"/>
        <w:jc w:val="center"/>
      </w:pPr>
      <w:r>
        <w:rPr>
          <w:rFonts w:ascii="Cambria Math" w:hAnsi="Cambria Math"/>
          <w:i/>
          <w:sz w:val="22"/>
        </w:rPr>
        <w:t>G_{\text{elastic}}(\xi) = \frac{\sigma_0}{2} \max(0, \, \xi - \xi_c)^2</w:t>
      </w:r>
    </w:p>
    <w:p>
      <w:r>
        <w:t xml:space="preserve">where </w:t>
      </w:r>
      <w:r>
        <w:rPr>
          <w:rFonts w:ascii="Cambria Math" w:hAnsi="Cambria Math"/>
          <w:i/>
        </w:rPr>
        <w:t>\sigma_0 = 0.005 \, E_{\text{eff}}</w:t>
      </w:r>
      <w:r>
        <w:t xml:space="preserve">. This parabolic form is exact for the linearized mean-field model near the elastic onset and ensures that the energy landscape equilibrium is consistent with the ODE's force balance. The quadratic growth above </w:t>
      </w:r>
      <w:r>
        <w:rPr>
          <w:rFonts w:ascii="Cambria Math" w:hAnsi="Cambria Math"/>
          <w:i/>
        </w:rPr>
        <w:t>\xi_c</w:t>
      </w:r>
      <w:r>
        <w:t xml:space="preserve"> captures the progressive stiffening of the granular assembly as contacts deform under Hertzian mechanics (Johnson, 1985). Cai et al. (2022) demonstrated experimentally that Hertzian contact deformations accurately predict the bulk mechanical response of granular hydrogel assemblies, supporting this formulation.</w:t>
      </w:r>
    </w:p>
    <w:p>
      <w:r>
        <w:rPr>
          <w:b/>
        </w:rPr>
        <w:t>Decision rationale.</w:t>
      </w:r>
      <w:r>
        <w:t xml:space="preserve"> We use the ODE-derived parabolic form rather than the full Hertz energy (</w:t>
      </w:r>
      <w:r>
        <w:rPr>
          <w:rFonts w:ascii="Cambria Math" w:hAnsi="Cambria Math"/>
          <w:i/>
        </w:rPr>
        <w:t>\propto \delta^{5/2}</w:t>
      </w:r>
      <w:r>
        <w:t xml:space="preserve">) to maintain analytical consistency between the energy landscape and the mean-field kinetics. The two formulations agree near the onset </w:t>
      </w:r>
      <w:r>
        <w:rPr>
          <w:rFonts w:ascii="Cambria Math" w:hAnsi="Cambria Math"/>
          <w:i/>
        </w:rPr>
        <w:t>\xi_c</w:t>
      </w:r>
      <w:r>
        <w:t xml:space="preserve"> and diverge only at very high compaction where additional physics (granule plasticity, network percolation) would in any case require model extensions.</w:t>
      </w:r>
    </w:p>
    <w:p>
      <w:pPr>
        <w:pStyle w:val="Heading3"/>
      </w:pPr>
      <w:r>
        <w:t>12.6 Herschel-Bulkley Yield Barrier ($G_{\text{yield}}$)</w:t>
      </w:r>
    </w:p>
    <w:p>
      <w:r>
        <w:t xml:space="preserve">Dense granular materials exhibit a yield stress below which no macroscopic flow occurs (Liu and Nagel, 1998; O'Hern et al., 2003). For packing fractions above the jamming point </w:t>
      </w:r>
      <w:r>
        <w:rPr>
          <w:rFonts w:ascii="Cambria Math" w:hAnsi="Cambria Math"/>
          <w:i/>
        </w:rPr>
        <w:t>\phi_J</w:t>
      </w:r>
      <w:r>
        <w:t>, the yield stress scales as a power law in the distance from jamming (Olsson and Teitel, 2007, 2012; van Hecke, 2010):</w:t>
      </w:r>
    </w:p>
    <w:p>
      <w:pPr>
        <w:spacing w:before="120" w:after="120"/>
        <w:jc w:val="center"/>
      </w:pPr>
      <w:r>
        <w:rPr>
          <w:rFonts w:ascii="Cambria Math" w:hAnsi="Cambria Math"/>
          <w:i/>
          <w:sz w:val="22"/>
        </w:rPr>
        <w:t>\sigma_y = c_y \, \sigma_0 \cdot \max\!\left(0, \; \frac{\phi_f^{\text{local}}}{\phi_J} - 1\right)^{\!\Delta}</w:t>
      </w:r>
    </w:p>
    <w:p>
      <w:r>
        <w:t xml:space="preserve">where </w:t>
      </w:r>
      <w:r>
        <w:rPr>
          <w:rFonts w:ascii="Cambria Math" w:hAnsi="Cambria Math"/>
          <w:i/>
        </w:rPr>
        <w:t>\phi_J = 0.92 \, \phi_{\text{RCP}}</w:t>
      </w:r>
      <w:r>
        <w:t xml:space="preserve"> is the jamming fraction (slightly below RCP, consistent with the observation that jamming onset precedes close packing for frictional particles; van Hecke, 2010), </w:t>
      </w:r>
      <w:r>
        <w:rPr>
          <w:rFonts w:ascii="Cambria Math" w:hAnsi="Cambria Math"/>
          <w:i/>
        </w:rPr>
        <w:t>c_y = 0.25</w:t>
      </w:r>
      <w:r>
        <w:t xml:space="preserve"> is a dimensionless yield coefficient, and </w:t>
      </w:r>
      <w:r>
        <w:rPr>
          <w:rFonts w:ascii="Cambria Math" w:hAnsi="Cambria Math"/>
          <w:i/>
        </w:rPr>
        <w:t>\Delta = 3/2</w:t>
      </w:r>
      <w:r>
        <w:t xml:space="preserve"> is the O'Hern scaling exponent for frictionless soft spheres (O'Hern et al., 2003). The connection to the Herschel-Bulkley constitutive law </w:t>
      </w:r>
      <w:r>
        <w:rPr>
          <w:rFonts w:ascii="Cambria Math" w:hAnsi="Cambria Math"/>
          <w:i/>
        </w:rPr>
        <w:t>\sigma = \sigma_y + K\dot{\gamma}^n</w:t>
      </w:r>
      <w:r>
        <w:t xml:space="preserve"> enters through the yield stress term, which sets the threshold for initiating granular rearrangement.</w:t>
      </w:r>
    </w:p>
    <w:p>
      <w:r>
        <w:t>The yield stress generates an energy barrier in the compaction landscape:</w:t>
      </w:r>
    </w:p>
    <w:p>
      <w:pPr>
        <w:spacing w:before="120" w:after="120"/>
        <w:jc w:val="center"/>
      </w:pPr>
      <w:r>
        <w:rPr>
          <w:rFonts w:ascii="Cambria Math" w:hAnsi="Cambria Math"/>
          <w:i/>
          <w:sz w:val="22"/>
        </w:rPr>
        <w:t>G_{\text{yield}}(\xi) = \sigma_y(\xi) \cdot \max(0, \xi - \xi_J)</w:t>
      </w:r>
    </w:p>
    <w:p>
      <w:r>
        <w:t xml:space="preserve">where </w:t>
      </w:r>
      <w:r>
        <w:rPr>
          <w:rFonts w:ascii="Cambria Math" w:hAnsi="Cambria Math"/>
          <w:i/>
        </w:rPr>
        <w:t>\xi_J</w:t>
      </w:r>
      <w:r>
        <w:t xml:space="preserve"> is the compaction at which </w:t>
      </w:r>
      <w:r>
        <w:rPr>
          <w:rFonts w:ascii="Cambria Math" w:hAnsi="Cambria Math"/>
          <w:i/>
        </w:rPr>
        <w:t>\phi_f^{\text{local}}</w:t>
      </w:r>
      <w:r>
        <w:t xml:space="preserve"> first reaches </w:t>
      </w:r>
      <w:r>
        <w:rPr>
          <w:rFonts w:ascii="Cambria Math" w:hAnsi="Cambria Math"/>
          <w:i/>
        </w:rPr>
        <w:t>\phi_J</w:t>
      </w:r>
      <w:r>
        <w:t xml:space="preserve">. Since </w:t>
      </w:r>
      <w:r>
        <w:rPr>
          <w:rFonts w:ascii="Cambria Math" w:hAnsi="Cambria Math"/>
          <w:i/>
        </w:rPr>
        <w:t>\phi_J &lt; \phi_{\text{RCP}}</w:t>
      </w:r>
      <w:r>
        <w:t>, the yield barrier activates before the elastic resistance (</w:t>
      </w:r>
      <w:r>
        <w:rPr>
          <w:rFonts w:ascii="Cambria Math" w:hAnsi="Cambria Math"/>
          <w:i/>
        </w:rPr>
        <w:t>\xi_J &lt; \xi_c</w:t>
      </w:r>
      <w:r>
        <w:t>), creating an activation threshold that cells must overcome before macroscopic rearrangement can proceed. This is consistent with the observation that granular scaffolds maintain their shape under gravity but can be slowly restructured by sustained biological forces (Riley et al., 2019).</w:t>
      </w:r>
    </w:p>
    <w:p>
      <w:r>
        <w:rPr>
          <w:b/>
        </w:rPr>
        <w:t>Decision rationale.</w:t>
      </w:r>
      <w:r>
        <w:t xml:space="preserve"> The Herschel-Bulkley framework is the standard constitutive model for yield-stress fluids, encompassing dense granular suspensions, foams, and emulsions (Olsson and Teitel, 2012). The </w:t>
      </w:r>
      <w:r>
        <w:rPr>
          <w:rFonts w:ascii="Cambria Math" w:hAnsi="Cambria Math"/>
          <w:i/>
        </w:rPr>
        <w:t>\Delta = 3/2</w:t>
      </w:r>
      <w:r>
        <w:t xml:space="preserve"> exponent is well-established for soft frictionless particles (O'Hern et al., 2003) and provides a physically grounded scaling near jamming without introducing free parameters. The Durian bubble model (Durian, 1995) and subsequent theoretical work (Tighe et al., 2010) confirm that overdamped soft-particle systems exhibit this scaling.</w:t>
      </w:r>
    </w:p>
    <w:p>
      <w:pPr>
        <w:pStyle w:val="Heading3"/>
      </w:pPr>
      <w:r>
        <w:t>12.7 Void Redistribution Energy ($G_{\text{void}}$)</w:t>
      </w:r>
    </w:p>
    <w:p>
      <w:r>
        <w:t>Compaction expels interstitial fluid from the functional zone into the inert zone, altering the local void fractions from their initial equilibrium values. This redistribution incurs an osmotic free energy cost analogous to the osmotic pressure in concentrated emulsions (Princen, 1986) and the consolidation resistance in poroelastic media (Biot, 1941).</w:t>
      </w:r>
    </w:p>
    <w:p>
      <w:r>
        <w:t>The osmotic energy is modeled as a quadratic penalty for deviation from the initial void fractions, weighted by the zone volumes:</w:t>
      </w:r>
    </w:p>
    <w:p>
      <w:pPr>
        <w:spacing w:before="120" w:after="120"/>
        <w:jc w:val="center"/>
      </w:pPr>
      <w:r>
        <w:rPr>
          <w:rFonts w:ascii="Cambria Math" w:hAnsi="Cambria Math"/>
          <w:i/>
          <w:sz w:val="22"/>
        </w:rPr>
        <w:t>G_{\text{void}}(\xi) = \Pi \left[\left(\phi_{v,f}^{\text{local}} - \phi_{v,f}^{0}\right)^2 x_f(\xi) + \left(\phi_{v,i}^{\text{local}} - \phi_{v,i}^{0}\right)^2 (1 - x_f(\xi))\right]</w:t>
      </w:r>
    </w:p>
    <w:p>
      <w:r>
        <w:t xml:space="preserve">where </w:t>
      </w:r>
      <w:r>
        <w:rPr>
          <w:rFonts w:ascii="Cambria Math" w:hAnsi="Cambria Math"/>
          <w:i/>
        </w:rPr>
        <w:t>\Pi = 3 \, \sigma_{\text{cell}}</w:t>
      </w:r>
      <w:r>
        <w:t xml:space="preserve"> is the osmotic compressibility modulus (scaled to the cell traction stress, consistent with the observation that biological forces, not thermal fluctuations, drive void redistribution at the granular scale), and the superscript 0 denotes initial values.</w:t>
      </w:r>
    </w:p>
    <w:p>
      <w:r>
        <w:t>The quadratic form is the leading-order expansion of the free energy of mixing for a compressible pore fluid in a granular skeleton. At the granular scale, the "osmotic pressure" arises not from thermal fluctuations but from the elastic and geometric constraints of the pore network, as analyzed by Brinkman (1949) for viscous flow through dense particle swarms.</w:t>
      </w:r>
    </w:p>
    <w:p>
      <w:r>
        <w:rPr>
          <w:b/>
        </w:rPr>
        <w:t>Decision rationale.</w:t>
      </w:r>
      <w:r>
        <w:t xml:space="preserve"> The void redistribution cost is essential for capturing the observation that compaction stalls before the elastic hard wall is reached: even at packing fractions below </w:t>
      </w:r>
      <w:r>
        <w:rPr>
          <w:rFonts w:ascii="Cambria Math" w:hAnsi="Cambria Math"/>
          <w:i/>
        </w:rPr>
        <w:t>\phi_{\text{RCP}}</w:t>
      </w:r>
      <w:r>
        <w:t xml:space="preserve">, the cost of expelling fluid from the densifying functional zone creates a soft resistance that opposes further compaction. Scaling </w:t>
      </w:r>
      <w:r>
        <w:rPr>
          <w:rFonts w:ascii="Cambria Math" w:hAnsi="Cambria Math"/>
          <w:i/>
        </w:rPr>
        <w:t>\Pi</w:t>
      </w:r>
      <w:r>
        <w:t xml:space="preserve"> to </w:t>
      </w:r>
      <w:r>
        <w:rPr>
          <w:rFonts w:ascii="Cambria Math" w:hAnsi="Cambria Math"/>
          <w:i/>
        </w:rPr>
        <w:t>\sigma_{\text{cell}}</w:t>
      </w:r>
      <w:r>
        <w:t xml:space="preserve"> (rather than </w:t>
      </w:r>
      <w:r>
        <w:rPr>
          <w:rFonts w:ascii="Cambria Math" w:hAnsi="Cambria Math"/>
          <w:i/>
        </w:rPr>
        <w:t>E_{\text{eff}}</w:t>
      </w:r>
      <w:r>
        <w:t>) ensures that this term acts as a perturbative correction to the cell-elastic balance, consistent with the mean-field ODE predictions.</w:t>
      </w:r>
    </w:p>
    <w:p>
      <w:pPr>
        <w:pStyle w:val="Heading3"/>
      </w:pPr>
      <w:r>
        <w:t>12.8 Inert Granule Frustration Energy ($G_{\text{inert}}$)</w:t>
      </w:r>
    </w:p>
    <w:p>
      <w:r>
        <w:t>Inert granules act as geometric obstacles to the compaction of the functional zone. As the functional zone contracts, inert granules at the zone boundary must be displaced, creating an energetic cost that grows with the amount of compaction and the relative abundance of inert material. This frustration mechanism is analogous to the geometric frustration that prevents crystallization in binary hard-sphere mixtures and to the jamming-induced rigidity in tissue cell layers with mixed cell types (Bi et al., 2015).</w:t>
      </w:r>
    </w:p>
    <w:p>
      <w:r>
        <w:t>The frustration energy is modeled as a quadratic function of compaction, weighted by the inert-to-functional volume ratio:</w:t>
      </w:r>
    </w:p>
    <w:p>
      <w:pPr>
        <w:spacing w:before="120" w:after="120"/>
        <w:jc w:val="center"/>
      </w:pPr>
      <w:r>
        <w:rPr>
          <w:rFonts w:ascii="Cambria Math" w:hAnsi="Cambria Math"/>
          <w:i/>
          <w:sz w:val="22"/>
        </w:rPr>
        <w:t>G_{\text{inert}}(\xi) = k_f \cdot \frac{\phi_i}{\phi_f} \cdot \xi^2</w:t>
      </w:r>
    </w:p>
    <w:p>
      <w:r>
        <w:t xml:space="preserve">where </w:t>
      </w:r>
      <w:r>
        <w:rPr>
          <w:rFonts w:ascii="Cambria Math" w:hAnsi="Cambria Math"/>
          <w:i/>
        </w:rPr>
        <w:t>k_f = 1.5 \, \sigma_{\text{cell}}</w:t>
      </w:r>
      <w:r>
        <w:t xml:space="preserve"> is the frustration coefficient (scaled to the cell traction stress). The quadratic growth reflects the increasing difficulty of displacing inert granules as the functional zone contracts: early compaction pushes aside peripheral inert granules easily, while later compaction requires rearranging granules that are more deeply embedded in the scaffold.</w:t>
      </w:r>
    </w:p>
    <w:p>
      <w:r>
        <w:rPr>
          <w:b/>
        </w:rPr>
        <w:t>Decision rationale.</w:t>
      </w:r>
      <w:r>
        <w:t xml:space="preserve"> The </w:t>
      </w:r>
      <w:r>
        <w:rPr>
          <w:rFonts w:ascii="Cambria Math" w:hAnsi="Cambria Math"/>
          <w:i/>
        </w:rPr>
        <w:t>\phi_i/\phi_f</w:t>
      </w:r>
      <w:r>
        <w:t xml:space="preserve"> prefactor captures the intuition that scaffolds with more inert content relative to functional content are harder to compact, consistent with the DEM simulation results (Section 10) showing that high </w:t>
      </w:r>
      <w:r>
        <w:rPr>
          <w:rFonts w:ascii="Cambria Math" w:hAnsi="Cambria Math"/>
          <w:i/>
        </w:rPr>
        <w:t>\phi_i/\phi_f</w:t>
      </w:r>
      <w:r>
        <w:t xml:space="preserve"> runs exhibit less compaction at equal cell traction. The quadratic scaling is the simplest monotonically increasing resistance consistent with dimensional analysis.</w:t>
      </w:r>
    </w:p>
    <w:p>
      <w:pPr>
        <w:pStyle w:val="Heading3"/>
      </w:pPr>
      <w:r>
        <w:t>12.9 Interfacial Tension Energy ($G_{\gamma}$)</w:t>
      </w:r>
    </w:p>
    <w:p>
      <w:r>
        <w:t xml:space="preserve">The boundary between the functional and inert zones constitutes a material interface with an effective surface tension </w:t>
      </w:r>
      <w:r>
        <w:rPr>
          <w:rFonts w:ascii="Cambria Math" w:hAnsi="Cambria Math"/>
          <w:i/>
        </w:rPr>
        <w:t>\gamma_{fi}</w:t>
      </w:r>
      <w:r>
        <w:t xml:space="preserve"> arising from the modulus mismatch and differential adhesion between the two granule types. This interfacial energy plays a role analogous to the surface tension in foam rheology (Princen, 1979, 1983) and the cortical tension at cell-cell boundaries in tissue mechanics (Bi et al., 2015).</w:t>
      </w:r>
    </w:p>
    <w:p>
      <w:r>
        <w:t>The interfacial tension is estimated as</w:t>
      </w:r>
    </w:p>
    <w:p>
      <w:pPr>
        <w:spacing w:before="120" w:after="120"/>
        <w:jc w:val="center"/>
      </w:pPr>
      <w:r>
        <w:rPr>
          <w:rFonts w:ascii="Cambria Math" w:hAnsi="Cambria Math"/>
          <w:i/>
          <w:sz w:val="22"/>
        </w:rPr>
        <w:t>\gamma_{fi} = c_\gamma \, \sigma_{\text{cell}} \left(0.3 + \frac{|E_f - E_i|}{E_f + E_i}\right)</w:t>
      </w:r>
    </w:p>
    <w:p>
      <w:r>
        <w:t xml:space="preserve">where </w:t>
      </w:r>
      <w:r>
        <w:rPr>
          <w:rFonts w:ascii="Cambria Math" w:hAnsi="Cambria Math"/>
          <w:i/>
        </w:rPr>
        <w:t>c_\gamma = 2.5</w:t>
      </w:r>
      <w:r>
        <w:t xml:space="preserve"> is a dimensionless coefficient and the modulus mismatch factor reflects the observation that interfaces between mechanically dissimilar materials have higher effective surface tension (greater disruption of the contact force network at the boundary).</w:t>
      </w:r>
    </w:p>
    <w:p>
      <w:r>
        <w:t>The interfacial energy contains two competing contributions:</w:t>
      </w:r>
    </w:p>
    <w:p>
      <w:pPr>
        <w:spacing w:before="120" w:after="120"/>
        <w:jc w:val="center"/>
      </w:pPr>
      <w:r>
        <w:rPr>
          <w:rFonts w:ascii="Cambria Math" w:hAnsi="Cambria Math"/>
          <w:i/>
          <w:sz w:val="22"/>
        </w:rPr>
        <w:t>G_{\gamma}(\xi) = \gamma_{fi} \left[\sqrt{1 - \xi} - 1\right] + \frac{\gamma_{fi} \phi_i}{2} \xi</w:t>
      </w:r>
    </w:p>
    <w:p>
      <w:r>
        <w:t xml:space="preserve">The first term represents the energy change due to the geometric contraction of the zone boundary. In 2D, a circular zone of area fraction </w:t>
      </w:r>
      <w:r>
        <w:rPr>
          <w:rFonts w:ascii="Cambria Math" w:hAnsi="Cambria Math"/>
          <w:i/>
        </w:rPr>
        <w:t>x_f</w:t>
      </w:r>
      <w:r>
        <w:t xml:space="preserve"> has perimeter </w:t>
      </w:r>
      <w:r>
        <w:rPr>
          <w:rFonts w:ascii="Cambria Math" w:hAnsi="Cambria Math"/>
          <w:i/>
        </w:rPr>
        <w:t>P \propto \sqrt{x_f} = \sqrt{x_{f,0}(1 - \xi)}</w:t>
      </w:r>
      <w:r>
        <w:t xml:space="preserve">, so the perimeter ratio is </w:t>
      </w:r>
      <w:r>
        <w:rPr>
          <w:rFonts w:ascii="Cambria Math" w:hAnsi="Cambria Math"/>
          <w:i/>
        </w:rPr>
        <w:t>P/P_0 = \sqrt{1 - \xi}</w:t>
      </w:r>
      <w:r>
        <w:t xml:space="preserve">. Since </w:t>
      </w:r>
      <w:r>
        <w:rPr>
          <w:rFonts w:ascii="Cambria Math" w:hAnsi="Cambria Math"/>
          <w:i/>
        </w:rPr>
        <w:t>\sqrt{1 - \xi} &lt; 1</w:t>
      </w:r>
      <w:r>
        <w:t xml:space="preserve"> for </w:t>
      </w:r>
      <w:r>
        <w:rPr>
          <w:rFonts w:ascii="Cambria Math" w:hAnsi="Cambria Math"/>
          <w:i/>
        </w:rPr>
        <w:t>\xi &gt; 0</w:t>
      </w:r>
      <w:r>
        <w:t xml:space="preserve">, this term is </w:t>
      </w:r>
      <w:r>
        <w:rPr>
          <w:b/>
        </w:rPr>
        <w:t>negative</w:t>
      </w:r>
      <w:r>
        <w:t xml:space="preserve"> and favors compaction (the system lowers its interfacial energy by reducing the boundary area). This is the same driving force responsible for Ostwald ripening in emulsions and coarsening in foams.</w:t>
      </w:r>
    </w:p>
    <w:p>
      <w:r>
        <w:t xml:space="preserve">The second term is a </w:t>
      </w:r>
      <w:r>
        <w:rPr>
          <w:b/>
        </w:rPr>
        <w:t>mixing penalty</w:t>
      </w:r>
      <w:r>
        <w:t xml:space="preserve"> that accounts for inert granules trapped at or within the zone boundary. As compaction proceeds, the convoluted interphase boundary contains more inert granules, increasing the total interfacial area and opposing further compaction.</w:t>
      </w:r>
    </w:p>
    <w:p>
      <w:r>
        <w:rPr>
          <w:b/>
        </w:rPr>
        <w:t>Decision rationale.</w:t>
      </w:r>
      <w:r>
        <w:t xml:space="preserve"> Interfacial tension is a well-established driving force in the mechanics of concentrated emulsions and foams (Princen, 1979, 1983). In granular scaffolds, the "interface" between functional and inert zones is not a sharp material boundary but an emergent mesoscale feature of the biphasic packing. We assign it an effective surface tension using dimensional arguments and the modulus mismatch as a proxy for the disruption of the local force network at the zone boundary. The functional form (</w:t>
      </w:r>
      <w:r>
        <w:rPr>
          <w:rFonts w:ascii="Cambria Math" w:hAnsi="Cambria Math"/>
          <w:i/>
        </w:rPr>
        <w:t>\sqrt{1-\xi}</w:t>
      </w:r>
      <w:r>
        <w:t xml:space="preserve"> for area change, linear mixing penalty) is consistent with the scaling of interfacial area with volume fraction in 2D biphasic systems.</w:t>
      </w:r>
    </w:p>
    <w:p>
      <w:pPr>
        <w:pStyle w:val="Heading3"/>
      </w:pPr>
      <w:r>
        <w:t>12.10 Total Free Energy and Equilibrium</w:t>
      </w:r>
    </w:p>
    <w:p>
      <w:r>
        <w:t>The total free energy density is</w:t>
      </w:r>
    </w:p>
    <w:p>
      <w:pPr>
        <w:spacing w:before="120" w:after="120"/>
        <w:jc w:val="center"/>
      </w:pPr>
      <w:r>
        <w:rPr>
          <w:rFonts w:ascii="Cambria Math" w:hAnsi="Cambria Math"/>
          <w:i/>
          <w:sz w:val="22"/>
        </w:rPr>
        <w:t>G(\xi) = \sigma_{\text{cell}} \ln(1 - \xi) + \frac{\sigma_0}{2}(\xi - \xi_c)_+^2 + \sigma_y(\xi)(\xi - \xi_J)_+ + \Pi \sum_\alpha (\Delta\phi_{v,\alpha})^2 x_\alpha + k_f \frac{\phi_i}{\phi_f} \xi^2 + G_\gamma(\xi)</w:t>
      </w:r>
    </w:p>
    <w:p>
      <w:r>
        <w:t xml:space="preserve">where </w:t>
      </w:r>
      <w:r>
        <w:rPr>
          <w:rFonts w:ascii="Cambria Math" w:hAnsi="Cambria Math"/>
          <w:i/>
        </w:rPr>
        <w:t>(\cdot)_+ = \max(0, \cdot)</w:t>
      </w:r>
      <w:r>
        <w:t>.</w:t>
      </w:r>
    </w:p>
    <w:p>
      <w:r>
        <w:rPr>
          <w:b/>
        </w:rPr>
        <w:t>Equilibrium.</w:t>
      </w:r>
      <w:r>
        <w:t xml:space="preserve"> The equilibrium compaction </w:t>
      </w:r>
      <w:r>
        <w:rPr>
          <w:rFonts w:ascii="Cambria Math" w:hAnsi="Cambria Math"/>
          <w:i/>
        </w:rPr>
        <w:t>\xi^*</w:t>
      </w:r>
      <w:r>
        <w:t xml:space="preserve"> is the global minimum of </w:t>
      </w:r>
      <w:r>
        <w:rPr>
          <w:rFonts w:ascii="Cambria Math" w:hAnsi="Cambria Math"/>
          <w:i/>
        </w:rPr>
        <w:t>G(\xi)</w:t>
      </w:r>
      <w:r>
        <w:t xml:space="preserve"> on </w:t>
      </w:r>
      <w:r>
        <w:rPr>
          <w:rFonts w:ascii="Cambria Math" w:hAnsi="Cambria Math"/>
          <w:i/>
        </w:rPr>
        <w:t>[0, \xi_{\max}]</w:t>
      </w:r>
      <w:r>
        <w:t>, satisfying</w:t>
      </w:r>
    </w:p>
    <w:p>
      <w:pPr>
        <w:spacing w:before="120" w:after="120"/>
        <w:jc w:val="center"/>
      </w:pPr>
      <w:r>
        <w:rPr>
          <w:rFonts w:ascii="Cambria Math" w:hAnsi="Cambria Math"/>
          <w:i/>
          <w:sz w:val="22"/>
        </w:rPr>
        <w:t>\left.\frac{dG}{d\xi}\right|_{\xi^*} = 0, \qquad \left.\frac{d^2G}{d\xi^2}\right|_{\xi^*} &gt; 0</w:t>
      </w:r>
    </w:p>
    <w:p>
      <w:r>
        <w:t xml:space="preserve">The equilibrium condition is equivalent to a generalized force balance among all six mechanisms: cells pull the system toward higher </w:t>
      </w:r>
      <w:r>
        <w:rPr>
          <w:rFonts w:ascii="Cambria Math" w:hAnsi="Cambria Math"/>
          <w:i/>
        </w:rPr>
        <w:t>\xi</w:t>
      </w:r>
      <w:r>
        <w:t xml:space="preserve">, while elastic contacts, yield stress, void redistribution, inert frustration, and interfacial mixing push back. The position of the minimum </w:t>
      </w:r>
      <w:r>
        <w:rPr>
          <w:rFonts w:ascii="Cambria Math" w:hAnsi="Cambria Math"/>
          <w:i/>
        </w:rPr>
        <w:t>\xi^*</w:t>
      </w:r>
      <w:r>
        <w:t xml:space="preserve"> determines the final tissue architecture.</w:t>
      </w:r>
    </w:p>
    <w:p>
      <w:r>
        <w:rPr>
          <w:b/>
        </w:rPr>
        <w:t>Barrier.</w:t>
      </w:r>
      <w:r>
        <w:t xml:space="preserve"> If the yield and void terms create a local maximum at </w:t>
      </w:r>
      <w:r>
        <w:rPr>
          <w:rFonts w:ascii="Cambria Math" w:hAnsi="Cambria Math"/>
          <w:i/>
        </w:rPr>
        <w:t>\xi_b &lt; \xi^*</w:t>
      </w:r>
      <w:r>
        <w:t xml:space="preserve">, an activation barrier </w:t>
      </w:r>
      <w:r>
        <w:rPr>
          <w:rFonts w:ascii="Cambria Math" w:hAnsi="Cambria Math"/>
          <w:i/>
        </w:rPr>
        <w:t>\Delta G^* = G(\xi_b) - G(0)</w:t>
      </w:r>
      <w:r>
        <w:t xml:space="preserve"> must be overcome for compaction to initiate. This barrier is crossed when the cell traction stress exceeds the yield stress: </w:t>
      </w:r>
      <w:r>
        <w:rPr>
          <w:rFonts w:ascii="Cambria Math" w:hAnsi="Cambria Math"/>
          <w:i/>
        </w:rPr>
        <w:t>\sigma_{\text{cell}} &gt; \sigma_y(\phi_J)</w:t>
      </w:r>
      <w:r>
        <w:t>.</w:t>
      </w:r>
    </w:p>
    <w:p>
      <w:pPr>
        <w:pStyle w:val="Heading3"/>
      </w:pPr>
      <w:r>
        <w:t>12.11 Normalised Energy and Landscape Structure</w:t>
      </w:r>
    </w:p>
    <w:p>
      <w:r>
        <w:t>To reveal the landscape structure, we normalize the free energy by the cell traction scale:</w:t>
      </w:r>
    </w:p>
    <w:p>
      <w:pPr>
        <w:spacing w:before="120" w:after="120"/>
        <w:jc w:val="center"/>
      </w:pPr>
      <w:r>
        <w:rPr>
          <w:rFonts w:ascii="Cambria Math" w:hAnsi="Cambria Math"/>
          <w:i/>
          <w:sz w:val="22"/>
        </w:rPr>
        <w:t>\tilde{G}(\xi) = \frac{G(\xi)}{\sigma_{\text{cell}}}</w:t>
      </w:r>
    </w:p>
    <w:p>
      <w:r>
        <w:t xml:space="preserve">In normalized units, the cell driving term </w:t>
      </w:r>
      <w:r>
        <w:rPr>
          <w:rFonts w:ascii="Cambria Math" w:hAnsi="Cambria Math"/>
          <w:i/>
        </w:rPr>
        <w:t>\tilde{G}_{\text{cell}} = \ln(1 - \xi)</w:t>
      </w:r>
      <w:r>
        <w:t xml:space="preserve"> is </w:t>
      </w:r>
      <w:r>
        <w:rPr>
          <w:rFonts w:ascii="Cambria Math" w:hAnsi="Cambria Math"/>
          <w:i/>
        </w:rPr>
        <w:t>O(1)</w:t>
      </w:r>
      <w:r>
        <w:t xml:space="preserve">, and the resistance terms are scaled by their ratio to </w:t>
      </w:r>
      <w:r>
        <w:rPr>
          <w:rFonts w:ascii="Cambria Math" w:hAnsi="Cambria Math"/>
          <w:i/>
        </w:rPr>
        <w:t>\sigma_{\text{cell}}</w:t>
      </w:r>
      <w:r>
        <w:t>. The key ratio governing the landscape shape is</w:t>
      </w:r>
    </w:p>
    <w:p>
      <w:pPr>
        <w:spacing w:before="120" w:after="120"/>
        <w:jc w:val="center"/>
      </w:pPr>
      <w:r>
        <w:rPr>
          <w:rFonts w:ascii="Cambria Math" w:hAnsi="Cambria Math"/>
          <w:i/>
          <w:sz w:val="22"/>
        </w:rPr>
        <w:t>\frac{\sigma_0}{\sigma_{\text{cell}}} = \frac{0.005 \, E_{\text{eff}}}{\rho_{\text{cell}} \cdot F_{\text{MC}}(E_f) \cdot f_b \cdot m}</w:t>
      </w:r>
    </w:p>
    <w:p>
      <w:r>
        <w:t xml:space="preserve">When this ratio is large (stiff scaffold, few cells), the elastic parabola rises steeply and compaction is limited. When the ratio is small (soft scaffold, many cells), cells drive compaction nearly to </w:t>
      </w:r>
      <w:r>
        <w:rPr>
          <w:rFonts w:ascii="Cambria Math" w:hAnsi="Cambria Math"/>
          <w:i/>
        </w:rPr>
        <w:t>\xi_{\max}</w:t>
      </w:r>
      <w:r>
        <w:t>.</w:t>
      </w:r>
    </w:p>
    <w:p>
      <w:pPr>
        <w:pStyle w:val="Heading3"/>
      </w:pPr>
      <w:r>
        <w:t>12.12 Overdamped Kinetics on the Landscape</w:t>
      </w:r>
    </w:p>
    <w:p>
      <w:r>
        <w:t>The compaction dynamics follow overdamped gradient descent with time-dependent driving:</w:t>
      </w:r>
    </w:p>
    <w:p>
      <w:pPr>
        <w:spacing w:before="120" w:after="120"/>
        <w:jc w:val="center"/>
      </w:pPr>
      <w:r>
        <w:rPr>
          <w:rFonts w:ascii="Cambria Math" w:hAnsi="Cambria Math"/>
          <w:i/>
          <w:sz w:val="22"/>
        </w:rPr>
        <w:t>\frac{d\xi}{dt} = -\frac{1}{\eta_{\text{eff}}} \frac{dG}{d\xi}\bigg|_{f_b(t), \, m(t)}</w:t>
      </w:r>
    </w:p>
    <w:p>
      <w:r>
        <w:t xml:space="preserve">where </w:t>
      </w:r>
      <w:r>
        <w:rPr>
          <w:rFonts w:ascii="Cambria Math" w:hAnsi="Cambria Math"/>
          <w:i/>
        </w:rPr>
        <w:t>f_b(t)</w:t>
      </w:r>
      <w:r>
        <w:t xml:space="preserve"> and </w:t>
      </w:r>
      <w:r>
        <w:rPr>
          <w:rFonts w:ascii="Cambria Math" w:hAnsi="Cambria Math"/>
          <w:i/>
        </w:rPr>
        <w:t>m(t)</w:t>
      </w:r>
      <w:r>
        <w:t xml:space="preserve"> evolve according to the bridge kinetics (Section 2.6) and focal adhesion maturation (Section 2.5), respectively. At early times (</w:t>
      </w:r>
      <w:r>
        <w:rPr>
          <w:rFonts w:ascii="Cambria Math" w:hAnsi="Cambria Math"/>
          <w:i/>
        </w:rPr>
        <w:t>f_b \approx 0</w:t>
      </w:r>
      <w:r>
        <w:t>), the cell driving term vanishes and the landscape is flat; as bridges form (</w:t>
      </w:r>
      <w:r>
        <w:rPr>
          <w:rFonts w:ascii="Cambria Math" w:hAnsi="Cambria Math"/>
          <w:i/>
        </w:rPr>
        <w:t>f_b \to 1</w:t>
      </w:r>
      <w:r>
        <w:t xml:space="preserve">), the cell traction deepens the energy well and the system rolls toward </w:t>
      </w:r>
      <w:r>
        <w:rPr>
          <w:rFonts w:ascii="Cambria Math" w:hAnsi="Cambria Math"/>
          <w:i/>
        </w:rPr>
        <w:t>\xi^*</w:t>
      </w:r>
      <w:r>
        <w:t>.</w:t>
      </w:r>
    </w:p>
    <w:p>
      <w:r>
        <w:t>This time-dependent landscape is analogous to the evolving energy landscape in protein folding (Wales, 2003) and cell differentiation (Shi et al., 2022), where external parameters (temperature, signaling molecules) reshape the landscape over time, guiding the system through a sequence of metastable states toward the final equilibrium.</w:t>
      </w:r>
    </w:p>
    <w:p>
      <w:pPr>
        <w:pStyle w:val="Heading3"/>
      </w:pPr>
      <w:r>
        <w:t>12.13 Governing Dimensionless Groups</w:t>
      </w:r>
    </w:p>
    <w:p>
      <w:r>
        <w:t>Five dimensionless numbers govern the shape of the energy landscape and hence the equilibrium scaffold architecture: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r>
            <w:r>
              <w:rPr>
                <w:b/>
                <w:sz w:val="20"/>
              </w:rPr>
              <w:t>Group</w:t>
            </w:r>
          </w:p>
        </w:tc>
        <w:tc>
          <w:tcPr>
            <w:tcW w:type="dxa" w:w="2340"/>
          </w:tcPr>
          <w:p>
            <w:r>
              <w:rPr>
                <w:b/>
                <w:sz w:val="20"/>
              </w:rPr>
            </w:r>
            <w:r>
              <w:rPr>
                <w:b/>
                <w:sz w:val="20"/>
              </w:rPr>
              <w:t>Symbol</w:t>
            </w:r>
          </w:p>
        </w:tc>
        <w:tc>
          <w:tcPr>
            <w:tcW w:type="dxa" w:w="2340"/>
          </w:tcPr>
          <w:p>
            <w:r>
              <w:rPr>
                <w:b/>
                <w:sz w:val="20"/>
              </w:rPr>
            </w:r>
            <w:r>
              <w:rPr>
                <w:b/>
                <w:sz w:val="20"/>
              </w:rPr>
              <w:t>Definition</w:t>
            </w:r>
          </w:p>
        </w:tc>
        <w:tc>
          <w:tcPr>
            <w:tcW w:type="dxa" w:w="2340"/>
          </w:tcPr>
          <w:p>
            <w:r>
              <w:rPr>
                <w:b/>
                <w:sz w:val="20"/>
              </w:rPr>
            </w:r>
            <w:r>
              <w:rPr>
                <w:b/>
                <w:sz w:val="20"/>
              </w:rPr>
              <w:t>Physical meaning</w:t>
            </w:r>
          </w:p>
        </w:tc>
      </w:tr>
      <w:tr>
        <w:tc>
          <w:tcPr>
            <w:tcW w:type="dxa" w:w="2340"/>
          </w:tcPr>
          <w:p>
            <w:r>
              <w:rPr>
                <w:sz w:val="20"/>
              </w:rPr>
            </w:r>
            <w:r>
              <w:rPr>
                <w:sz w:val="20"/>
              </w:rPr>
              <w:t>Cell-to-elastic ratio</w:t>
            </w:r>
          </w:p>
        </w:tc>
        <w:tc>
          <w:tcPr>
            <w:tcW w:type="dxa" w:w="2340"/>
          </w:tcPr>
          <w:p>
            <w:r>
              <w:rPr>
                <w:sz w:val="20"/>
              </w:rPr>
            </w:r>
            <w:r>
              <w:rPr>
                <w:rFonts w:ascii="Cambria Math" w:hAnsi="Cambria Math"/>
                <w:i/>
                <w:sz w:val="20"/>
              </w:rPr>
              <w:t>\beta</w:t>
            </w:r>
          </w:p>
        </w:tc>
        <w:tc>
          <w:tcPr>
            <w:tcW w:type="dxa" w:w="2340"/>
          </w:tcPr>
          <w:p>
            <w:r>
              <w:rPr>
                <w:sz w:val="20"/>
              </w:rPr>
            </w:r>
            <w:r>
              <w:rPr>
                <w:rFonts w:ascii="Cambria Math" w:hAnsi="Cambria Math"/>
                <w:i/>
                <w:sz w:val="20"/>
              </w:rPr>
              <w:t>\sigma_{\text{cell}} / \sigma_0</w:t>
            </w:r>
          </w:p>
        </w:tc>
        <w:tc>
          <w:tcPr>
            <w:tcW w:type="dxa" w:w="2340"/>
          </w:tcPr>
          <w:p>
            <w:r>
              <w:rPr>
                <w:sz w:val="20"/>
              </w:rPr>
            </w:r>
            <w:r>
              <w:rPr>
                <w:sz w:val="20"/>
              </w:rPr>
              <w:t>Driving force vs. contact resistance</w:t>
            </w:r>
          </w:p>
        </w:tc>
      </w:tr>
      <w:tr>
        <w:tc>
          <w:tcPr>
            <w:tcW w:type="dxa" w:w="2340"/>
          </w:tcPr>
          <w:p>
            <w:r>
              <w:rPr>
                <w:sz w:val="20"/>
              </w:rPr>
            </w:r>
            <w:r>
              <w:rPr>
                <w:sz w:val="20"/>
              </w:rPr>
              <w:t>Cell-to-yield ratio (capillary number)</w:t>
            </w:r>
          </w:p>
        </w:tc>
        <w:tc>
          <w:tcPr>
            <w:tcW w:type="dxa" w:w="2340"/>
          </w:tcPr>
          <w:p>
            <w:r>
              <w:rPr>
                <w:sz w:val="20"/>
              </w:rPr>
            </w:r>
            <w:r>
              <w:rPr>
                <w:rFonts w:ascii="Cambria Math" w:hAnsi="Cambria Math"/>
                <w:i/>
                <w:sz w:val="20"/>
              </w:rPr>
              <w:t>Ca</w:t>
            </w:r>
          </w:p>
        </w:tc>
        <w:tc>
          <w:tcPr>
            <w:tcW w:type="dxa" w:w="2340"/>
          </w:tcPr>
          <w:p>
            <w:r>
              <w:rPr>
                <w:sz w:val="20"/>
              </w:rPr>
            </w:r>
            <w:r>
              <w:rPr>
                <w:rFonts w:ascii="Cambria Math" w:hAnsi="Cambria Math"/>
                <w:i/>
                <w:sz w:val="20"/>
              </w:rPr>
              <w:t>\sigma_{\text{cell}} / \sigma_y</w:t>
            </w:r>
          </w:p>
        </w:tc>
        <w:tc>
          <w:tcPr>
            <w:tcW w:type="dxa" w:w="2340"/>
          </w:tcPr>
          <w:p>
            <w:r>
              <w:rPr>
                <w:sz w:val="20"/>
              </w:rPr>
            </w:r>
            <w:r>
              <w:rPr>
                <w:sz w:val="20"/>
              </w:rPr>
              <w:t>Can cells overcome the yield barrier?</w:t>
            </w:r>
          </w:p>
        </w:tc>
      </w:tr>
      <w:tr>
        <w:tc>
          <w:tcPr>
            <w:tcW w:type="dxa" w:w="2340"/>
          </w:tcPr>
          <w:p>
            <w:r>
              <w:rPr>
                <w:sz w:val="20"/>
              </w:rPr>
            </w:r>
            <w:r>
              <w:rPr>
                <w:sz w:val="20"/>
              </w:rPr>
              <w:t>Inert obstruction</w:t>
            </w:r>
          </w:p>
        </w:tc>
        <w:tc>
          <w:tcPr>
            <w:tcW w:type="dxa" w:w="2340"/>
          </w:tcPr>
          <w:p>
            <w:r>
              <w:rPr>
                <w:sz w:val="20"/>
              </w:rPr>
            </w:r>
            <w:r>
              <w:rPr>
                <w:rFonts w:ascii="Cambria Math" w:hAnsi="Cambria Math"/>
                <w:i/>
                <w:sz w:val="20"/>
              </w:rPr>
              <w:t>\Phi_r</w:t>
            </w:r>
          </w:p>
        </w:tc>
        <w:tc>
          <w:tcPr>
            <w:tcW w:type="dxa" w:w="2340"/>
          </w:tcPr>
          <w:p>
            <w:r>
              <w:rPr>
                <w:sz w:val="20"/>
              </w:rPr>
            </w:r>
            <w:r>
              <w:rPr>
                <w:rFonts w:ascii="Cambria Math" w:hAnsi="Cambria Math"/>
                <w:i/>
                <w:sz w:val="20"/>
              </w:rPr>
              <w:t>\phi_i / \phi_f</w:t>
            </w:r>
          </w:p>
        </w:tc>
        <w:tc>
          <w:tcPr>
            <w:tcW w:type="dxa" w:w="2340"/>
          </w:tcPr>
          <w:p>
            <w:r>
              <w:rPr>
                <w:sz w:val="20"/>
              </w:rPr>
            </w:r>
            <w:r>
              <w:rPr>
                <w:sz w:val="20"/>
              </w:rPr>
              <w:t>Geometric frustration from inert granules</w:t>
            </w:r>
          </w:p>
        </w:tc>
      </w:tr>
      <w:tr>
        <w:tc>
          <w:tcPr>
            <w:tcW w:type="dxa" w:w="2340"/>
          </w:tcPr>
          <w:p>
            <w:r>
              <w:rPr>
                <w:sz w:val="20"/>
              </w:rPr>
            </w:r>
            <w:r>
              <w:rPr>
                <w:sz w:val="20"/>
              </w:rPr>
              <w:t>Packing proximity</w:t>
            </w:r>
          </w:p>
        </w:tc>
        <w:tc>
          <w:tcPr>
            <w:tcW w:type="dxa" w:w="2340"/>
          </w:tcPr>
          <w:p>
            <w:r>
              <w:rPr>
                <w:sz w:val="20"/>
              </w:rPr>
            </w:r>
            <w:r>
              <w:rPr>
                <w:rFonts w:ascii="Cambria Math" w:hAnsi="Cambria Math"/>
                <w:i/>
                <w:sz w:val="20"/>
              </w:rPr>
              <w:t>\Psi</w:t>
            </w:r>
          </w:p>
        </w:tc>
        <w:tc>
          <w:tcPr>
            <w:tcW w:type="dxa" w:w="2340"/>
          </w:tcPr>
          <w:p>
            <w:r>
              <w:rPr>
                <w:sz w:val="20"/>
              </w:rPr>
            </w:r>
            <w:r>
              <w:rPr>
                <w:rFonts w:ascii="Cambria Math" w:hAnsi="Cambria Math"/>
                <w:i/>
                <w:sz w:val="20"/>
              </w:rPr>
              <w:t>\phi_f^{\text{local}}(0) / \phi_{\text{RCP}}</w:t>
            </w:r>
          </w:p>
        </w:tc>
        <w:tc>
          <w:tcPr>
            <w:tcW w:type="dxa" w:w="2340"/>
          </w:tcPr>
          <w:p>
            <w:r>
              <w:rPr>
                <w:sz w:val="20"/>
              </w:rPr>
            </w:r>
            <w:r>
              <w:rPr>
                <w:sz w:val="20"/>
              </w:rPr>
              <w:t>How close is initial packing to RCP?</w:t>
            </w:r>
          </w:p>
        </w:tc>
      </w:tr>
      <w:tr>
        <w:tc>
          <w:tcPr>
            <w:tcW w:type="dxa" w:w="2340"/>
          </w:tcPr>
          <w:p>
            <w:r>
              <w:rPr>
                <w:sz w:val="20"/>
              </w:rPr>
            </w:r>
            <w:r>
              <w:rPr>
                <w:sz w:val="20"/>
              </w:rPr>
              <w:t>Interfacial number</w:t>
            </w:r>
          </w:p>
        </w:tc>
        <w:tc>
          <w:tcPr>
            <w:tcW w:type="dxa" w:w="2340"/>
          </w:tcPr>
          <w:p>
            <w:r>
              <w:rPr>
                <w:sz w:val="20"/>
              </w:rPr>
            </w:r>
            <w:r>
              <w:rPr>
                <w:rFonts w:ascii="Cambria Math" w:hAnsi="Cambria Math"/>
                <w:i/>
                <w:sz w:val="20"/>
              </w:rPr>
              <w:t>\Gamma</w:t>
            </w:r>
          </w:p>
        </w:tc>
        <w:tc>
          <w:tcPr>
            <w:tcW w:type="dxa" w:w="2340"/>
          </w:tcPr>
          <w:p>
            <w:r>
              <w:rPr>
                <w:sz w:val="20"/>
              </w:rPr>
            </w:r>
            <w:r>
              <w:rPr>
                <w:rFonts w:ascii="Cambria Math" w:hAnsi="Cambria Math"/>
                <w:i/>
                <w:sz w:val="20"/>
              </w:rPr>
              <w:t>\gamma_{fi} / \sigma_{\text{cell}}</w:t>
            </w:r>
          </w:p>
        </w:tc>
        <w:tc>
          <w:tcPr>
            <w:tcW w:type="dxa" w:w="2340"/>
          </w:tcPr>
          <w:p>
            <w:r>
              <w:rPr>
                <w:sz w:val="20"/>
              </w:rPr>
            </w:r>
            <w:r>
              <w:rPr>
                <w:sz w:val="20"/>
              </w:rPr>
              <w:t>Surface tension vs. cell driving</w:t>
            </w:r>
          </w:p>
        </w:tc>
      </w:tr>
    </w:tbl>
    <w:p/>
    <w:p>
      <w:r>
        <w:rPr>
          <w:b/>
        </w:rPr>
        <w:t>Design interpretation.</w:t>
      </w:r>
      <w:r>
        <w:t xml:space="preserve"> To achieve a target compaction </w:t>
      </w:r>
      <w:r>
        <w:rPr>
          <w:rFonts w:ascii="Cambria Math" w:hAnsi="Cambria Math"/>
          <w:i/>
        </w:rPr>
        <w:t>\xi^*_{\text{target}}</w:t>
      </w:r>
      <w:r>
        <w:t xml:space="preserve"> (corresponding to the desired organ architecture), the scaffold parameters (</w:t>
      </w:r>
      <w:r>
        <w:rPr>
          <w:rFonts w:ascii="Cambria Math" w:hAnsi="Cambria Math"/>
          <w:i/>
        </w:rPr>
        <w:t>E_f</w:t>
      </w:r>
      <w:r>
        <w:t xml:space="preserve">, </w:t>
      </w:r>
      <w:r>
        <w:rPr>
          <w:rFonts w:ascii="Cambria Math" w:hAnsi="Cambria Math"/>
          <w:i/>
        </w:rPr>
        <w:t>E_i</w:t>
      </w:r>
      <w:r>
        <w:t xml:space="preserve">, </w:t>
      </w:r>
      <w:r>
        <w:rPr>
          <w:rFonts w:ascii="Cambria Math" w:hAnsi="Cambria Math"/>
          <w:i/>
        </w:rPr>
        <w:t>\phi_f</w:t>
      </w:r>
      <w:r>
        <w:t xml:space="preserve">, </w:t>
      </w:r>
      <w:r>
        <w:rPr>
          <w:rFonts w:ascii="Cambria Math" w:hAnsi="Cambria Math"/>
          <w:i/>
        </w:rPr>
        <w:t>\phi_i</w:t>
      </w:r>
      <w:r>
        <w:t xml:space="preserve">, </w:t>
      </w:r>
      <w:r>
        <w:rPr>
          <w:rFonts w:ascii="Cambria Math" w:hAnsi="Cambria Math"/>
          <w:i/>
        </w:rPr>
        <w:t>R_f</w:t>
      </w:r>
      <w:r>
        <w:t xml:space="preserve">, </w:t>
      </w:r>
      <w:r>
        <w:rPr>
          <w:rFonts w:ascii="Cambria Math" w:hAnsi="Cambria Math"/>
          <w:i/>
        </w:rPr>
        <w:t>n_{\text{cells}}</w:t>
      </w:r>
      <w:r>
        <w:t xml:space="preserve">) must be chosen such that the energy minimum falls at </w:t>
      </w:r>
      <w:r>
        <w:rPr>
          <w:rFonts w:ascii="Cambria Math" w:hAnsi="Cambria Math"/>
          <w:i/>
        </w:rPr>
        <w:t>\xi^*_{\text{target}}</w:t>
      </w:r>
      <w:r>
        <w:t>. The dimensionless groups provide a reduced parameter space for this optimization:</w:t>
      </w:r>
    </w:p>
    <w:p>
      <w:pPr>
        <w:pStyle w:val="ListBullet"/>
      </w:pPr>
      <w:r>
        <w:t xml:space="preserve">Increasing </w:t>
      </w:r>
      <w:r>
        <w:rPr>
          <w:rFonts w:ascii="Cambria Math" w:hAnsi="Cambria Math"/>
          <w:i/>
        </w:rPr>
        <w:t>\beta</w:t>
      </w:r>
      <w:r>
        <w:t xml:space="preserve"> (softer scaffold or more cells) deepens the well and shifts </w:t>
      </w:r>
      <w:r>
        <w:rPr>
          <w:rFonts w:ascii="Cambria Math" w:hAnsi="Cambria Math"/>
          <w:i/>
        </w:rPr>
        <w:t>\xi^*</w:t>
      </w:r>
    </w:p>
    <w:p>
      <w:r>
        <w:t>rightward (more compaction).</w:t>
      </w:r>
    </w:p>
    <w:p>
      <w:pPr>
        <w:pStyle w:val="ListBullet"/>
      </w:pPr>
      <w:r>
        <w:t xml:space="preserve">Increasing </w:t>
      </w:r>
      <w:r>
        <w:rPr>
          <w:rFonts w:ascii="Cambria Math" w:hAnsi="Cambria Math"/>
          <w:i/>
        </w:rPr>
        <w:t>Ca</w:t>
      </w:r>
      <w:r>
        <w:t xml:space="preserve"> above 1 ensures the yield barrier is overcome.</w:t>
      </w:r>
    </w:p>
    <w:p>
      <w:pPr>
        <w:pStyle w:val="ListBullet"/>
      </w:pPr>
      <w:r>
        <w:t xml:space="preserve">Increasing </w:t>
      </w:r>
      <w:r>
        <w:rPr>
          <w:rFonts w:ascii="Cambria Math" w:hAnsi="Cambria Math"/>
          <w:i/>
        </w:rPr>
        <w:t>\Phi_r</w:t>
      </w:r>
      <w:r>
        <w:t xml:space="preserve"> (more inert content) raises the frustration floor and shifts </w:t>
      </w:r>
      <w:r>
        <w:rPr>
          <w:rFonts w:ascii="Cambria Math" w:hAnsi="Cambria Math"/>
          <w:i/>
        </w:rPr>
        <w:t>\xi^*</w:t>
      </w:r>
    </w:p>
    <w:p>
      <w:r>
        <w:t>leftward (less compaction).</w:t>
      </w:r>
    </w:p>
    <w:p>
      <w:pPr>
        <w:pStyle w:val="ListBullet"/>
      </w:pPr>
      <w:r>
        <w:t xml:space="preserve">Increasing </w:t>
      </w:r>
      <w:r>
        <w:rPr>
          <w:rFonts w:ascii="Cambria Math" w:hAnsi="Cambria Math"/>
          <w:i/>
        </w:rPr>
        <w:t>\Psi</w:t>
      </w:r>
      <w:r>
        <w:t xml:space="preserve"> toward 1 means the initial packing is already near RCP, leaving little</w:t>
      </w:r>
    </w:p>
    <w:p>
      <w:r>
        <w:t>room for compaction (</w:t>
      </w:r>
      <w:r>
        <w:rPr>
          <w:rFonts w:ascii="Cambria Math" w:hAnsi="Cambria Math"/>
          <w:i/>
        </w:rPr>
        <w:t>\xi_c</w:t>
      </w:r>
      <w:r>
        <w:t xml:space="preserve"> is small).</w:t>
      </w:r>
    </w:p>
    <w:p>
      <w:pPr>
        <w:pStyle w:val="ListBullet"/>
      </w:pPr>
      <w:r>
        <w:t xml:space="preserve">Large </w:t>
      </w:r>
      <w:r>
        <w:rPr>
          <w:rFonts w:ascii="Cambria Math" w:hAnsi="Cambria Math"/>
          <w:i/>
        </w:rPr>
        <w:t>\Gamma</w:t>
      </w:r>
      <w:r>
        <w:t xml:space="preserve"> means interfacial effects dominate; the mixing penalty can prevent</w:t>
      </w:r>
    </w:p>
    <w:p>
      <w:r>
        <w:t>compaction if inert granules are densely distributed at the zone boundary.</w:t>
      </w:r>
    </w:p>
    <w:p>
      <w:pPr>
        <w:pStyle w:val="Heading2"/>
      </w:pPr>
      <w:r>
        <w:t>13. Computational Results: Energy Landscape Analysis</w:t>
      </w:r>
    </w:p>
    <w:p>
      <w:pPr>
        <w:pStyle w:val="Heading3"/>
      </w:pPr>
      <w:r>
        <w:t>13.1 Landscape Structure Across Organ Targets</w:t>
      </w:r>
    </w:p>
    <w:p>
      <w:r>
        <w:t>The energy landscape was computed for four representative organ targets using optimal scaffold parameters identified by the mean-field parameter sweep (Section 10). The results reveal qualitatively distinct landscape shapes: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r>
            <w:r>
              <w:rPr>
                <w:b/>
                <w:sz w:val="20"/>
              </w:rPr>
              <w:t>Organ Target</w:t>
            </w:r>
          </w:p>
        </w:tc>
        <w:tc>
          <w:tcPr>
            <w:tcW w:type="dxa" w:w="1560"/>
          </w:tcPr>
          <w:p>
            <w:r>
              <w:rPr>
                <w:b/>
                <w:sz w:val="20"/>
              </w:rPr>
            </w:r>
            <w:r>
              <w:rPr>
                <w:rFonts w:ascii="Cambria Math" w:hAnsi="Cambria Math"/>
                <w:b/>
                <w:i/>
                <w:sz w:val="20"/>
              </w:rPr>
              <w:t>D_{\text{arch}}</w:t>
            </w:r>
          </w:p>
        </w:tc>
        <w:tc>
          <w:tcPr>
            <w:tcW w:type="dxa" w:w="1560"/>
          </w:tcPr>
          <w:p>
            <w:r>
              <w:rPr>
                <w:b/>
                <w:sz w:val="20"/>
              </w:rPr>
            </w:r>
            <w:r>
              <w:rPr>
                <w:rFonts w:ascii="Cambria Math" w:hAnsi="Cambria Math"/>
                <w:b/>
                <w:i/>
                <w:sz w:val="20"/>
              </w:rPr>
              <w:t>\xi_{\max}</w:t>
            </w:r>
          </w:p>
        </w:tc>
        <w:tc>
          <w:tcPr>
            <w:tcW w:type="dxa" w:w="1560"/>
          </w:tcPr>
          <w:p>
            <w:r>
              <w:rPr>
                <w:b/>
                <w:sz w:val="20"/>
              </w:rPr>
            </w:r>
            <w:r>
              <w:rPr>
                <w:rFonts w:ascii="Cambria Math" w:hAnsi="Cambria Math"/>
                <w:b/>
                <w:i/>
                <w:sz w:val="20"/>
              </w:rPr>
              <w:t>\xi^*</w:t>
            </w:r>
          </w:p>
        </w:tc>
        <w:tc>
          <w:tcPr>
            <w:tcW w:type="dxa" w:w="1560"/>
          </w:tcPr>
          <w:p>
            <w:r>
              <w:rPr>
                <w:b/>
                <w:sz w:val="20"/>
              </w:rPr>
            </w:r>
            <w:r>
              <w:rPr>
                <w:rFonts w:ascii="Cambria Math" w:hAnsi="Cambria Math"/>
                <w:b/>
                <w:i/>
                <w:sz w:val="20"/>
              </w:rPr>
              <w:t>\tilde{G}^*</w:t>
            </w:r>
          </w:p>
        </w:tc>
        <w:tc>
          <w:tcPr>
            <w:tcW w:type="dxa" w:w="1560"/>
          </w:tcPr>
          <w:p>
            <w:r>
              <w:rPr>
                <w:b/>
                <w:sz w:val="20"/>
              </w:rPr>
            </w:r>
            <w:r>
              <w:rPr>
                <w:b/>
                <w:sz w:val="20"/>
              </w:rPr>
              <w:t>Dominant resistance</w:t>
            </w:r>
          </w:p>
        </w:tc>
      </w:tr>
      <w:tr>
        <w:tc>
          <w:tcPr>
            <w:tcW w:type="dxa" w:w="1560"/>
          </w:tcPr>
          <w:p>
            <w:r>
              <w:rPr>
                <w:sz w:val="20"/>
              </w:rPr>
            </w:r>
            <w:r>
              <w:rPr>
                <w:sz w:val="20"/>
              </w:rPr>
              <w:t>Trabecular bone</w:t>
            </w:r>
          </w:p>
        </w:tc>
        <w:tc>
          <w:tcPr>
            <w:tcW w:type="dxa" w:w="1560"/>
          </w:tcPr>
          <w:p>
            <w:r>
              <w:rPr>
                <w:sz w:val="20"/>
              </w:rPr>
            </w:r>
            <w:r>
              <w:rPr>
                <w:sz w:val="20"/>
              </w:rPr>
              <w:t>5.7</w:t>
            </w:r>
          </w:p>
        </w:tc>
        <w:tc>
          <w:tcPr>
            <w:tcW w:type="dxa" w:w="1560"/>
          </w:tcPr>
          <w:p>
            <w:r>
              <w:rPr>
                <w:sz w:val="20"/>
              </w:rPr>
            </w:r>
            <w:r>
              <w:rPr>
                <w:sz w:val="20"/>
              </w:rPr>
              <w:t>0.589</w:t>
            </w:r>
          </w:p>
        </w:tc>
        <w:tc>
          <w:tcPr>
            <w:tcW w:type="dxa" w:w="1560"/>
          </w:tcPr>
          <w:p>
            <w:r>
              <w:rPr>
                <w:sz w:val="20"/>
              </w:rPr>
            </w:r>
            <w:r>
              <w:rPr>
                <w:sz w:val="20"/>
              </w:rPr>
              <w:t>0.577</w:t>
            </w:r>
          </w:p>
        </w:tc>
        <w:tc>
          <w:tcPr>
            <w:tcW w:type="dxa" w:w="1560"/>
          </w:tcPr>
          <w:p>
            <w:r>
              <w:rPr>
                <w:sz w:val="20"/>
              </w:rPr>
            </w:r>
            <w:r>
              <w:rPr>
                <w:rFonts w:ascii="Cambria Math" w:hAnsi="Cambria Math"/>
                <w:i/>
                <w:sz w:val="20"/>
              </w:rPr>
              <w:t>-0.56</w:t>
            </w:r>
          </w:p>
        </w:tc>
        <w:tc>
          <w:tcPr>
            <w:tcW w:type="dxa" w:w="1560"/>
          </w:tcPr>
          <w:p>
            <w:r>
              <w:rPr>
                <w:sz w:val="20"/>
              </w:rPr>
            </w:r>
            <w:r>
              <w:rPr>
                <w:sz w:val="20"/>
              </w:rPr>
              <w:t xml:space="preserve">Elastic (near </w:t>
            </w:r>
            <w:r>
              <w:rPr>
                <w:rFonts w:ascii="Cambria Math" w:hAnsi="Cambria Math"/>
                <w:i/>
                <w:sz w:val="20"/>
              </w:rPr>
              <w:t>\xi_{\max}</w:t>
            </w:r>
            <w:r>
              <w:rPr>
                <w:sz w:val="20"/>
              </w:rPr>
              <w:t>)</w:t>
            </w:r>
          </w:p>
        </w:tc>
      </w:tr>
      <w:tr>
        <w:tc>
          <w:tcPr>
            <w:tcW w:type="dxa" w:w="1560"/>
          </w:tcPr>
          <w:p>
            <w:r>
              <w:rPr>
                <w:sz w:val="20"/>
              </w:rPr>
            </w:r>
            <w:r>
              <w:rPr>
                <w:sz w:val="20"/>
              </w:rPr>
              <w:t>Intestinal mucosa</w:t>
            </w:r>
          </w:p>
        </w:tc>
        <w:tc>
          <w:tcPr>
            <w:tcW w:type="dxa" w:w="1560"/>
          </w:tcPr>
          <w:p>
            <w:r>
              <w:rPr>
                <w:sz w:val="20"/>
              </w:rPr>
            </w:r>
            <w:r>
              <w:rPr>
                <w:sz w:val="20"/>
              </w:rPr>
              <w:t>7.7</w:t>
            </w:r>
          </w:p>
        </w:tc>
        <w:tc>
          <w:tcPr>
            <w:tcW w:type="dxa" w:w="1560"/>
          </w:tcPr>
          <w:p>
            <w:r>
              <w:rPr>
                <w:sz w:val="20"/>
              </w:rPr>
            </w:r>
            <w:r>
              <w:rPr>
                <w:sz w:val="20"/>
              </w:rPr>
              <w:t>0.382</w:t>
            </w:r>
          </w:p>
        </w:tc>
        <w:tc>
          <w:tcPr>
            <w:tcW w:type="dxa" w:w="1560"/>
          </w:tcPr>
          <w:p>
            <w:r>
              <w:rPr>
                <w:sz w:val="20"/>
              </w:rPr>
            </w:r>
            <w:r>
              <w:rPr>
                <w:sz w:val="20"/>
              </w:rPr>
              <w:t>0.375</w:t>
            </w:r>
          </w:p>
        </w:tc>
        <w:tc>
          <w:tcPr>
            <w:tcW w:type="dxa" w:w="1560"/>
          </w:tcPr>
          <w:p>
            <w:r>
              <w:rPr>
                <w:sz w:val="20"/>
              </w:rPr>
            </w:r>
            <w:r>
              <w:rPr>
                <w:rFonts w:ascii="Cambria Math" w:hAnsi="Cambria Math"/>
                <w:i/>
                <w:sz w:val="20"/>
              </w:rPr>
              <w:t>-0.57</w:t>
            </w:r>
          </w:p>
        </w:tc>
        <w:tc>
          <w:tcPr>
            <w:tcW w:type="dxa" w:w="1560"/>
          </w:tcPr>
          <w:p>
            <w:r>
              <w:rPr>
                <w:sz w:val="20"/>
              </w:rPr>
            </w:r>
            <w:r>
              <w:rPr>
                <w:sz w:val="20"/>
              </w:rPr>
              <w:t>Elastic + void</w:t>
            </w:r>
          </w:p>
        </w:tc>
      </w:tr>
      <w:tr>
        <w:tc>
          <w:tcPr>
            <w:tcW w:type="dxa" w:w="1560"/>
          </w:tcPr>
          <w:p>
            <w:r>
              <w:rPr>
                <w:sz w:val="20"/>
              </w:rPr>
            </w:r>
            <w:r>
              <w:rPr>
                <w:sz w:val="20"/>
              </w:rPr>
              <w:t>Kidney cortex</w:t>
            </w:r>
          </w:p>
        </w:tc>
        <w:tc>
          <w:tcPr>
            <w:tcW w:type="dxa" w:w="1560"/>
          </w:tcPr>
          <w:p>
            <w:r>
              <w:rPr>
                <w:sz w:val="20"/>
              </w:rPr>
            </w:r>
            <w:r>
              <w:rPr>
                <w:sz w:val="20"/>
              </w:rPr>
              <w:t>9.1</w:t>
            </w:r>
          </w:p>
        </w:tc>
        <w:tc>
          <w:tcPr>
            <w:tcW w:type="dxa" w:w="1560"/>
          </w:tcPr>
          <w:p>
            <w:r>
              <w:rPr>
                <w:sz w:val="20"/>
              </w:rPr>
            </w:r>
            <w:r>
              <w:rPr>
                <w:sz w:val="20"/>
              </w:rPr>
              <w:t>0.217</w:t>
            </w:r>
          </w:p>
        </w:tc>
        <w:tc>
          <w:tcPr>
            <w:tcW w:type="dxa" w:w="1560"/>
          </w:tcPr>
          <w:p>
            <w:r>
              <w:rPr>
                <w:sz w:val="20"/>
              </w:rPr>
            </w:r>
            <w:r>
              <w:rPr>
                <w:sz w:val="20"/>
              </w:rPr>
              <w:t>0.213</w:t>
            </w:r>
          </w:p>
        </w:tc>
        <w:tc>
          <w:tcPr>
            <w:tcW w:type="dxa" w:w="1560"/>
          </w:tcPr>
          <w:p>
            <w:r>
              <w:rPr>
                <w:sz w:val="20"/>
              </w:rPr>
            </w:r>
            <w:r>
              <w:rPr>
                <w:rFonts w:ascii="Cambria Math" w:hAnsi="Cambria Math"/>
                <w:i/>
                <w:sz w:val="20"/>
              </w:rPr>
              <w:t>-0.19</w:t>
            </w:r>
          </w:p>
        </w:tc>
        <w:tc>
          <w:tcPr>
            <w:tcW w:type="dxa" w:w="1560"/>
          </w:tcPr>
          <w:p>
            <w:r>
              <w:rPr>
                <w:sz w:val="20"/>
              </w:rPr>
            </w:r>
            <w:r>
              <w:rPr>
                <w:sz w:val="20"/>
              </w:rPr>
              <w:t>Elastic + inert</w:t>
            </w:r>
          </w:p>
        </w:tc>
      </w:tr>
      <w:tr>
        <w:tc>
          <w:tcPr>
            <w:tcW w:type="dxa" w:w="1560"/>
          </w:tcPr>
          <w:p>
            <w:r>
              <w:rPr>
                <w:sz w:val="20"/>
              </w:rPr>
            </w:r>
            <w:r>
              <w:rPr>
                <w:sz w:val="20"/>
              </w:rPr>
              <w:t>Cardiac muscle</w:t>
            </w:r>
          </w:p>
        </w:tc>
        <w:tc>
          <w:tcPr>
            <w:tcW w:type="dxa" w:w="1560"/>
          </w:tcPr>
          <w:p>
            <w:r>
              <w:rPr>
                <w:sz w:val="20"/>
              </w:rPr>
            </w:r>
            <w:r>
              <w:rPr>
                <w:sz w:val="20"/>
              </w:rPr>
              <w:t>9.2</w:t>
            </w:r>
          </w:p>
        </w:tc>
        <w:tc>
          <w:tcPr>
            <w:tcW w:type="dxa" w:w="1560"/>
          </w:tcPr>
          <w:p>
            <w:r>
              <w:rPr>
                <w:sz w:val="20"/>
              </w:rPr>
            </w:r>
            <w:r>
              <w:rPr>
                <w:sz w:val="20"/>
              </w:rPr>
              <w:t>0.218</w:t>
            </w:r>
          </w:p>
        </w:tc>
        <w:tc>
          <w:tcPr>
            <w:tcW w:type="dxa" w:w="1560"/>
          </w:tcPr>
          <w:p>
            <w:r>
              <w:rPr>
                <w:sz w:val="20"/>
              </w:rPr>
            </w:r>
            <w:r>
              <w:rPr>
                <w:sz w:val="20"/>
              </w:rPr>
              <w:t>0.096</w:t>
            </w:r>
          </w:p>
        </w:tc>
        <w:tc>
          <w:tcPr>
            <w:tcW w:type="dxa" w:w="1560"/>
          </w:tcPr>
          <w:p>
            <w:r>
              <w:rPr>
                <w:sz w:val="20"/>
              </w:rPr>
            </w:r>
            <w:r>
              <w:rPr>
                <w:rFonts w:ascii="Cambria Math" w:hAnsi="Cambria Math"/>
                <w:i/>
                <w:sz w:val="20"/>
              </w:rPr>
              <w:t>-0.14</w:t>
            </w:r>
          </w:p>
        </w:tc>
        <w:tc>
          <w:tcPr>
            <w:tcW w:type="dxa" w:w="1560"/>
          </w:tcPr>
          <w:p>
            <w:r>
              <w:rPr>
                <w:sz w:val="20"/>
              </w:rPr>
            </w:r>
            <w:r>
              <w:rPr>
                <w:sz w:val="20"/>
              </w:rPr>
              <w:t>Yield + inert + elastic</w:t>
            </w:r>
          </w:p>
        </w:tc>
      </w:tr>
    </w:tbl>
    <w:p/>
    <w:p>
      <w:r>
        <w:rPr>
          <w:b/>
        </w:rPr>
        <w:t>Trabecular bone</w:t>
      </w:r>
      <w:r>
        <w:t xml:space="preserve"> (</w:t>
      </w:r>
      <w:r>
        <w:rPr>
          <w:rFonts w:ascii="Cambria Math" w:hAnsi="Cambria Math"/>
          <w:i/>
        </w:rPr>
        <w:t>D = 5.7</w:t>
      </w:r>
      <w:r>
        <w:t xml:space="preserve">, the most accessible target) exhibits a deep well with </w:t>
      </w:r>
      <w:r>
        <w:rPr>
          <w:rFonts w:ascii="Cambria Math" w:hAnsi="Cambria Math"/>
          <w:i/>
        </w:rPr>
        <w:t>\xi^*</w:t>
      </w:r>
      <w:r>
        <w:t xml:space="preserve"> approaching </w:t>
      </w:r>
      <w:r>
        <w:rPr>
          <w:rFonts w:ascii="Cambria Math" w:hAnsi="Cambria Math"/>
          <w:i/>
        </w:rPr>
        <w:t>\xi_{\max}</w:t>
      </w:r>
      <w:r>
        <w:t>, indicating that cell traction can drive nearly maximal compaction. The landscape is dominated by the cell-elastic balance, with perturbative contributions from the other terms.</w:t>
      </w:r>
    </w:p>
    <w:p>
      <w:r>
        <w:rPr>
          <w:b/>
        </w:rPr>
        <w:t>Cardiac muscle</w:t>
      </w:r>
      <w:r>
        <w:t xml:space="preserve"> (</w:t>
      </w:r>
      <w:r>
        <w:rPr>
          <w:rFonts w:ascii="Cambria Math" w:hAnsi="Cambria Math"/>
          <w:i/>
        </w:rPr>
        <w:t>D = 9.2</w:t>
      </w:r>
      <w:r>
        <w:t xml:space="preserve">, the most challenging target) shows a shallow well with </w:t>
      </w:r>
      <w:r>
        <w:rPr>
          <w:rFonts w:ascii="Cambria Math" w:hAnsi="Cambria Math"/>
          <w:i/>
        </w:rPr>
        <w:t>\xi^* \approx 0.10</w:t>
      </w:r>
      <w:r>
        <w:t>, reflecting the strong resistance from a stiff scaffold with high inert content. The yield barrier is significant, and the inert frustration term contributes substantially to limiting compaction.</w:t>
      </w:r>
    </w:p>
    <w:p>
      <w:pPr>
        <w:pStyle w:val="Heading3"/>
      </w:pPr>
      <w:r>
        <w:t>13.2 Time Evolution of the Landscape</w:t>
      </w:r>
    </w:p>
    <w:p>
      <w:r>
        <w:t xml:space="preserve">The energy landscape evolves as cells mature and bridges form. At </w:t>
      </w:r>
      <w:r>
        <w:rPr>
          <w:rFonts w:ascii="Cambria Math" w:hAnsi="Cambria Math"/>
          <w:i/>
        </w:rPr>
        <w:t>t = 0</w:t>
      </w:r>
      <w:r>
        <w:t xml:space="preserve"> (no bridges), the landscape is flat (no cell driving). As </w:t>
      </w:r>
      <w:r>
        <w:rPr>
          <w:rFonts w:ascii="Cambria Math" w:hAnsi="Cambria Math"/>
          <w:i/>
        </w:rPr>
        <w:t>f_b</w:t>
      </w:r>
      <w:r>
        <w:t xml:space="preserve"> increases from 0 to 1 over approximately 10--20 hours, the cell traction well deepens progressively, pulling the equilibrium toward higher </w:t>
      </w:r>
      <w:r>
        <w:rPr>
          <w:rFonts w:ascii="Cambria Math" w:hAnsi="Cambria Math"/>
          <w:i/>
        </w:rPr>
        <w:t>\xi</w:t>
      </w:r>
      <w:r>
        <w:t xml:space="preserve">. The final landscape shape (at </w:t>
      </w:r>
      <w:r>
        <w:rPr>
          <w:rFonts w:ascii="Cambria Math" w:hAnsi="Cambria Math"/>
          <w:i/>
        </w:rPr>
        <w:t>f_b = 1</w:t>
      </w:r>
      <w:r>
        <w:t xml:space="preserve">, </w:t>
      </w:r>
      <w:r>
        <w:rPr>
          <w:rFonts w:ascii="Cambria Math" w:hAnsi="Cambria Math"/>
          <w:i/>
        </w:rPr>
        <w:t>m = 1</w:t>
      </w:r>
      <w:r>
        <w:t>) determines the long-time compaction.</w:t>
      </w:r>
    </w:p>
    <w:p>
      <w:r>
        <w:t xml:space="preserve">The kinetics on the evolving landscape show a characteristic S-shaped trajectory </w:t>
      </w:r>
      <w:r>
        <w:rPr>
          <w:rFonts w:ascii="Cambria Math" w:hAnsi="Cambria Math"/>
          <w:i/>
        </w:rPr>
        <w:t>\xi(t)</w:t>
      </w:r>
      <w:r>
        <w:t>, with three phases:</w:t>
      </w:r>
    </w:p>
    <w:p>
      <w:pPr>
        <w:pStyle w:val="ListNumber"/>
      </w:pPr>
      <w:r>
        <w:rPr>
          <w:b/>
        </w:rPr>
        <w:t>Lag phase</w:t>
      </w:r>
      <w:r>
        <w:t xml:space="preserve"> (0--5 h): Cells attach and spread; </w:t>
      </w:r>
      <w:r>
        <w:rPr>
          <w:rFonts w:ascii="Cambria Math" w:hAnsi="Cambria Math"/>
          <w:i/>
        </w:rPr>
        <w:t>f_b \approx 0</w:t>
      </w:r>
      <w:r>
        <w:t>; no compaction.</w:t>
      </w:r>
    </w:p>
    <w:p>
      <w:pPr>
        <w:pStyle w:val="ListNumber"/>
      </w:pPr>
      <w:r>
        <w:rPr>
          <w:b/>
        </w:rPr>
        <w:t>Rapid compaction</w:t>
      </w:r>
      <w:r>
        <w:t xml:space="preserve"> (5--20 h): Bridges form rapidly; the energy well deepens; the</w:t>
      </w:r>
    </w:p>
    <w:p>
      <w:r>
        <w:t>system accelerates toward the minimum.</w:t>
      </w:r>
    </w:p>
    <w:p>
      <w:pPr>
        <w:pStyle w:val="ListNumber"/>
      </w:pPr>
      <w:r>
        <w:rPr>
          <w:b/>
        </w:rPr>
        <w:t>Equilibration</w:t>
      </w:r>
      <w:r>
        <w:t xml:space="preserve"> (20--72 h): </w:t>
      </w:r>
      <w:r>
        <w:rPr>
          <w:rFonts w:ascii="Cambria Math" w:hAnsi="Cambria Math"/>
          <w:i/>
        </w:rPr>
        <w:t>\xi(t)</w:t>
      </w:r>
      <w:r>
        <w:t xml:space="preserve"> asymptotes to </w:t>
      </w:r>
      <w:r>
        <w:rPr>
          <w:rFonts w:ascii="Cambria Math" w:hAnsi="Cambria Math"/>
          <w:i/>
        </w:rPr>
        <w:t>\xi^*</w:t>
      </w:r>
      <w:r>
        <w:t xml:space="preserve"> as the driving stress</w:t>
      </w:r>
    </w:p>
    <w:p>
      <w:r>
        <w:t>equilibrates with the resistance.</w:t>
      </w:r>
    </w:p>
    <w:p>
      <w:pPr>
        <w:pStyle w:val="Heading3"/>
      </w:pPr>
      <w:r>
        <w:t>13.3 Energy Decomposition at Equilibrium</w:t>
      </w:r>
    </w:p>
    <w:p>
      <w:r>
        <w:t xml:space="preserve">The stacked decomposition of energy terms at </w:t>
      </w:r>
      <w:r>
        <w:rPr>
          <w:rFonts w:ascii="Cambria Math" w:hAnsi="Cambria Math"/>
          <w:i/>
        </w:rPr>
        <w:t>\xi^*</w:t>
      </w:r>
      <w:r>
        <w:t xml:space="preserve"> reveals the relative importance of each mechanism for each organ target. The cell traction and interfacial tension terms are consistently negative (driving), while elastic, yield, void, and inert terms are positive (resisting). The balance varies by organ: bone and mucosa are cell-dominated (large negative </w:t>
      </w:r>
      <w:r>
        <w:rPr>
          <w:rFonts w:ascii="Cambria Math" w:hAnsi="Cambria Math"/>
          <w:i/>
        </w:rPr>
        <w:t>\tilde{G}_{\text{cell}}</w:t>
      </w:r>
      <w:r>
        <w:t xml:space="preserve">), while kidney and cardiac are resistance-dominated (large positive </w:t>
      </w:r>
      <w:r>
        <w:rPr>
          <w:rFonts w:ascii="Cambria Math" w:hAnsi="Cambria Math"/>
          <w:i/>
        </w:rPr>
        <w:t>\tilde{G}_{\text{elastic}} + \tilde{G}_{\text{inert}}</w:t>
      </w:r>
      <w:r>
        <w:t>).</w:t>
      </w:r>
    </w:p>
    <w:p>
      <w:pPr>
        <w:pStyle w:val="Heading3"/>
      </w:pPr>
      <w:r>
        <w:t>13.4 Design Space Maps</w:t>
      </w:r>
    </w:p>
    <w:p>
      <w:r>
        <w:t xml:space="preserve">Two-dimensional heat maps of </w:t>
      </w:r>
      <w:r>
        <w:rPr>
          <w:rFonts w:ascii="Cambria Math" w:hAnsi="Cambria Math"/>
          <w:i/>
        </w:rPr>
        <w:t>\xi^*</w:t>
      </w:r>
      <w:r>
        <w:t xml:space="preserve"> over key parameter pairs reveal the design sensitivities:</w:t>
      </w:r>
    </w:p>
    <w:p>
      <w:pPr>
        <w:pStyle w:val="ListBullet"/>
      </w:pPr>
      <w:r>
        <w:rPr>
          <w:b/>
        </w:rPr>
        <w:t>$E_f$ vs. $\phi_f$:</w:t>
      </w:r>
      <w:r>
        <w:t xml:space="preserve"> Compaction increases with </w:t>
      </w:r>
      <w:r>
        <w:rPr>
          <w:rFonts w:ascii="Cambria Math" w:hAnsi="Cambria Math"/>
          <w:i/>
        </w:rPr>
        <w:t>\phi_f</w:t>
      </w:r>
      <w:r>
        <w:t xml:space="preserve"> (more functional material</w:t>
      </w:r>
    </w:p>
    <w:p>
      <w:r>
        <w:t xml:space="preserve">to compact) and decreases with </w:t>
      </w:r>
      <w:r>
        <w:rPr>
          <w:rFonts w:ascii="Cambria Math" w:hAnsi="Cambria Math"/>
          <w:i/>
        </w:rPr>
        <w:t>E_f</w:t>
      </w:r>
      <w:r>
        <w:t xml:space="preserve"> (stiffer scaffold resists deformation). The gradient is steeper along </w:t>
      </w:r>
      <w:r>
        <w:rPr>
          <w:rFonts w:ascii="Cambria Math" w:hAnsi="Cambria Math"/>
          <w:i/>
        </w:rPr>
        <w:t>\phi_f</w:t>
      </w:r>
      <w:r>
        <w:t>, indicating composition is a stronger lever than stiffness.</w:t>
      </w:r>
    </w:p>
    <w:p>
      <w:pPr>
        <w:pStyle w:val="ListBullet"/>
      </w:pPr>
      <w:r>
        <w:rPr>
          <w:b/>
        </w:rPr>
        <w:t>$\phi_i$ vs. $R_f$:</w:t>
      </w:r>
      <w:r>
        <w:t xml:space="preserve"> Higher inert content suppresses compaction through geometric</w:t>
      </w:r>
    </w:p>
    <w:p>
      <w:r>
        <w:t>frustration. Larger granule radii slightly reduce compaction (fewer granules per domain, lower cell density).</w:t>
      </w:r>
    </w:p>
    <w:p>
      <w:pPr>
        <w:pStyle w:val="ListBullet"/>
      </w:pPr>
      <w:r>
        <w:rPr>
          <w:b/>
        </w:rPr>
        <w:t>$E_f$ vs. $E_i$:</w:t>
      </w:r>
      <w:r>
        <w:t xml:space="preserve"> The modulus mismatch affects both the elastic resistance</w:t>
      </w:r>
    </w:p>
    <w:p>
      <w:r>
        <w:t>(</w:t>
      </w:r>
      <w:r>
        <w:rPr>
          <w:rFonts w:ascii="Cambria Math" w:hAnsi="Cambria Math"/>
          <w:i/>
        </w:rPr>
        <w:t>E_{\text{eff}}</w:t>
      </w:r>
      <w:r>
        <w:t>) and the interfacial tension (</w:t>
      </w:r>
      <w:r>
        <w:rPr>
          <w:rFonts w:ascii="Cambria Math" w:hAnsi="Cambria Math"/>
          <w:i/>
        </w:rPr>
        <w:t>\gamma_{fi}</w:t>
      </w:r>
      <w:r>
        <w:t>). Along the equal-modulus diagonal (</w:t>
      </w:r>
      <w:r>
        <w:rPr>
          <w:rFonts w:ascii="Cambria Math" w:hAnsi="Cambria Math"/>
          <w:i/>
        </w:rPr>
        <w:t>E_f = E_i</w:t>
      </w:r>
      <w:r>
        <w:t>), interfacial effects are minimized.</w:t>
      </w:r>
    </w:p>
    <w:p>
      <w:pPr>
        <w:pStyle w:val="Heading2"/>
      </w:pPr>
      <w:r>
        <w:t>14. Design Rules from the Energy Landscape</w:t>
      </w:r>
    </w:p>
    <w:p>
      <w:pPr>
        <w:pStyle w:val="Heading3"/>
      </w:pPr>
      <w:r>
        <w:t>14.1 General Principles</w:t>
      </w:r>
    </w:p>
    <w:p>
      <w:r>
        <w:t>The energy landscape framework yields the following design rules for targeting specific tissue architectures:</w:t>
      </w:r>
    </w:p>
    <w:p>
      <w:pPr>
        <w:pStyle w:val="ListNumber"/>
      </w:pPr>
      <w:r>
        <w:rPr>
          <w:b/>
        </w:rPr>
        <w:t>To increase compaction</w:t>
      </w:r>
      <w:r>
        <w:t xml:space="preserve"> (e.g., trabecular bone): Decrease </w:t>
      </w:r>
      <w:r>
        <w:rPr>
          <w:rFonts w:ascii="Cambria Math" w:hAnsi="Cambria Math"/>
          <w:i/>
        </w:rPr>
        <w:t>E_f</w:t>
      </w:r>
      <w:r>
        <w:t xml:space="preserve"> (softer functional</w:t>
      </w:r>
    </w:p>
    <w:p>
      <w:r>
        <w:t xml:space="preserve">granules), increase </w:t>
      </w:r>
      <w:r>
        <w:rPr>
          <w:rFonts w:ascii="Cambria Math" w:hAnsi="Cambria Math"/>
          <w:i/>
        </w:rPr>
        <w:t>n_{\text{cells}}</w:t>
      </w:r>
      <w:r>
        <w:t xml:space="preserve"> (more driving force), decrease </w:t>
      </w:r>
      <w:r>
        <w:rPr>
          <w:rFonts w:ascii="Cambria Math" w:hAnsi="Cambria Math"/>
          <w:i/>
        </w:rPr>
        <w:t>\phi_i/\phi_f</w:t>
      </w:r>
      <w:r>
        <w:t xml:space="preserve"> (less inert obstruction), or increase cell sensing distance (more bridges).</w:t>
      </w:r>
    </w:p>
    <w:p>
      <w:pPr>
        <w:pStyle w:val="ListNumber"/>
      </w:pPr>
      <w:r>
        <w:rPr>
          <w:b/>
        </w:rPr>
        <w:t>To decrease compaction</w:t>
      </w:r>
      <w:r>
        <w:t xml:space="preserve"> (e.g., cardiac muscle): Increase </w:t>
      </w:r>
      <w:r>
        <w:rPr>
          <w:rFonts w:ascii="Cambria Math" w:hAnsi="Cambria Math"/>
          <w:i/>
        </w:rPr>
        <w:t>E_f</w:t>
      </w:r>
      <w:r>
        <w:t>, decrease</w:t>
      </w:r>
    </w:p>
    <w:p>
      <w:r>
        <w:rPr>
          <w:rFonts w:ascii="Cambria Math" w:hAnsi="Cambria Math"/>
          <w:i/>
        </w:rPr>
        <w:t>n_{\text{cells}}</w:t>
      </w:r>
      <w:r>
        <w:t xml:space="preserve">, increase </w:t>
      </w:r>
      <w:r>
        <w:rPr>
          <w:rFonts w:ascii="Cambria Math" w:hAnsi="Cambria Math"/>
          <w:i/>
        </w:rPr>
        <w:t>\phi_i/\phi_f</w:t>
      </w:r>
      <w:r>
        <w:t xml:space="preserve">, or use granule shapes that increase </w:t>
      </w:r>
      <w:r>
        <w:rPr>
          <w:rFonts w:ascii="Cambria Math" w:hAnsi="Cambria Math"/>
          <w:i/>
        </w:rPr>
        <w:t>\phi_{\text{RCP}}</w:t>
      </w:r>
      <w:r>
        <w:t xml:space="preserve"> (lowering </w:t>
      </w:r>
      <w:r>
        <w:rPr>
          <w:rFonts w:ascii="Cambria Math" w:hAnsi="Cambria Math"/>
          <w:i/>
        </w:rPr>
        <w:t>\xi_c</w:t>
      </w:r>
      <w:r>
        <w:t>).</w:t>
      </w:r>
    </w:p>
    <w:p>
      <w:pPr>
        <w:pStyle w:val="ListNumber"/>
      </w:pPr>
      <w:r>
        <w:rPr>
          <w:b/>
        </w:rPr>
        <w:t>To sharpen the yield barrier</w:t>
      </w:r>
      <w:r>
        <w:t xml:space="preserve"> (controlled compaction onset): Increase</w:t>
      </w:r>
    </w:p>
    <w:p>
      <w:r>
        <w:rPr>
          <w:rFonts w:ascii="Cambria Math" w:hAnsi="Cambria Math"/>
          <w:i/>
        </w:rPr>
        <w:t>E_{\text{eff}}</w:t>
      </w:r>
      <w:r>
        <w:t xml:space="preserve"> (raises </w:t>
      </w:r>
      <w:r>
        <w:rPr>
          <w:rFonts w:ascii="Cambria Math" w:hAnsi="Cambria Math"/>
          <w:i/>
        </w:rPr>
        <w:t>\sigma_y</w:t>
      </w:r>
      <w:r>
        <w:t xml:space="preserve">) or choose compositions where </w:t>
      </w:r>
      <w:r>
        <w:rPr>
          <w:rFonts w:ascii="Cambria Math" w:hAnsi="Cambria Math"/>
          <w:i/>
        </w:rPr>
        <w:t>\phi_f^{\text{local}}</w:t>
      </w:r>
      <w:r>
        <w:t xml:space="preserve"> is initially close to </w:t>
      </w:r>
      <w:r>
        <w:rPr>
          <w:rFonts w:ascii="Cambria Math" w:hAnsi="Cambria Math"/>
          <w:i/>
        </w:rPr>
        <w:t>\phi_J</w:t>
      </w:r>
      <w:r>
        <w:t xml:space="preserve"> (small </w:t>
      </w:r>
      <w:r>
        <w:rPr>
          <w:rFonts w:ascii="Cambria Math" w:hAnsi="Cambria Math"/>
          <w:i/>
        </w:rPr>
        <w:t>\xi_J</w:t>
      </w:r>
      <w:r>
        <w:t>).</w:t>
      </w:r>
    </w:p>
    <w:p>
      <w:pPr>
        <w:pStyle w:val="ListNumber"/>
      </w:pPr>
      <w:r>
        <w:rPr>
          <w:b/>
        </w:rPr>
        <w:t>To minimize interfacial effects</w:t>
      </w:r>
      <w:r>
        <w:t xml:space="preserve">: Match </w:t>
      </w:r>
      <w:r>
        <w:rPr>
          <w:rFonts w:ascii="Cambria Math" w:hAnsi="Cambria Math"/>
          <w:i/>
        </w:rPr>
        <w:t>E_f \approx E_i</w:t>
      </w:r>
      <w:r>
        <w:t xml:space="preserve"> (reduces </w:t>
      </w:r>
      <w:r>
        <w:rPr>
          <w:rFonts w:ascii="Cambria Math" w:hAnsi="Cambria Math"/>
          <w:i/>
        </w:rPr>
        <w:t>\gamma_{fi}</w:t>
      </w:r>
      <w:r>
        <w:t>)</w:t>
      </w:r>
    </w:p>
    <w:p>
      <w:r>
        <w:t>and avoid trapping inert granules within the functional zone.</w:t>
      </w:r>
    </w:p>
    <w:p>
      <w:pPr>
        <w:pStyle w:val="Heading3"/>
      </w:pPr>
      <w:r>
        <w:t>14.2 Organ-Specific Guidelines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r>
            <w:r>
              <w:rPr>
                <w:b/>
                <w:sz w:val="20"/>
              </w:rPr>
              <w:t>Organ</w:t>
            </w:r>
          </w:p>
        </w:tc>
        <w:tc>
          <w:tcPr>
            <w:tcW w:type="dxa" w:w="2340"/>
          </w:tcPr>
          <w:p>
            <w:r>
              <w:rPr>
                <w:b/>
                <w:sz w:val="20"/>
              </w:rPr>
            </w:r>
            <w:r>
              <w:rPr>
                <w:b/>
                <w:sz w:val="20"/>
              </w:rPr>
              <w:t xml:space="preserve">Required </w:t>
            </w:r>
            <w:r>
              <w:rPr>
                <w:rFonts w:ascii="Cambria Math" w:hAnsi="Cambria Math"/>
                <w:b/>
                <w:i/>
                <w:sz w:val="20"/>
              </w:rPr>
              <w:t>\xi^*</w:t>
            </w:r>
          </w:p>
        </w:tc>
        <w:tc>
          <w:tcPr>
            <w:tcW w:type="dxa" w:w="2340"/>
          </w:tcPr>
          <w:p>
            <w:r>
              <w:rPr>
                <w:b/>
                <w:sz w:val="20"/>
              </w:rPr>
            </w:r>
            <w:r>
              <w:rPr>
                <w:b/>
                <w:sz w:val="20"/>
              </w:rPr>
              <w:t>Key design lever</w:t>
            </w:r>
          </w:p>
        </w:tc>
        <w:tc>
          <w:tcPr>
            <w:tcW w:type="dxa" w:w="2340"/>
          </w:tcPr>
          <w:p>
            <w:r>
              <w:rPr>
                <w:b/>
                <w:sz w:val="20"/>
              </w:rPr>
            </w:r>
            <w:r>
              <w:rPr>
                <w:b/>
                <w:sz w:val="20"/>
              </w:rPr>
              <w:t>Constraint</w:t>
            </w:r>
          </w:p>
        </w:tc>
      </w:tr>
      <w:tr>
        <w:tc>
          <w:tcPr>
            <w:tcW w:type="dxa" w:w="2340"/>
          </w:tcPr>
          <w:p>
            <w:r>
              <w:rPr>
                <w:sz w:val="20"/>
              </w:rPr>
            </w:r>
            <w:r>
              <w:rPr>
                <w:sz w:val="20"/>
              </w:rPr>
              <w:t>Trabecular bone</w:t>
            </w:r>
          </w:p>
        </w:tc>
        <w:tc>
          <w:tcPr>
            <w:tcW w:type="dxa" w:w="2340"/>
          </w:tcPr>
          <w:p>
            <w:r>
              <w:rPr>
                <w:sz w:val="20"/>
              </w:rPr>
            </w:r>
            <w:r>
              <w:rPr>
                <w:rFonts w:ascii="Cambria Math" w:hAnsi="Cambria Math"/>
                <w:i/>
                <w:sz w:val="20"/>
              </w:rPr>
              <w:t>\sim 0.5</w:t>
            </w:r>
            <w:r>
              <w:rPr>
                <w:sz w:val="20"/>
              </w:rPr>
              <w:t>--</w:t>
            </w:r>
            <w:r>
              <w:rPr>
                <w:rFonts w:ascii="Cambria Math" w:hAnsi="Cambria Math"/>
                <w:i/>
                <w:sz w:val="20"/>
              </w:rPr>
              <w:t>0.6</w:t>
            </w:r>
          </w:p>
        </w:tc>
        <w:tc>
          <w:tcPr>
            <w:tcW w:type="dxa" w:w="2340"/>
          </w:tcPr>
          <w:p>
            <w:r>
              <w:rPr>
                <w:sz w:val="20"/>
              </w:rPr>
            </w:r>
            <w:r>
              <w:rPr>
                <w:sz w:val="20"/>
              </w:rPr>
              <w:t xml:space="preserve">Low </w:t>
            </w:r>
            <w:r>
              <w:rPr>
                <w:rFonts w:ascii="Cambria Math" w:hAnsi="Cambria Math"/>
                <w:i/>
                <w:sz w:val="20"/>
              </w:rPr>
              <w:t>E_f</w:t>
            </w:r>
            <w:r>
              <w:rPr>
                <w:sz w:val="20"/>
              </w:rPr>
              <w:t xml:space="preserve">, high </w:t>
            </w:r>
            <w:r>
              <w:rPr>
                <w:rFonts w:ascii="Cambria Math" w:hAnsi="Cambria Math"/>
                <w:i/>
                <w:sz w:val="20"/>
              </w:rPr>
              <w:t>\phi_f</w:t>
            </w:r>
          </w:p>
        </w:tc>
        <w:tc>
          <w:tcPr>
            <w:tcW w:type="dxa" w:w="2340"/>
          </w:tcPr>
          <w:p>
            <w:r>
              <w:rPr>
                <w:sz w:val="20"/>
              </w:rPr>
            </w:r>
            <w:r>
              <w:rPr>
                <w:sz w:val="20"/>
              </w:rPr>
              <w:t>Must maintain permeability for nutrient transport</w:t>
            </w:r>
          </w:p>
        </w:tc>
      </w:tr>
      <w:tr>
        <w:tc>
          <w:tcPr>
            <w:tcW w:type="dxa" w:w="2340"/>
          </w:tcPr>
          <w:p>
            <w:r>
              <w:rPr>
                <w:sz w:val="20"/>
              </w:rPr>
            </w:r>
            <w:r>
              <w:rPr>
                <w:sz w:val="20"/>
              </w:rPr>
              <w:t>Intestinal mucosa</w:t>
            </w:r>
          </w:p>
        </w:tc>
        <w:tc>
          <w:tcPr>
            <w:tcW w:type="dxa" w:w="2340"/>
          </w:tcPr>
          <w:p>
            <w:r>
              <w:rPr>
                <w:sz w:val="20"/>
              </w:rPr>
            </w:r>
            <w:r>
              <w:rPr>
                <w:rFonts w:ascii="Cambria Math" w:hAnsi="Cambria Math"/>
                <w:i/>
                <w:sz w:val="20"/>
              </w:rPr>
              <w:t>\sim 0.3</w:t>
            </w:r>
            <w:r>
              <w:rPr>
                <w:sz w:val="20"/>
              </w:rPr>
              <w:t>--</w:t>
            </w:r>
            <w:r>
              <w:rPr>
                <w:rFonts w:ascii="Cambria Math" w:hAnsi="Cambria Math"/>
                <w:i/>
                <w:sz w:val="20"/>
              </w:rPr>
              <w:t>0.4</w:t>
            </w:r>
          </w:p>
        </w:tc>
        <w:tc>
          <w:tcPr>
            <w:tcW w:type="dxa" w:w="2340"/>
          </w:tcPr>
          <w:p>
            <w:r>
              <w:rPr>
                <w:sz w:val="20"/>
              </w:rPr>
            </w:r>
            <w:r>
              <w:rPr>
                <w:sz w:val="20"/>
              </w:rPr>
              <w:t xml:space="preserve">Moderate </w:t>
            </w:r>
            <w:r>
              <w:rPr>
                <w:rFonts w:ascii="Cambria Math" w:hAnsi="Cambria Math"/>
                <w:i/>
                <w:sz w:val="20"/>
              </w:rPr>
              <w:t>E_f</w:t>
            </w:r>
            <w:r>
              <w:rPr>
                <w:sz w:val="20"/>
              </w:rPr>
              <w:t xml:space="preserve">, balanced </w:t>
            </w:r>
            <w:r>
              <w:rPr>
                <w:rFonts w:ascii="Cambria Math" w:hAnsi="Cambria Math"/>
                <w:i/>
                <w:sz w:val="20"/>
              </w:rPr>
              <w:t>\phi_f/\phi_i</w:t>
            </w:r>
          </w:p>
        </w:tc>
        <w:tc>
          <w:tcPr>
            <w:tcW w:type="dxa" w:w="2340"/>
          </w:tcPr>
          <w:p>
            <w:r>
              <w:rPr>
                <w:sz w:val="20"/>
              </w:rPr>
            </w:r>
            <w:r>
              <w:rPr>
                <w:sz w:val="20"/>
              </w:rPr>
              <w:t>Intermediate void structure for absorption</w:t>
            </w:r>
          </w:p>
        </w:tc>
      </w:tr>
      <w:tr>
        <w:tc>
          <w:tcPr>
            <w:tcW w:type="dxa" w:w="2340"/>
          </w:tcPr>
          <w:p>
            <w:r>
              <w:rPr>
                <w:sz w:val="20"/>
              </w:rPr>
            </w:r>
            <w:r>
              <w:rPr>
                <w:sz w:val="20"/>
              </w:rPr>
              <w:t>Kidney cortex</w:t>
            </w:r>
          </w:p>
        </w:tc>
        <w:tc>
          <w:tcPr>
            <w:tcW w:type="dxa" w:w="2340"/>
          </w:tcPr>
          <w:p>
            <w:r>
              <w:rPr>
                <w:sz w:val="20"/>
              </w:rPr>
            </w:r>
            <w:r>
              <w:rPr>
                <w:rFonts w:ascii="Cambria Math" w:hAnsi="Cambria Math"/>
                <w:i/>
                <w:sz w:val="20"/>
              </w:rPr>
              <w:t>\sim 0.2</w:t>
            </w:r>
          </w:p>
        </w:tc>
        <w:tc>
          <w:tcPr>
            <w:tcW w:type="dxa" w:w="2340"/>
          </w:tcPr>
          <w:p>
            <w:r>
              <w:rPr>
                <w:sz w:val="20"/>
              </w:rPr>
            </w:r>
            <w:r>
              <w:rPr>
                <w:sz w:val="20"/>
              </w:rPr>
              <w:t xml:space="preserve">Moderate--high </w:t>
            </w:r>
            <w:r>
              <w:rPr>
                <w:rFonts w:ascii="Cambria Math" w:hAnsi="Cambria Math"/>
                <w:i/>
                <w:sz w:val="20"/>
              </w:rPr>
              <w:t>E_f</w:t>
            </w:r>
          </w:p>
        </w:tc>
        <w:tc>
          <w:tcPr>
            <w:tcW w:type="dxa" w:w="2340"/>
          </w:tcPr>
          <w:p>
            <w:r>
              <w:rPr>
                <w:sz w:val="20"/>
              </w:rPr>
            </w:r>
            <w:r>
              <w:rPr>
                <w:sz w:val="20"/>
              </w:rPr>
              <w:t>Tight packing with controlled porosity</w:t>
            </w:r>
          </w:p>
        </w:tc>
      </w:tr>
      <w:tr>
        <w:tc>
          <w:tcPr>
            <w:tcW w:type="dxa" w:w="2340"/>
          </w:tcPr>
          <w:p>
            <w:r>
              <w:rPr>
                <w:sz w:val="20"/>
              </w:rPr>
            </w:r>
            <w:r>
              <w:rPr>
                <w:sz w:val="20"/>
              </w:rPr>
              <w:t>Cardiac muscle</w:t>
            </w:r>
          </w:p>
        </w:tc>
        <w:tc>
          <w:tcPr>
            <w:tcW w:type="dxa" w:w="2340"/>
          </w:tcPr>
          <w:p>
            <w:r>
              <w:rPr>
                <w:sz w:val="20"/>
              </w:rPr>
            </w:r>
            <w:r>
              <w:rPr>
                <w:rFonts w:ascii="Cambria Math" w:hAnsi="Cambria Math"/>
                <w:i/>
                <w:sz w:val="20"/>
              </w:rPr>
              <w:t>\sim 0.1</w:t>
            </w:r>
          </w:p>
        </w:tc>
        <w:tc>
          <w:tcPr>
            <w:tcW w:type="dxa" w:w="2340"/>
          </w:tcPr>
          <w:p>
            <w:r>
              <w:rPr>
                <w:sz w:val="20"/>
              </w:rPr>
            </w:r>
            <w:r>
              <w:rPr>
                <w:sz w:val="20"/>
              </w:rPr>
              <w:t xml:space="preserve">High </w:t>
            </w:r>
            <w:r>
              <w:rPr>
                <w:rFonts w:ascii="Cambria Math" w:hAnsi="Cambria Math"/>
                <w:i/>
                <w:sz w:val="20"/>
              </w:rPr>
              <w:t>E_f</w:t>
            </w:r>
            <w:r>
              <w:rPr>
                <w:sz w:val="20"/>
              </w:rPr>
              <w:t xml:space="preserve">, high </w:t>
            </w:r>
            <w:r>
              <w:rPr>
                <w:rFonts w:ascii="Cambria Math" w:hAnsi="Cambria Math"/>
                <w:i/>
                <w:sz w:val="20"/>
              </w:rPr>
              <w:t>\phi_i</w:t>
            </w:r>
          </w:p>
        </w:tc>
        <w:tc>
          <w:tcPr>
            <w:tcW w:type="dxa" w:w="2340"/>
          </w:tcPr>
          <w:p>
            <w:r>
              <w:rPr>
                <w:sz w:val="20"/>
              </w:rPr>
            </w:r>
            <w:r>
              <w:rPr>
                <w:sz w:val="20"/>
              </w:rPr>
              <w:t>Minimal compaction; aligned, anisotropic structure</w:t>
            </w:r>
          </w:p>
        </w:tc>
      </w:tr>
    </w:tbl>
    <w:p/>
    <w:p>
      <w:r>
        <w:t xml:space="preserve">These guidelines constitute a first-generation set of design rules connecting scaffold fabrication parameters to target tissue architectures through the mechanistic energy landscape framework. Experimental validation against confocal microscopy measurements of </w:t>
      </w:r>
      <w:r>
        <w:rPr>
          <w:rFonts w:ascii="Cambria Math" w:hAnsi="Cambria Math"/>
          <w:i/>
        </w:rPr>
        <w:t>\phi_f^{\text{local}}(t)</w:t>
      </w:r>
      <w:r>
        <w:t xml:space="preserve"> in cell-laden granular hydrogels is a critical next step.</w:t>
      </w:r>
    </w:p>
    <w:p>
      <w:pPr>
        <w:pStyle w:val="Heading2"/>
      </w:pPr>
      <w:r>
        <w:t>References</w:t>
      </w:r>
    </w:p>
    <w:p>
      <w:pPr>
        <w:pStyle w:val="ListBullet"/>
      </w:pPr>
      <w:r>
        <w:t>Bi, D., Lopez, J. H., Schwarz, J. M., and Manning, M. L. (2014). Energy barriers and</w:t>
      </w:r>
    </w:p>
    <w:p>
      <w:r>
        <w:t xml:space="preserve">cell migration in densely packed tissues. </w:t>
      </w:r>
      <w:r>
        <w:rPr>
          <w:i/>
        </w:rPr>
        <w:t>Soft Matter</w:t>
      </w:r>
      <w:r>
        <w:t>, 10:1885--1890.</w:t>
      </w:r>
    </w:p>
    <w:p>
      <w:pPr>
        <w:pStyle w:val="ListBullet"/>
      </w:pPr>
      <w:r>
        <w:t>Bi, D., Lopez, J. H., Schwarz, J. M., and Manning, M. L. (2015). A density-independent</w:t>
      </w:r>
    </w:p>
    <w:p>
      <w:r>
        <w:t xml:space="preserve">rigidity transition in biological tissues. </w:t>
      </w:r>
      <w:r>
        <w:rPr>
          <w:i/>
        </w:rPr>
        <w:t>Nature Physics</w:t>
      </w:r>
      <w:r>
        <w:t>, 11:1074--1079.</w:t>
      </w:r>
    </w:p>
    <w:p>
      <w:pPr>
        <w:pStyle w:val="ListBullet"/>
      </w:pPr>
      <w:r>
        <w:t>Biot, M. A. (1941). General theory of three-dimensional consolidation. *Journal of</w:t>
      </w:r>
    </w:p>
    <w:p>
      <w:r>
        <w:t>Applied Physics*, 12(2):155--164.</w:t>
      </w:r>
    </w:p>
    <w:p>
      <w:pPr>
        <w:pStyle w:val="ListBullet"/>
      </w:pPr>
      <w:r>
        <w:t>Brinkman, H. C. (1949). A calculation of the viscous force exerted by a flowing fluid on</w:t>
      </w:r>
    </w:p>
    <w:p>
      <w:r>
        <w:t xml:space="preserve">a dense swarm of particles. </w:t>
      </w:r>
      <w:r>
        <w:rPr>
          <w:i/>
        </w:rPr>
        <w:t>Applied Scientific Research</w:t>
      </w:r>
      <w:r>
        <w:t>, A1:27--34.</w:t>
      </w:r>
    </w:p>
    <w:p>
      <w:pPr>
        <w:pStyle w:val="ListBullet"/>
      </w:pPr>
      <w:r>
        <w:t>Cai, S. et al. (2022). Building block properties govern granular hydrogel mechanics</w:t>
      </w:r>
    </w:p>
    <w:p>
      <w:r>
        <w:t xml:space="preserve">through contact deformations. </w:t>
      </w:r>
      <w:r>
        <w:rPr>
          <w:i/>
        </w:rPr>
        <w:t>Science Advances</w:t>
      </w:r>
      <w:r>
        <w:t>, 8(50):eadd8570.</w:t>
      </w:r>
    </w:p>
    <w:p>
      <w:pPr>
        <w:pStyle w:val="ListBullet"/>
      </w:pPr>
      <w:r>
        <w:t>Chan, C. E. and Odde, D. J. (2008). Traction dynamics of filopodia on compliant</w:t>
      </w:r>
    </w:p>
    <w:p>
      <w:r>
        <w:t xml:space="preserve">substrates. </w:t>
      </w:r>
      <w:r>
        <w:rPr>
          <w:i/>
        </w:rPr>
        <w:t>Science</w:t>
      </w:r>
      <w:r>
        <w:t>, 322(5908):1687--1691.</w:t>
      </w:r>
    </w:p>
    <w:p>
      <w:pPr>
        <w:pStyle w:val="ListBullet"/>
      </w:pPr>
      <w:r>
        <w:t>Delaney, G. W. and Cleary, P. W. (2010). The packing properties of superellipsoids.</w:t>
      </w:r>
    </w:p>
    <w:p>
      <w:r>
        <w:rPr>
          <w:i/>
        </w:rPr>
        <w:t>Europhysics Letters</w:t>
      </w:r>
      <w:r>
        <w:t>, 89:34002.</w:t>
      </w:r>
    </w:p>
    <w:p>
      <w:pPr>
        <w:pStyle w:val="ListBullet"/>
      </w:pPr>
      <w:r>
        <w:t>Derjaguin, B. V., Muller, V. M., and Toporov, Y. P. (1975). Effect of contact</w:t>
      </w:r>
    </w:p>
    <w:p>
      <w:r>
        <w:t xml:space="preserve">deformations on the adhesion of particles. </w:t>
      </w:r>
      <w:r>
        <w:rPr>
          <w:i/>
        </w:rPr>
        <w:t>Journal of Colloid and Interface Science</w:t>
      </w:r>
      <w:r>
        <w:t>, 53(2):314--326.</w:t>
      </w:r>
    </w:p>
    <w:p>
      <w:pPr>
        <w:pStyle w:val="ListBullet"/>
      </w:pPr>
      <w:r>
        <w:t>Di Caprio, N., Hughes, A. J., and Burdick, J. A. (2025). Programmed shape</w:t>
      </w:r>
    </w:p>
    <w:p>
      <w:r>
        <w:t xml:space="preserve">transformations in cell-laden granular composites. </w:t>
      </w:r>
      <w:r>
        <w:rPr>
          <w:i/>
        </w:rPr>
        <w:t>Science Advances</w:t>
      </w:r>
      <w:r>
        <w:t>, 11(3):eadq5011.</w:t>
      </w:r>
    </w:p>
    <w:p>
      <w:pPr>
        <w:pStyle w:val="ListBullet"/>
      </w:pPr>
      <w:r>
        <w:t xml:space="preserve">Doi, M. and Edwards, S. F. (1986). </w:t>
      </w:r>
      <w:r>
        <w:rPr>
          <w:i/>
        </w:rPr>
        <w:t>The Theory of Polymer Dynamics</w:t>
      </w:r>
      <w:r>
        <w:t>. Oxford University</w:t>
      </w:r>
    </w:p>
    <w:p>
      <w:r>
        <w:t>Press.</w:t>
      </w:r>
    </w:p>
    <w:p>
      <w:pPr>
        <w:pStyle w:val="ListBullet"/>
      </w:pPr>
      <w:r>
        <w:t>Donev, A., Cisse, I., Sachs, D., Variano, E. A., Stillinger, F. H., Connelly, R.,</w:t>
      </w:r>
    </w:p>
    <w:p>
      <w:r>
        <w:t xml:space="preserve">Torquato, S., and Chaikin, P. M. (2004). Improving the density of jammed disordered packings using ellipsoids. </w:t>
      </w:r>
      <w:r>
        <w:rPr>
          <w:i/>
        </w:rPr>
        <w:t>Science</w:t>
      </w:r>
      <w:r>
        <w:t>, 303(5660):990--993.</w:t>
      </w:r>
    </w:p>
    <w:p>
      <w:pPr>
        <w:pStyle w:val="ListBullet"/>
      </w:pPr>
      <w:r>
        <w:t xml:space="preserve">Durian, D. J. (1995). Foam mechanics at the bubble scale. </w:t>
      </w:r>
      <w:r>
        <w:rPr>
          <w:i/>
        </w:rPr>
        <w:t>Physical Review Letters</w:t>
      </w:r>
      <w:r>
        <w:t>,</w:t>
      </w:r>
    </w:p>
    <w:p>
      <w:r>
        <w:t>75(26):4780--4783.</w:t>
      </w:r>
    </w:p>
    <w:p>
      <w:pPr>
        <w:pStyle w:val="ListBullet"/>
      </w:pPr>
      <w:r>
        <w:t>Farr, R. S. and Groot, R. D. (2009). Close packing density of polydisperse hard</w:t>
      </w:r>
    </w:p>
    <w:p>
      <w:r>
        <w:t xml:space="preserve">spheres. </w:t>
      </w:r>
      <w:r>
        <w:rPr>
          <w:i/>
        </w:rPr>
        <w:t>Journal of Chemical Physics</w:t>
      </w:r>
      <w:r>
        <w:t>, 131(24):244104.</w:t>
      </w:r>
    </w:p>
    <w:p>
      <w:pPr>
        <w:pStyle w:val="ListBullet"/>
      </w:pPr>
      <w:r>
        <w:t>Gong, J. P. (2006). Friction and lubrication of hydrogels --- its richness and</w:t>
      </w:r>
    </w:p>
    <w:p>
      <w:r>
        <w:t xml:space="preserve">complexity. </w:t>
      </w:r>
      <w:r>
        <w:rPr>
          <w:i/>
        </w:rPr>
        <w:t>Soft Matter</w:t>
      </w:r>
      <w:r>
        <w:t>, 2(7):544--552.</w:t>
      </w:r>
    </w:p>
    <w:p>
      <w:pPr>
        <w:pStyle w:val="ListBullet"/>
      </w:pPr>
      <w:r>
        <w:t>Harrigan, T. P. and Mann, R. W. (1984). Characterization of microstructural</w:t>
      </w:r>
    </w:p>
    <w:p>
      <w:r>
        <w:t xml:space="preserve">anisotropy in orthotropic materials using a second rank tensor. </w:t>
      </w:r>
      <w:r>
        <w:rPr>
          <w:i/>
        </w:rPr>
        <w:t>Journal of Materials Science</w:t>
      </w:r>
      <w:r>
        <w:t>, 19(3):761--767.</w:t>
      </w:r>
    </w:p>
    <w:p>
      <w:pPr>
        <w:pStyle w:val="ListBullet"/>
      </w:pPr>
      <w:r>
        <w:t>Hildebrand, T. and Ruegsegger, P. (1997). A new method for the model-independent</w:t>
      </w:r>
    </w:p>
    <w:p>
      <w:r>
        <w:t xml:space="preserve">assessment of thickness in three-dimensional images. </w:t>
      </w:r>
      <w:r>
        <w:rPr>
          <w:i/>
        </w:rPr>
        <w:t>Journal of Microscopy</w:t>
      </w:r>
      <w:r>
        <w:t>, 185(1):67--75.</w:t>
      </w:r>
    </w:p>
    <w:p>
      <w:pPr>
        <w:pStyle w:val="ListBullet"/>
      </w:pPr>
      <w:r>
        <w:t>Hollister, S. J. (2005). Porous scaffold design for tissue engineering. *Nature</w:t>
      </w:r>
    </w:p>
    <w:p>
      <w:r>
        <w:t>Materials*, 4(7):518--524.</w:t>
      </w:r>
    </w:p>
    <w:p>
      <w:pPr>
        <w:pStyle w:val="ListBullet"/>
      </w:pPr>
      <w:r>
        <w:t>Jaklic, A. and Leonardis, A. (2000). Superquadrics and their geometric properties.</w:t>
      </w:r>
    </w:p>
    <w:p>
      <w:r>
        <w:t xml:space="preserve">In </w:t>
      </w:r>
      <w:r>
        <w:rPr>
          <w:i/>
        </w:rPr>
        <w:t>Segmentation and Recovery of Superquadrics</w:t>
      </w:r>
      <w:r>
        <w:t>, pages 13--39. Springer.</w:t>
      </w:r>
    </w:p>
    <w:p>
      <w:pPr>
        <w:pStyle w:val="ListBullet"/>
      </w:pPr>
      <w:r>
        <w:t xml:space="preserve">Johnson, K. L. (1985). </w:t>
      </w:r>
      <w:r>
        <w:rPr>
          <w:i/>
        </w:rPr>
        <w:t>Contact Mechanics</w:t>
      </w:r>
      <w:r>
        <w:t>. Cambridge University Press.</w:t>
      </w:r>
    </w:p>
    <w:p>
      <w:pPr>
        <w:pStyle w:val="ListBullet"/>
      </w:pPr>
      <w:r>
        <w:t>Kramers, H. A. (1940). Brownian motion in a field of force and the diffusion model of</w:t>
      </w:r>
    </w:p>
    <w:p>
      <w:r>
        <w:t xml:space="preserve">chemical reactions. </w:t>
      </w:r>
      <w:r>
        <w:rPr>
          <w:i/>
        </w:rPr>
        <w:t>Physica</w:t>
      </w:r>
      <w:r>
        <w:t>, 7(4):284--304.</w:t>
      </w:r>
    </w:p>
    <w:p>
      <w:pPr>
        <w:pStyle w:val="ListBullet"/>
      </w:pPr>
      <w:r>
        <w:t xml:space="preserve">Liu, A. J. and Nagel, S. R. (1998). Jamming is not just cool any more. </w:t>
      </w:r>
      <w:r>
        <w:rPr>
          <w:i/>
        </w:rPr>
        <w:t>Nature</w:t>
      </w:r>
      <w:r>
        <w:t>,</w:t>
      </w:r>
    </w:p>
    <w:p>
      <w:r>
        <w:t>396:21--22.</w:t>
      </w:r>
    </w:p>
    <w:p>
      <w:pPr>
        <w:pStyle w:val="ListBullet"/>
      </w:pPr>
      <w:r>
        <w:t>O'Hern, C. S., Silbert, L. E., Liu, A. J., and Nagel, S. R. (2003). Jamming at</w:t>
      </w:r>
    </w:p>
    <w:p>
      <w:r>
        <w:t xml:space="preserve">zero temperature and zero applied stress: The epitome of disorder. </w:t>
      </w:r>
      <w:r>
        <w:rPr>
          <w:i/>
        </w:rPr>
        <w:t>Physical Review E</w:t>
      </w:r>
      <w:r>
        <w:t>, 68(1):011306.</w:t>
      </w:r>
    </w:p>
    <w:p>
      <w:pPr>
        <w:pStyle w:val="ListBullet"/>
      </w:pPr>
      <w:r>
        <w:t>Olsson, P. and Teitel, S. (2007). Critical scaling of shear viscosity at the jamming</w:t>
      </w:r>
    </w:p>
    <w:p>
      <w:r>
        <w:t xml:space="preserve">transition. </w:t>
      </w:r>
      <w:r>
        <w:rPr>
          <w:i/>
        </w:rPr>
        <w:t>Physical Review Letters</w:t>
      </w:r>
      <w:r>
        <w:t>, 99:178001.</w:t>
      </w:r>
    </w:p>
    <w:p>
      <w:pPr>
        <w:pStyle w:val="ListBullet"/>
      </w:pPr>
      <w:r>
        <w:t>Olsson, P. and Teitel, S. (2012). Herschel-Bulkley shearing rheology near the</w:t>
      </w:r>
    </w:p>
    <w:p>
      <w:r>
        <w:t xml:space="preserve">athermal jamming transition. </w:t>
      </w:r>
      <w:r>
        <w:rPr>
          <w:i/>
        </w:rPr>
        <w:t>Physical Review Letters</w:t>
      </w:r>
      <w:r>
        <w:t>, 109:108001.</w:t>
      </w:r>
    </w:p>
    <w:p>
      <w:pPr>
        <w:pStyle w:val="ListBullet"/>
      </w:pPr>
      <w:r>
        <w:t>Pitenis, A. A., Uruenya, J. M., Schulze, K. D., Nixon, R. M., Dunn, A. C.,</w:t>
      </w:r>
    </w:p>
    <w:p>
      <w:r>
        <w:t xml:space="preserve">Krick, B. A., Sawyer, W. G., and Angelini, T. E. (2014). Polymer fluctuation lubrication in hydrogel gemini interfaces. </w:t>
      </w:r>
      <w:r>
        <w:rPr>
          <w:i/>
        </w:rPr>
        <w:t>Soft Matter</w:t>
      </w:r>
      <w:r>
        <w:t>, 10(44):8955--8962.</w:t>
      </w:r>
    </w:p>
    <w:p>
      <w:pPr>
        <w:pStyle w:val="ListBullet"/>
      </w:pPr>
      <w:r>
        <w:t>Princen, H. M. (1979). Highly concentrated emulsions. *Journal of Colloid and</w:t>
      </w:r>
    </w:p>
    <w:p>
      <w:r>
        <w:t>Interface Science*, 71:55--66.</w:t>
      </w:r>
    </w:p>
    <w:p>
      <w:pPr>
        <w:pStyle w:val="ListBullet"/>
      </w:pPr>
      <w:r>
        <w:t>Princen, H. M. (1983). Rheology of foams and highly concentrated emulsions I.</w:t>
      </w:r>
    </w:p>
    <w:p>
      <w:r>
        <w:t xml:space="preserve">Elastic properties and yield stress of a cylindrical model system. </w:t>
      </w:r>
      <w:r>
        <w:rPr>
          <w:i/>
        </w:rPr>
        <w:t>Journal of Colloid and Interface Science</w:t>
      </w:r>
      <w:r>
        <w:t>, 91:160--175.</w:t>
      </w:r>
    </w:p>
    <w:p>
      <w:pPr>
        <w:pStyle w:val="ListBullet"/>
      </w:pPr>
      <w:r>
        <w:t>Princen, H. M. (1986). Osmotic pressure of foams and highly concentrated emulsions I.</w:t>
      </w:r>
    </w:p>
    <w:p>
      <w:r>
        <w:t xml:space="preserve">Theoretical considerations. </w:t>
      </w:r>
      <w:r>
        <w:rPr>
          <w:i/>
        </w:rPr>
        <w:t>Langmuir</w:t>
      </w:r>
      <w:r>
        <w:t>, 2:519--524.</w:t>
      </w:r>
    </w:p>
    <w:p>
      <w:pPr>
        <w:pStyle w:val="ListBullet"/>
      </w:pPr>
      <w:r>
        <w:t>Riley, L., Schirmer, L., and Segura, T. (2019). Granular hydrogels: emergent</w:t>
      </w:r>
    </w:p>
    <w:p>
      <w:r>
        <w:t xml:space="preserve">properties of jammed hydrogel microparticles and their applications in tissue repair and regeneration. </w:t>
      </w:r>
      <w:r>
        <w:rPr>
          <w:i/>
        </w:rPr>
        <w:t>Current Opinion in Biotechnology</w:t>
      </w:r>
      <w:r>
        <w:t>, 60:1--8.</w:t>
      </w:r>
    </w:p>
    <w:p>
      <w:pPr>
        <w:pStyle w:val="ListBullet"/>
      </w:pPr>
      <w:r>
        <w:t>Shi, J., Aihara, K., Li, T., and Chen, L. (2022). Energy landscape decomposition for</w:t>
      </w:r>
    </w:p>
    <w:p>
      <w:r>
        <w:t xml:space="preserve">cell differentiation with proliferation effect. </w:t>
      </w:r>
      <w:r>
        <w:rPr>
          <w:i/>
        </w:rPr>
        <w:t>National Science Review</w:t>
      </w:r>
      <w:r>
        <w:t>, 9(8):nwac116.</w:t>
      </w:r>
    </w:p>
    <w:p>
      <w:pPr>
        <w:pStyle w:val="ListBullet"/>
      </w:pPr>
      <w:r>
        <w:t>Tighe, B. P., Woldhuis, E., and van Hecke, M. (2010). Model for the scaling of</w:t>
      </w:r>
    </w:p>
    <w:p>
      <w:r>
        <w:t xml:space="preserve">stresses and fluctuations in flows near jamming. </w:t>
      </w:r>
      <w:r>
        <w:rPr>
          <w:i/>
        </w:rPr>
        <w:t>Physical Review Letters</w:t>
      </w:r>
      <w:r>
        <w:t>, 105:088303.</w:t>
      </w:r>
    </w:p>
    <w:p>
      <w:pPr>
        <w:pStyle w:val="ListBullet"/>
      </w:pPr>
      <w:r>
        <w:t>Torquato, S., Truskett, T. M., and Debenedetti, P. G. (2000). Is random close</w:t>
      </w:r>
    </w:p>
    <w:p>
      <w:r>
        <w:t xml:space="preserve">packing of spheres well defined? </w:t>
      </w:r>
      <w:r>
        <w:rPr>
          <w:i/>
        </w:rPr>
        <w:t>Physical Review Letters</w:t>
      </w:r>
      <w:r>
        <w:t>, 84(10):2064--2067.</w:t>
      </w:r>
    </w:p>
    <w:p>
      <w:pPr>
        <w:pStyle w:val="ListBullet"/>
      </w:pPr>
      <w:r>
        <w:t>van Hecke, M. (2010). Jamming of soft particles: geometry, mechanics, scaling and</w:t>
      </w:r>
    </w:p>
    <w:p>
      <w:r>
        <w:t xml:space="preserve">isostaticity. </w:t>
      </w:r>
      <w:r>
        <w:rPr>
          <w:i/>
        </w:rPr>
        <w:t>Journal of Physics: Condensed Matter</w:t>
      </w:r>
      <w:r>
        <w:t>, 22(3):033101.</w:t>
      </w:r>
    </w:p>
    <w:p>
      <w:pPr>
        <w:pStyle w:val="ListBullet"/>
      </w:pPr>
      <w:r>
        <w:t>Wales, D. J. (2003). *Energy Landscapes: Applications to Clusters, Biomolecules and</w:t>
      </w:r>
    </w:p>
    <w:p>
      <w:r>
        <w:t>Glasses*. Cambridge University Press.</w:t>
      </w:r>
    </w:p>
    <w:p>
      <w:pPr>
        <w:pStyle w:val="ListBullet"/>
      </w:pPr>
      <w:r>
        <w:t>Yuan, Y., VanderWerf, K., Shattuck, M. D., and O'Hern, C. S. (2019). Jammed packings</w:t>
      </w:r>
    </w:p>
    <w:p>
      <w:r>
        <w:t xml:space="preserve">of 3D superellipsoids with tunable packing fraction, coordination number, and ordering. </w:t>
      </w:r>
      <w:r>
        <w:rPr>
          <w:i/>
        </w:rPr>
        <w:t>Soft Matter</w:t>
      </w:r>
      <w:r>
        <w:t>, 15:9751.</w:t>
      </w:r>
    </w:p>
    <w:p>
      <w:r>
        <w:br w:type="page"/>
      </w:r>
    </w:p>
    <w:p>
      <w:r>
        <w:br w:type="page"/>
      </w:r>
    </w:p>
    <w:p>
      <w:pPr>
        <w:pStyle w:val="Heading1"/>
      </w:pPr>
      <w:r>
        <w:t>Appendix A: Per-Run Mean-Field Analysis</w:t>
      </w:r>
    </w:p>
    <w:p>
      <w:r>
        <w:rPr>
          <w:sz w:val="20"/>
        </w:rPr>
        <w:t>This appendix contains the mean-field compaction model results for all 23 DOE runs. Each run shows four panels: (a) compaction fit, (b) phase evolution, (c) permeability evolution, (d) stress balance.</w:t>
      </w:r>
    </w:p>
    <w:p>
      <w:pPr>
        <w:pStyle w:val="Heading2"/>
      </w:pPr>
      <w:r>
        <w:t>DOE_01 (E = 2.0 kPa, R² = -4.542, Δφ_f = -0.0063)</w:t>
      </w:r>
    </w:p>
    <w:p>
      <w:pPr>
        <w:spacing w:before="80" w:after="20"/>
        <w:jc w:val="center"/>
      </w:pPr>
      <w:r>
        <w:drawing>
          <wp:inline xmlns:a="http://schemas.openxmlformats.org/drawingml/2006/main" xmlns:pic="http://schemas.openxmlformats.org/drawingml/2006/picture">
            <wp:extent cx="5029200" cy="3140561"/>
            <wp:docPr id="19" name="Picture 19"/>
            <wp:cNvGraphicFramePr>
              <a:graphicFrameLocks noChangeAspect="1"/>
            </wp:cNvGraphicFramePr>
            <a:graphic>
              <a:graphicData uri="http://schemas.openxmlformats.org/drawingml/2006/picture">
                <pic:pic>
                  <pic:nvPicPr>
                    <pic:cNvPr id="0" name="compaction_fit.png"/>
                    <pic:cNvPicPr/>
                  </pic:nvPicPr>
                  <pic:blipFill>
                    <a:blip r:embed="rId27"/>
                    <a:stretch>
                      <a:fillRect/>
                    </a:stretch>
                  </pic:blipFill>
                  <pic:spPr>
                    <a:xfrm>
                      <a:off x="0" y="0"/>
                      <a:ext cx="5029200" cy="3140561"/>
                    </a:xfrm>
                    <a:prstGeom prst="rect"/>
                  </pic:spPr>
                </pic:pic>
              </a:graphicData>
            </a:graphic>
          </wp:inline>
        </w:drawing>
      </w:r>
    </w:p>
    <w:p>
      <w:pPr>
        <w:spacing w:after="120"/>
        <w:jc w:val="center"/>
      </w:pPr>
      <w:r>
        <w:rPr>
          <w:i/>
          <w:color w:val="505050"/>
          <w:sz w:val="18"/>
        </w:rPr>
        <w:t>Figure 19. DOE_01 -- (a) Compaction fit.</w:t>
      </w:r>
    </w:p>
    <w:p>
      <w:pPr>
        <w:spacing w:before="80" w:after="20"/>
        <w:jc w:val="center"/>
      </w:pPr>
      <w:r>
        <w:drawing>
          <wp:inline xmlns:a="http://schemas.openxmlformats.org/drawingml/2006/main" xmlns:pic="http://schemas.openxmlformats.org/drawingml/2006/picture">
            <wp:extent cx="5029200" cy="3105021"/>
            <wp:docPr id="20" name="Picture 20"/>
            <wp:cNvGraphicFramePr>
              <a:graphicFrameLocks noChangeAspect="1"/>
            </wp:cNvGraphicFramePr>
            <a:graphic>
              <a:graphicData uri="http://schemas.openxmlformats.org/drawingml/2006/picture">
                <pic:pic>
                  <pic:nvPicPr>
                    <pic:cNvPr id="0" name="phase_evolution.png"/>
                    <pic:cNvPicPr/>
                  </pic:nvPicPr>
                  <pic:blipFill>
                    <a:blip r:embed="rId28"/>
                    <a:stretch>
                      <a:fillRect/>
                    </a:stretch>
                  </pic:blipFill>
                  <pic:spPr>
                    <a:xfrm>
                      <a:off x="0" y="0"/>
                      <a:ext cx="5029200" cy="3105021"/>
                    </a:xfrm>
                    <a:prstGeom prst="rect"/>
                  </pic:spPr>
                </pic:pic>
              </a:graphicData>
            </a:graphic>
          </wp:inline>
        </w:drawing>
      </w:r>
    </w:p>
    <w:p>
      <w:pPr>
        <w:spacing w:after="120"/>
        <w:jc w:val="center"/>
      </w:pPr>
      <w:r>
        <w:rPr>
          <w:i/>
          <w:color w:val="505050"/>
          <w:sz w:val="18"/>
        </w:rPr>
        <w:t>Figure 20. DOE_01 -- (b) Phase evolution.</w:t>
      </w:r>
    </w:p>
    <w:p>
      <w:pPr>
        <w:spacing w:before="80" w:after="20"/>
        <w:jc w:val="center"/>
      </w:pPr>
      <w:r>
        <w:drawing>
          <wp:inline xmlns:a="http://schemas.openxmlformats.org/drawingml/2006/main" xmlns:pic="http://schemas.openxmlformats.org/drawingml/2006/picture">
            <wp:extent cx="5029200" cy="2064203"/>
            <wp:docPr id="21" name="Picture 21"/>
            <wp:cNvGraphicFramePr>
              <a:graphicFrameLocks noChangeAspect="1"/>
            </wp:cNvGraphicFramePr>
            <a:graphic>
              <a:graphicData uri="http://schemas.openxmlformats.org/drawingml/2006/picture">
                <pic:pic>
                  <pic:nvPicPr>
                    <pic:cNvPr id="0" name="permeability_evolution.png"/>
                    <pic:cNvPicPr/>
                  </pic:nvPicPr>
                  <pic:blipFill>
                    <a:blip r:embed="rId29"/>
                    <a:stretch>
                      <a:fillRect/>
                    </a:stretch>
                  </pic:blipFill>
                  <pic:spPr>
                    <a:xfrm>
                      <a:off x="0" y="0"/>
                      <a:ext cx="5029200" cy="2064203"/>
                    </a:xfrm>
                    <a:prstGeom prst="rect"/>
                  </pic:spPr>
                </pic:pic>
              </a:graphicData>
            </a:graphic>
          </wp:inline>
        </w:drawing>
      </w:r>
    </w:p>
    <w:p>
      <w:pPr>
        <w:spacing w:after="120"/>
        <w:jc w:val="center"/>
      </w:pPr>
      <w:r>
        <w:rPr>
          <w:i/>
          <w:color w:val="505050"/>
          <w:sz w:val="18"/>
        </w:rPr>
        <w:t>Figure 21. DOE_01 -- (c) Permeability evolution.</w:t>
      </w:r>
    </w:p>
    <w:p>
      <w:pPr>
        <w:spacing w:before="80" w:after="20"/>
        <w:jc w:val="center"/>
      </w:pPr>
      <w:r>
        <w:drawing>
          <wp:inline xmlns:a="http://schemas.openxmlformats.org/drawingml/2006/main" xmlns:pic="http://schemas.openxmlformats.org/drawingml/2006/picture">
            <wp:extent cx="5029200" cy="3110275"/>
            <wp:docPr id="22" name="Picture 22"/>
            <wp:cNvGraphicFramePr>
              <a:graphicFrameLocks noChangeAspect="1"/>
            </wp:cNvGraphicFramePr>
            <a:graphic>
              <a:graphicData uri="http://schemas.openxmlformats.org/drawingml/2006/picture">
                <pic:pic>
                  <pic:nvPicPr>
                    <pic:cNvPr id="0" name="stress_balance.png"/>
                    <pic:cNvPicPr/>
                  </pic:nvPicPr>
                  <pic:blipFill>
                    <a:blip r:embed="rId30"/>
                    <a:stretch>
                      <a:fillRect/>
                    </a:stretch>
                  </pic:blipFill>
                  <pic:spPr>
                    <a:xfrm>
                      <a:off x="0" y="0"/>
                      <a:ext cx="5029200" cy="3110275"/>
                    </a:xfrm>
                    <a:prstGeom prst="rect"/>
                  </pic:spPr>
                </pic:pic>
              </a:graphicData>
            </a:graphic>
          </wp:inline>
        </w:drawing>
      </w:r>
    </w:p>
    <w:p>
      <w:pPr>
        <w:spacing w:after="120"/>
        <w:jc w:val="center"/>
      </w:pPr>
      <w:r>
        <w:rPr>
          <w:i/>
          <w:color w:val="505050"/>
          <w:sz w:val="18"/>
        </w:rPr>
        <w:t>Figure 22. DOE_01 -- (d) Stress balance.</w:t>
      </w:r>
    </w:p>
    <w:p>
      <w:pPr>
        <w:pStyle w:val="Heading2"/>
      </w:pPr>
      <w:r>
        <w:t>DOE_02 (E = 50.0 kPa, R² = -0.491, Δφ_f = -0.0380)</w:t>
      </w:r>
    </w:p>
    <w:p>
      <w:pPr>
        <w:spacing w:before="80" w:after="20"/>
        <w:jc w:val="center"/>
      </w:pPr>
      <w:r>
        <w:drawing>
          <wp:inline xmlns:a="http://schemas.openxmlformats.org/drawingml/2006/main" xmlns:pic="http://schemas.openxmlformats.org/drawingml/2006/picture">
            <wp:extent cx="5029200" cy="3106020"/>
            <wp:docPr id="23" name="Picture 23"/>
            <wp:cNvGraphicFramePr>
              <a:graphicFrameLocks noChangeAspect="1"/>
            </wp:cNvGraphicFramePr>
            <a:graphic>
              <a:graphicData uri="http://schemas.openxmlformats.org/drawingml/2006/picture">
                <pic:pic>
                  <pic:nvPicPr>
                    <pic:cNvPr id="0" name="compaction_fit.png"/>
                    <pic:cNvPicPr/>
                  </pic:nvPicPr>
                  <pic:blipFill>
                    <a:blip r:embed="rId31"/>
                    <a:stretch>
                      <a:fillRect/>
                    </a:stretch>
                  </pic:blipFill>
                  <pic:spPr>
                    <a:xfrm>
                      <a:off x="0" y="0"/>
                      <a:ext cx="5029200" cy="3106020"/>
                    </a:xfrm>
                    <a:prstGeom prst="rect"/>
                  </pic:spPr>
                </pic:pic>
              </a:graphicData>
            </a:graphic>
          </wp:inline>
        </w:drawing>
      </w:r>
    </w:p>
    <w:p>
      <w:pPr>
        <w:spacing w:after="120"/>
        <w:jc w:val="center"/>
      </w:pPr>
      <w:r>
        <w:rPr>
          <w:i/>
          <w:color w:val="505050"/>
          <w:sz w:val="18"/>
        </w:rPr>
        <w:t>Figure 23. DOE_02 -- (a) Compaction fit.</w:t>
      </w:r>
    </w:p>
    <w:p>
      <w:pPr>
        <w:spacing w:before="80" w:after="20"/>
        <w:jc w:val="center"/>
      </w:pPr>
      <w:r>
        <w:drawing>
          <wp:inline xmlns:a="http://schemas.openxmlformats.org/drawingml/2006/main" xmlns:pic="http://schemas.openxmlformats.org/drawingml/2006/picture">
            <wp:extent cx="5029200" cy="3105021"/>
            <wp:docPr id="24" name="Picture 24"/>
            <wp:cNvGraphicFramePr>
              <a:graphicFrameLocks noChangeAspect="1"/>
            </wp:cNvGraphicFramePr>
            <a:graphic>
              <a:graphicData uri="http://schemas.openxmlformats.org/drawingml/2006/picture">
                <pic:pic>
                  <pic:nvPicPr>
                    <pic:cNvPr id="0" name="phase_evolution.png"/>
                    <pic:cNvPicPr/>
                  </pic:nvPicPr>
                  <pic:blipFill>
                    <a:blip r:embed="rId32"/>
                    <a:stretch>
                      <a:fillRect/>
                    </a:stretch>
                  </pic:blipFill>
                  <pic:spPr>
                    <a:xfrm>
                      <a:off x="0" y="0"/>
                      <a:ext cx="5029200" cy="3105021"/>
                    </a:xfrm>
                    <a:prstGeom prst="rect"/>
                  </pic:spPr>
                </pic:pic>
              </a:graphicData>
            </a:graphic>
          </wp:inline>
        </w:drawing>
      </w:r>
    </w:p>
    <w:p>
      <w:pPr>
        <w:spacing w:after="120"/>
        <w:jc w:val="center"/>
      </w:pPr>
      <w:r>
        <w:rPr>
          <w:i/>
          <w:color w:val="505050"/>
          <w:sz w:val="18"/>
        </w:rPr>
        <w:t>Figure 24. DOE_02 -- (b) Phase evolution.</w:t>
      </w:r>
    </w:p>
    <w:p>
      <w:pPr>
        <w:spacing w:before="80" w:after="20"/>
        <w:jc w:val="center"/>
      </w:pPr>
      <w:r>
        <w:drawing>
          <wp:inline xmlns:a="http://schemas.openxmlformats.org/drawingml/2006/main" xmlns:pic="http://schemas.openxmlformats.org/drawingml/2006/picture">
            <wp:extent cx="5029200" cy="2064203"/>
            <wp:docPr id="25" name="Picture 25"/>
            <wp:cNvGraphicFramePr>
              <a:graphicFrameLocks noChangeAspect="1"/>
            </wp:cNvGraphicFramePr>
            <a:graphic>
              <a:graphicData uri="http://schemas.openxmlformats.org/drawingml/2006/picture">
                <pic:pic>
                  <pic:nvPicPr>
                    <pic:cNvPr id="0" name="permeability_evolution.png"/>
                    <pic:cNvPicPr/>
                  </pic:nvPicPr>
                  <pic:blipFill>
                    <a:blip r:embed="rId33"/>
                    <a:stretch>
                      <a:fillRect/>
                    </a:stretch>
                  </pic:blipFill>
                  <pic:spPr>
                    <a:xfrm>
                      <a:off x="0" y="0"/>
                      <a:ext cx="5029200" cy="2064203"/>
                    </a:xfrm>
                    <a:prstGeom prst="rect"/>
                  </pic:spPr>
                </pic:pic>
              </a:graphicData>
            </a:graphic>
          </wp:inline>
        </w:drawing>
      </w:r>
    </w:p>
    <w:p>
      <w:pPr>
        <w:spacing w:after="120"/>
        <w:jc w:val="center"/>
      </w:pPr>
      <w:r>
        <w:rPr>
          <w:i/>
          <w:color w:val="505050"/>
          <w:sz w:val="18"/>
        </w:rPr>
        <w:t>Figure 25. DOE_02 -- (c) Permeability evolution.</w:t>
      </w:r>
    </w:p>
    <w:p>
      <w:pPr>
        <w:spacing w:before="80" w:after="20"/>
        <w:jc w:val="center"/>
      </w:pPr>
      <w:r>
        <w:drawing>
          <wp:inline xmlns:a="http://schemas.openxmlformats.org/drawingml/2006/main" xmlns:pic="http://schemas.openxmlformats.org/drawingml/2006/picture">
            <wp:extent cx="5029200" cy="3112909"/>
            <wp:docPr id="26" name="Picture 26"/>
            <wp:cNvGraphicFramePr>
              <a:graphicFrameLocks noChangeAspect="1"/>
            </wp:cNvGraphicFramePr>
            <a:graphic>
              <a:graphicData uri="http://schemas.openxmlformats.org/drawingml/2006/picture">
                <pic:pic>
                  <pic:nvPicPr>
                    <pic:cNvPr id="0" name="stress_balance.png"/>
                    <pic:cNvPicPr/>
                  </pic:nvPicPr>
                  <pic:blipFill>
                    <a:blip r:embed="rId34"/>
                    <a:stretch>
                      <a:fillRect/>
                    </a:stretch>
                  </pic:blipFill>
                  <pic:spPr>
                    <a:xfrm>
                      <a:off x="0" y="0"/>
                      <a:ext cx="5029200" cy="3112909"/>
                    </a:xfrm>
                    <a:prstGeom prst="rect"/>
                  </pic:spPr>
                </pic:pic>
              </a:graphicData>
            </a:graphic>
          </wp:inline>
        </w:drawing>
      </w:r>
    </w:p>
    <w:p>
      <w:pPr>
        <w:spacing w:after="120"/>
        <w:jc w:val="center"/>
      </w:pPr>
      <w:r>
        <w:rPr>
          <w:i/>
          <w:color w:val="505050"/>
          <w:sz w:val="18"/>
        </w:rPr>
        <w:t>Figure 26. DOE_02 -- (d) Stress balance.</w:t>
      </w:r>
    </w:p>
    <w:p>
      <w:pPr>
        <w:pStyle w:val="Heading2"/>
      </w:pPr>
      <w:r>
        <w:t>DOE_03 (E = 2.0 kPa, R² = -3.257, Δφ_f = -0.0043)</w:t>
      </w:r>
    </w:p>
    <w:p>
      <w:pPr>
        <w:spacing w:before="80" w:after="20"/>
        <w:jc w:val="center"/>
      </w:pPr>
      <w:r>
        <w:drawing>
          <wp:inline xmlns:a="http://schemas.openxmlformats.org/drawingml/2006/main" xmlns:pic="http://schemas.openxmlformats.org/drawingml/2006/picture">
            <wp:extent cx="5029200" cy="3140561"/>
            <wp:docPr id="27" name="Picture 27"/>
            <wp:cNvGraphicFramePr>
              <a:graphicFrameLocks noChangeAspect="1"/>
            </wp:cNvGraphicFramePr>
            <a:graphic>
              <a:graphicData uri="http://schemas.openxmlformats.org/drawingml/2006/picture">
                <pic:pic>
                  <pic:nvPicPr>
                    <pic:cNvPr id="0" name="compaction_fit.png"/>
                    <pic:cNvPicPr/>
                  </pic:nvPicPr>
                  <pic:blipFill>
                    <a:blip r:embed="rId35"/>
                    <a:stretch>
                      <a:fillRect/>
                    </a:stretch>
                  </pic:blipFill>
                  <pic:spPr>
                    <a:xfrm>
                      <a:off x="0" y="0"/>
                      <a:ext cx="5029200" cy="3140561"/>
                    </a:xfrm>
                    <a:prstGeom prst="rect"/>
                  </pic:spPr>
                </pic:pic>
              </a:graphicData>
            </a:graphic>
          </wp:inline>
        </w:drawing>
      </w:r>
    </w:p>
    <w:p>
      <w:pPr>
        <w:spacing w:after="120"/>
        <w:jc w:val="center"/>
      </w:pPr>
      <w:r>
        <w:rPr>
          <w:i/>
          <w:color w:val="505050"/>
          <w:sz w:val="18"/>
        </w:rPr>
        <w:t>Figure 27. DOE_03 -- (a) Compaction fit.</w:t>
      </w:r>
    </w:p>
    <w:p>
      <w:pPr>
        <w:spacing w:before="80" w:after="20"/>
        <w:jc w:val="center"/>
      </w:pPr>
      <w:r>
        <w:drawing>
          <wp:inline xmlns:a="http://schemas.openxmlformats.org/drawingml/2006/main" xmlns:pic="http://schemas.openxmlformats.org/drawingml/2006/picture">
            <wp:extent cx="5029200" cy="3105021"/>
            <wp:docPr id="28" name="Picture 28"/>
            <wp:cNvGraphicFramePr>
              <a:graphicFrameLocks noChangeAspect="1"/>
            </wp:cNvGraphicFramePr>
            <a:graphic>
              <a:graphicData uri="http://schemas.openxmlformats.org/drawingml/2006/picture">
                <pic:pic>
                  <pic:nvPicPr>
                    <pic:cNvPr id="0" name="phase_evolution.png"/>
                    <pic:cNvPicPr/>
                  </pic:nvPicPr>
                  <pic:blipFill>
                    <a:blip r:embed="rId36"/>
                    <a:stretch>
                      <a:fillRect/>
                    </a:stretch>
                  </pic:blipFill>
                  <pic:spPr>
                    <a:xfrm>
                      <a:off x="0" y="0"/>
                      <a:ext cx="5029200" cy="3105021"/>
                    </a:xfrm>
                    <a:prstGeom prst="rect"/>
                  </pic:spPr>
                </pic:pic>
              </a:graphicData>
            </a:graphic>
          </wp:inline>
        </w:drawing>
      </w:r>
    </w:p>
    <w:p>
      <w:pPr>
        <w:spacing w:after="120"/>
        <w:jc w:val="center"/>
      </w:pPr>
      <w:r>
        <w:rPr>
          <w:i/>
          <w:color w:val="505050"/>
          <w:sz w:val="18"/>
        </w:rPr>
        <w:t>Figure 28. DOE_03 -- (b) Phase evolution.</w:t>
      </w:r>
    </w:p>
    <w:p>
      <w:pPr>
        <w:spacing w:before="80" w:after="20"/>
        <w:jc w:val="center"/>
      </w:pPr>
      <w:r>
        <w:drawing>
          <wp:inline xmlns:a="http://schemas.openxmlformats.org/drawingml/2006/main" xmlns:pic="http://schemas.openxmlformats.org/drawingml/2006/picture">
            <wp:extent cx="5029200" cy="2064203"/>
            <wp:docPr id="29" name="Picture 29"/>
            <wp:cNvGraphicFramePr>
              <a:graphicFrameLocks noChangeAspect="1"/>
            </wp:cNvGraphicFramePr>
            <a:graphic>
              <a:graphicData uri="http://schemas.openxmlformats.org/drawingml/2006/picture">
                <pic:pic>
                  <pic:nvPicPr>
                    <pic:cNvPr id="0" name="permeability_evolution.png"/>
                    <pic:cNvPicPr/>
                  </pic:nvPicPr>
                  <pic:blipFill>
                    <a:blip r:embed="rId37"/>
                    <a:stretch>
                      <a:fillRect/>
                    </a:stretch>
                  </pic:blipFill>
                  <pic:spPr>
                    <a:xfrm>
                      <a:off x="0" y="0"/>
                      <a:ext cx="5029200" cy="2064203"/>
                    </a:xfrm>
                    <a:prstGeom prst="rect"/>
                  </pic:spPr>
                </pic:pic>
              </a:graphicData>
            </a:graphic>
          </wp:inline>
        </w:drawing>
      </w:r>
    </w:p>
    <w:p>
      <w:pPr>
        <w:spacing w:after="120"/>
        <w:jc w:val="center"/>
      </w:pPr>
      <w:r>
        <w:rPr>
          <w:i/>
          <w:color w:val="505050"/>
          <w:sz w:val="18"/>
        </w:rPr>
        <w:t>Figure 29. DOE_03 -- (c) Permeability evolution.</w:t>
      </w:r>
    </w:p>
    <w:p>
      <w:pPr>
        <w:spacing w:before="80" w:after="20"/>
        <w:jc w:val="center"/>
      </w:pPr>
      <w:r>
        <w:drawing>
          <wp:inline xmlns:a="http://schemas.openxmlformats.org/drawingml/2006/main" xmlns:pic="http://schemas.openxmlformats.org/drawingml/2006/picture">
            <wp:extent cx="5029200" cy="3112909"/>
            <wp:docPr id="30" name="Picture 30"/>
            <wp:cNvGraphicFramePr>
              <a:graphicFrameLocks noChangeAspect="1"/>
            </wp:cNvGraphicFramePr>
            <a:graphic>
              <a:graphicData uri="http://schemas.openxmlformats.org/drawingml/2006/picture">
                <pic:pic>
                  <pic:nvPicPr>
                    <pic:cNvPr id="0" name="stress_balance.png"/>
                    <pic:cNvPicPr/>
                  </pic:nvPicPr>
                  <pic:blipFill>
                    <a:blip r:embed="rId38"/>
                    <a:stretch>
                      <a:fillRect/>
                    </a:stretch>
                  </pic:blipFill>
                  <pic:spPr>
                    <a:xfrm>
                      <a:off x="0" y="0"/>
                      <a:ext cx="5029200" cy="3112909"/>
                    </a:xfrm>
                    <a:prstGeom prst="rect"/>
                  </pic:spPr>
                </pic:pic>
              </a:graphicData>
            </a:graphic>
          </wp:inline>
        </w:drawing>
      </w:r>
    </w:p>
    <w:p>
      <w:pPr>
        <w:spacing w:after="120"/>
        <w:jc w:val="center"/>
      </w:pPr>
      <w:r>
        <w:rPr>
          <w:i/>
          <w:color w:val="505050"/>
          <w:sz w:val="18"/>
        </w:rPr>
        <w:t>Figure 30. DOE_03 -- (d) Stress balance.</w:t>
      </w:r>
    </w:p>
    <w:p>
      <w:pPr>
        <w:pStyle w:val="Heading2"/>
      </w:pPr>
      <w:r>
        <w:t>DOE_04 (E = 50.0 kPa, R² = -0.084, Δφ_f = -0.0554)</w:t>
      </w:r>
    </w:p>
    <w:p>
      <w:pPr>
        <w:spacing w:before="80" w:after="20"/>
        <w:jc w:val="center"/>
      </w:pPr>
      <w:r>
        <w:drawing>
          <wp:inline xmlns:a="http://schemas.openxmlformats.org/drawingml/2006/main" xmlns:pic="http://schemas.openxmlformats.org/drawingml/2006/picture">
            <wp:extent cx="5029200" cy="3106020"/>
            <wp:docPr id="31" name="Picture 31"/>
            <wp:cNvGraphicFramePr>
              <a:graphicFrameLocks noChangeAspect="1"/>
            </wp:cNvGraphicFramePr>
            <a:graphic>
              <a:graphicData uri="http://schemas.openxmlformats.org/drawingml/2006/picture">
                <pic:pic>
                  <pic:nvPicPr>
                    <pic:cNvPr id="0" name="compaction_fit.png"/>
                    <pic:cNvPicPr/>
                  </pic:nvPicPr>
                  <pic:blipFill>
                    <a:blip r:embed="rId39"/>
                    <a:stretch>
                      <a:fillRect/>
                    </a:stretch>
                  </pic:blipFill>
                  <pic:spPr>
                    <a:xfrm>
                      <a:off x="0" y="0"/>
                      <a:ext cx="5029200" cy="3106020"/>
                    </a:xfrm>
                    <a:prstGeom prst="rect"/>
                  </pic:spPr>
                </pic:pic>
              </a:graphicData>
            </a:graphic>
          </wp:inline>
        </w:drawing>
      </w:r>
    </w:p>
    <w:p>
      <w:pPr>
        <w:spacing w:after="120"/>
        <w:jc w:val="center"/>
      </w:pPr>
      <w:r>
        <w:rPr>
          <w:i/>
          <w:color w:val="505050"/>
          <w:sz w:val="18"/>
        </w:rPr>
        <w:t>Figure 31. DOE_04 -- (a) Compaction fit.</w:t>
      </w:r>
    </w:p>
    <w:p>
      <w:pPr>
        <w:spacing w:before="80" w:after="20"/>
        <w:jc w:val="center"/>
      </w:pPr>
      <w:r>
        <w:drawing>
          <wp:inline xmlns:a="http://schemas.openxmlformats.org/drawingml/2006/main" xmlns:pic="http://schemas.openxmlformats.org/drawingml/2006/picture">
            <wp:extent cx="5029200" cy="3105021"/>
            <wp:docPr id="32" name="Picture 32"/>
            <wp:cNvGraphicFramePr>
              <a:graphicFrameLocks noChangeAspect="1"/>
            </wp:cNvGraphicFramePr>
            <a:graphic>
              <a:graphicData uri="http://schemas.openxmlformats.org/drawingml/2006/picture">
                <pic:pic>
                  <pic:nvPicPr>
                    <pic:cNvPr id="0" name="phase_evolution.png"/>
                    <pic:cNvPicPr/>
                  </pic:nvPicPr>
                  <pic:blipFill>
                    <a:blip r:embed="rId40"/>
                    <a:stretch>
                      <a:fillRect/>
                    </a:stretch>
                  </pic:blipFill>
                  <pic:spPr>
                    <a:xfrm>
                      <a:off x="0" y="0"/>
                      <a:ext cx="5029200" cy="3105021"/>
                    </a:xfrm>
                    <a:prstGeom prst="rect"/>
                  </pic:spPr>
                </pic:pic>
              </a:graphicData>
            </a:graphic>
          </wp:inline>
        </w:drawing>
      </w:r>
    </w:p>
    <w:p>
      <w:pPr>
        <w:spacing w:after="120"/>
        <w:jc w:val="center"/>
      </w:pPr>
      <w:r>
        <w:rPr>
          <w:i/>
          <w:color w:val="505050"/>
          <w:sz w:val="18"/>
        </w:rPr>
        <w:t>Figure 32. DOE_04 -- (b) Phase evolution.</w:t>
      </w:r>
    </w:p>
    <w:p>
      <w:pPr>
        <w:spacing w:before="80" w:after="20"/>
        <w:jc w:val="center"/>
      </w:pPr>
      <w:r>
        <w:drawing>
          <wp:inline xmlns:a="http://schemas.openxmlformats.org/drawingml/2006/main" xmlns:pic="http://schemas.openxmlformats.org/drawingml/2006/picture">
            <wp:extent cx="5029200" cy="2064203"/>
            <wp:docPr id="33" name="Picture 33"/>
            <wp:cNvGraphicFramePr>
              <a:graphicFrameLocks noChangeAspect="1"/>
            </wp:cNvGraphicFramePr>
            <a:graphic>
              <a:graphicData uri="http://schemas.openxmlformats.org/drawingml/2006/picture">
                <pic:pic>
                  <pic:nvPicPr>
                    <pic:cNvPr id="0" name="permeability_evolution.png"/>
                    <pic:cNvPicPr/>
                  </pic:nvPicPr>
                  <pic:blipFill>
                    <a:blip r:embed="rId41"/>
                    <a:stretch>
                      <a:fillRect/>
                    </a:stretch>
                  </pic:blipFill>
                  <pic:spPr>
                    <a:xfrm>
                      <a:off x="0" y="0"/>
                      <a:ext cx="5029200" cy="2064203"/>
                    </a:xfrm>
                    <a:prstGeom prst="rect"/>
                  </pic:spPr>
                </pic:pic>
              </a:graphicData>
            </a:graphic>
          </wp:inline>
        </w:drawing>
      </w:r>
    </w:p>
    <w:p>
      <w:pPr>
        <w:spacing w:after="120"/>
        <w:jc w:val="center"/>
      </w:pPr>
      <w:r>
        <w:rPr>
          <w:i/>
          <w:color w:val="505050"/>
          <w:sz w:val="18"/>
        </w:rPr>
        <w:t>Figure 33. DOE_04 -- (c) Permeability evolution.</w:t>
      </w:r>
    </w:p>
    <w:p>
      <w:pPr>
        <w:spacing w:before="80" w:after="20"/>
        <w:jc w:val="center"/>
      </w:pPr>
      <w:r>
        <w:drawing>
          <wp:inline xmlns:a="http://schemas.openxmlformats.org/drawingml/2006/main" xmlns:pic="http://schemas.openxmlformats.org/drawingml/2006/picture">
            <wp:extent cx="5029200" cy="3110275"/>
            <wp:docPr id="34" name="Picture 34"/>
            <wp:cNvGraphicFramePr>
              <a:graphicFrameLocks noChangeAspect="1"/>
            </wp:cNvGraphicFramePr>
            <a:graphic>
              <a:graphicData uri="http://schemas.openxmlformats.org/drawingml/2006/picture">
                <pic:pic>
                  <pic:nvPicPr>
                    <pic:cNvPr id="0" name="stress_balance.png"/>
                    <pic:cNvPicPr/>
                  </pic:nvPicPr>
                  <pic:blipFill>
                    <a:blip r:embed="rId42"/>
                    <a:stretch>
                      <a:fillRect/>
                    </a:stretch>
                  </pic:blipFill>
                  <pic:spPr>
                    <a:xfrm>
                      <a:off x="0" y="0"/>
                      <a:ext cx="5029200" cy="3110275"/>
                    </a:xfrm>
                    <a:prstGeom prst="rect"/>
                  </pic:spPr>
                </pic:pic>
              </a:graphicData>
            </a:graphic>
          </wp:inline>
        </w:drawing>
      </w:r>
    </w:p>
    <w:p>
      <w:pPr>
        <w:spacing w:after="120"/>
        <w:jc w:val="center"/>
      </w:pPr>
      <w:r>
        <w:rPr>
          <w:i/>
          <w:color w:val="505050"/>
          <w:sz w:val="18"/>
        </w:rPr>
        <w:t>Figure 34. DOE_04 -- (d) Stress balance.</w:t>
      </w:r>
    </w:p>
    <w:p>
      <w:pPr>
        <w:pStyle w:val="Heading2"/>
      </w:pPr>
      <w:r>
        <w:t>DOE_05 (E = 2.0 kPa, R² = -0.881, Δφ_f = -0.0047)</w:t>
      </w:r>
    </w:p>
    <w:p>
      <w:pPr>
        <w:spacing w:before="80" w:after="20"/>
        <w:jc w:val="center"/>
      </w:pPr>
      <w:r>
        <w:drawing>
          <wp:inline xmlns:a="http://schemas.openxmlformats.org/drawingml/2006/main" xmlns:pic="http://schemas.openxmlformats.org/drawingml/2006/picture">
            <wp:extent cx="5029200" cy="3140561"/>
            <wp:docPr id="35" name="Picture 35"/>
            <wp:cNvGraphicFramePr>
              <a:graphicFrameLocks noChangeAspect="1"/>
            </wp:cNvGraphicFramePr>
            <a:graphic>
              <a:graphicData uri="http://schemas.openxmlformats.org/drawingml/2006/picture">
                <pic:pic>
                  <pic:nvPicPr>
                    <pic:cNvPr id="0" name="compaction_fit.png"/>
                    <pic:cNvPicPr/>
                  </pic:nvPicPr>
                  <pic:blipFill>
                    <a:blip r:embed="rId43"/>
                    <a:stretch>
                      <a:fillRect/>
                    </a:stretch>
                  </pic:blipFill>
                  <pic:spPr>
                    <a:xfrm>
                      <a:off x="0" y="0"/>
                      <a:ext cx="5029200" cy="3140561"/>
                    </a:xfrm>
                    <a:prstGeom prst="rect"/>
                  </pic:spPr>
                </pic:pic>
              </a:graphicData>
            </a:graphic>
          </wp:inline>
        </w:drawing>
      </w:r>
    </w:p>
    <w:p>
      <w:pPr>
        <w:spacing w:after="120"/>
        <w:jc w:val="center"/>
      </w:pPr>
      <w:r>
        <w:rPr>
          <w:i/>
          <w:color w:val="505050"/>
          <w:sz w:val="18"/>
        </w:rPr>
        <w:t>Figure 35. DOE_05 -- (a) Compaction fit.</w:t>
      </w:r>
    </w:p>
    <w:p>
      <w:pPr>
        <w:spacing w:before="80" w:after="20"/>
        <w:jc w:val="center"/>
      </w:pPr>
      <w:r>
        <w:drawing>
          <wp:inline xmlns:a="http://schemas.openxmlformats.org/drawingml/2006/main" xmlns:pic="http://schemas.openxmlformats.org/drawingml/2006/picture">
            <wp:extent cx="5029200" cy="3105021"/>
            <wp:docPr id="36" name="Picture 36"/>
            <wp:cNvGraphicFramePr>
              <a:graphicFrameLocks noChangeAspect="1"/>
            </wp:cNvGraphicFramePr>
            <a:graphic>
              <a:graphicData uri="http://schemas.openxmlformats.org/drawingml/2006/picture">
                <pic:pic>
                  <pic:nvPicPr>
                    <pic:cNvPr id="0" name="phase_evolution.png"/>
                    <pic:cNvPicPr/>
                  </pic:nvPicPr>
                  <pic:blipFill>
                    <a:blip r:embed="rId44"/>
                    <a:stretch>
                      <a:fillRect/>
                    </a:stretch>
                  </pic:blipFill>
                  <pic:spPr>
                    <a:xfrm>
                      <a:off x="0" y="0"/>
                      <a:ext cx="5029200" cy="3105021"/>
                    </a:xfrm>
                    <a:prstGeom prst="rect"/>
                  </pic:spPr>
                </pic:pic>
              </a:graphicData>
            </a:graphic>
          </wp:inline>
        </w:drawing>
      </w:r>
    </w:p>
    <w:p>
      <w:pPr>
        <w:spacing w:after="120"/>
        <w:jc w:val="center"/>
      </w:pPr>
      <w:r>
        <w:rPr>
          <w:i/>
          <w:color w:val="505050"/>
          <w:sz w:val="18"/>
        </w:rPr>
        <w:t>Figure 36. DOE_05 -- (b) Phase evolution.</w:t>
      </w:r>
    </w:p>
    <w:p>
      <w:pPr>
        <w:spacing w:before="80" w:after="20"/>
        <w:jc w:val="center"/>
      </w:pPr>
      <w:r>
        <w:drawing>
          <wp:inline xmlns:a="http://schemas.openxmlformats.org/drawingml/2006/main" xmlns:pic="http://schemas.openxmlformats.org/drawingml/2006/picture">
            <wp:extent cx="5029200" cy="2064203"/>
            <wp:docPr id="37" name="Picture 37"/>
            <wp:cNvGraphicFramePr>
              <a:graphicFrameLocks noChangeAspect="1"/>
            </wp:cNvGraphicFramePr>
            <a:graphic>
              <a:graphicData uri="http://schemas.openxmlformats.org/drawingml/2006/picture">
                <pic:pic>
                  <pic:nvPicPr>
                    <pic:cNvPr id="0" name="permeability_evolution.png"/>
                    <pic:cNvPicPr/>
                  </pic:nvPicPr>
                  <pic:blipFill>
                    <a:blip r:embed="rId45"/>
                    <a:stretch>
                      <a:fillRect/>
                    </a:stretch>
                  </pic:blipFill>
                  <pic:spPr>
                    <a:xfrm>
                      <a:off x="0" y="0"/>
                      <a:ext cx="5029200" cy="2064203"/>
                    </a:xfrm>
                    <a:prstGeom prst="rect"/>
                  </pic:spPr>
                </pic:pic>
              </a:graphicData>
            </a:graphic>
          </wp:inline>
        </w:drawing>
      </w:r>
    </w:p>
    <w:p>
      <w:pPr>
        <w:spacing w:after="120"/>
        <w:jc w:val="center"/>
      </w:pPr>
      <w:r>
        <w:rPr>
          <w:i/>
          <w:color w:val="505050"/>
          <w:sz w:val="18"/>
        </w:rPr>
        <w:t>Figure 37. DOE_05 -- (c) Permeability evolution.</w:t>
      </w:r>
    </w:p>
    <w:p>
      <w:pPr>
        <w:spacing w:before="80" w:after="20"/>
        <w:jc w:val="center"/>
      </w:pPr>
      <w:r>
        <w:drawing>
          <wp:inline xmlns:a="http://schemas.openxmlformats.org/drawingml/2006/main" xmlns:pic="http://schemas.openxmlformats.org/drawingml/2006/picture">
            <wp:extent cx="5029200" cy="3112909"/>
            <wp:docPr id="38" name="Picture 38"/>
            <wp:cNvGraphicFramePr>
              <a:graphicFrameLocks noChangeAspect="1"/>
            </wp:cNvGraphicFramePr>
            <a:graphic>
              <a:graphicData uri="http://schemas.openxmlformats.org/drawingml/2006/picture">
                <pic:pic>
                  <pic:nvPicPr>
                    <pic:cNvPr id="0" name="stress_balance.png"/>
                    <pic:cNvPicPr/>
                  </pic:nvPicPr>
                  <pic:blipFill>
                    <a:blip r:embed="rId46"/>
                    <a:stretch>
                      <a:fillRect/>
                    </a:stretch>
                  </pic:blipFill>
                  <pic:spPr>
                    <a:xfrm>
                      <a:off x="0" y="0"/>
                      <a:ext cx="5029200" cy="3112909"/>
                    </a:xfrm>
                    <a:prstGeom prst="rect"/>
                  </pic:spPr>
                </pic:pic>
              </a:graphicData>
            </a:graphic>
          </wp:inline>
        </w:drawing>
      </w:r>
    </w:p>
    <w:p>
      <w:pPr>
        <w:spacing w:after="120"/>
        <w:jc w:val="center"/>
      </w:pPr>
      <w:r>
        <w:rPr>
          <w:i/>
          <w:color w:val="505050"/>
          <w:sz w:val="18"/>
        </w:rPr>
        <w:t>Figure 38. DOE_05 -- (d) Stress balance.</w:t>
      </w:r>
    </w:p>
    <w:p>
      <w:pPr>
        <w:pStyle w:val="Heading2"/>
      </w:pPr>
      <w:r>
        <w:t>DOE_06 (E = 50.0 kPa, R² = -0.483, Δφ_f = -0.0030)</w:t>
      </w:r>
    </w:p>
    <w:p>
      <w:pPr>
        <w:spacing w:before="80" w:after="20"/>
        <w:jc w:val="center"/>
      </w:pPr>
      <w:r>
        <w:drawing>
          <wp:inline xmlns:a="http://schemas.openxmlformats.org/drawingml/2006/main" xmlns:pic="http://schemas.openxmlformats.org/drawingml/2006/picture">
            <wp:extent cx="5029200" cy="3106020"/>
            <wp:docPr id="39" name="Picture 39"/>
            <wp:cNvGraphicFramePr>
              <a:graphicFrameLocks noChangeAspect="1"/>
            </wp:cNvGraphicFramePr>
            <a:graphic>
              <a:graphicData uri="http://schemas.openxmlformats.org/drawingml/2006/picture">
                <pic:pic>
                  <pic:nvPicPr>
                    <pic:cNvPr id="0" name="compaction_fit.png"/>
                    <pic:cNvPicPr/>
                  </pic:nvPicPr>
                  <pic:blipFill>
                    <a:blip r:embed="rId47"/>
                    <a:stretch>
                      <a:fillRect/>
                    </a:stretch>
                  </pic:blipFill>
                  <pic:spPr>
                    <a:xfrm>
                      <a:off x="0" y="0"/>
                      <a:ext cx="5029200" cy="3106020"/>
                    </a:xfrm>
                    <a:prstGeom prst="rect"/>
                  </pic:spPr>
                </pic:pic>
              </a:graphicData>
            </a:graphic>
          </wp:inline>
        </w:drawing>
      </w:r>
    </w:p>
    <w:p>
      <w:pPr>
        <w:spacing w:after="120"/>
        <w:jc w:val="center"/>
      </w:pPr>
      <w:r>
        <w:rPr>
          <w:i/>
          <w:color w:val="505050"/>
          <w:sz w:val="18"/>
        </w:rPr>
        <w:t>Figure 39. DOE_06 -- (a) Compaction fit.</w:t>
      </w:r>
    </w:p>
    <w:p>
      <w:pPr>
        <w:spacing w:before="80" w:after="20"/>
        <w:jc w:val="center"/>
      </w:pPr>
      <w:r>
        <w:drawing>
          <wp:inline xmlns:a="http://schemas.openxmlformats.org/drawingml/2006/main" xmlns:pic="http://schemas.openxmlformats.org/drawingml/2006/picture">
            <wp:extent cx="5029200" cy="3105021"/>
            <wp:docPr id="40" name="Picture 40"/>
            <wp:cNvGraphicFramePr>
              <a:graphicFrameLocks noChangeAspect="1"/>
            </wp:cNvGraphicFramePr>
            <a:graphic>
              <a:graphicData uri="http://schemas.openxmlformats.org/drawingml/2006/picture">
                <pic:pic>
                  <pic:nvPicPr>
                    <pic:cNvPr id="0" name="phase_evolution.png"/>
                    <pic:cNvPicPr/>
                  </pic:nvPicPr>
                  <pic:blipFill>
                    <a:blip r:embed="rId48"/>
                    <a:stretch>
                      <a:fillRect/>
                    </a:stretch>
                  </pic:blipFill>
                  <pic:spPr>
                    <a:xfrm>
                      <a:off x="0" y="0"/>
                      <a:ext cx="5029200" cy="3105021"/>
                    </a:xfrm>
                    <a:prstGeom prst="rect"/>
                  </pic:spPr>
                </pic:pic>
              </a:graphicData>
            </a:graphic>
          </wp:inline>
        </w:drawing>
      </w:r>
    </w:p>
    <w:p>
      <w:pPr>
        <w:spacing w:after="120"/>
        <w:jc w:val="center"/>
      </w:pPr>
      <w:r>
        <w:rPr>
          <w:i/>
          <w:color w:val="505050"/>
          <w:sz w:val="18"/>
        </w:rPr>
        <w:t>Figure 40. DOE_06 -- (b) Phase evolution.</w:t>
      </w:r>
    </w:p>
    <w:p>
      <w:pPr>
        <w:spacing w:before="80" w:after="20"/>
        <w:jc w:val="center"/>
      </w:pPr>
      <w:r>
        <w:drawing>
          <wp:inline xmlns:a="http://schemas.openxmlformats.org/drawingml/2006/main" xmlns:pic="http://schemas.openxmlformats.org/drawingml/2006/picture">
            <wp:extent cx="5029200" cy="2064203"/>
            <wp:docPr id="41" name="Picture 41"/>
            <wp:cNvGraphicFramePr>
              <a:graphicFrameLocks noChangeAspect="1"/>
            </wp:cNvGraphicFramePr>
            <a:graphic>
              <a:graphicData uri="http://schemas.openxmlformats.org/drawingml/2006/picture">
                <pic:pic>
                  <pic:nvPicPr>
                    <pic:cNvPr id="0" name="permeability_evolution.png"/>
                    <pic:cNvPicPr/>
                  </pic:nvPicPr>
                  <pic:blipFill>
                    <a:blip r:embed="rId49"/>
                    <a:stretch>
                      <a:fillRect/>
                    </a:stretch>
                  </pic:blipFill>
                  <pic:spPr>
                    <a:xfrm>
                      <a:off x="0" y="0"/>
                      <a:ext cx="5029200" cy="2064203"/>
                    </a:xfrm>
                    <a:prstGeom prst="rect"/>
                  </pic:spPr>
                </pic:pic>
              </a:graphicData>
            </a:graphic>
          </wp:inline>
        </w:drawing>
      </w:r>
    </w:p>
    <w:p>
      <w:pPr>
        <w:spacing w:after="120"/>
        <w:jc w:val="center"/>
      </w:pPr>
      <w:r>
        <w:rPr>
          <w:i/>
          <w:color w:val="505050"/>
          <w:sz w:val="18"/>
        </w:rPr>
        <w:t>Figure 41. DOE_06 -- (c) Permeability evolution.</w:t>
      </w:r>
    </w:p>
    <w:p>
      <w:pPr>
        <w:spacing w:before="80" w:after="20"/>
        <w:jc w:val="center"/>
      </w:pPr>
      <w:r>
        <w:drawing>
          <wp:inline xmlns:a="http://schemas.openxmlformats.org/drawingml/2006/main" xmlns:pic="http://schemas.openxmlformats.org/drawingml/2006/picture">
            <wp:extent cx="5029200" cy="3110275"/>
            <wp:docPr id="42" name="Picture 42"/>
            <wp:cNvGraphicFramePr>
              <a:graphicFrameLocks noChangeAspect="1"/>
            </wp:cNvGraphicFramePr>
            <a:graphic>
              <a:graphicData uri="http://schemas.openxmlformats.org/drawingml/2006/picture">
                <pic:pic>
                  <pic:nvPicPr>
                    <pic:cNvPr id="0" name="stress_balance.png"/>
                    <pic:cNvPicPr/>
                  </pic:nvPicPr>
                  <pic:blipFill>
                    <a:blip r:embed="rId50"/>
                    <a:stretch>
                      <a:fillRect/>
                    </a:stretch>
                  </pic:blipFill>
                  <pic:spPr>
                    <a:xfrm>
                      <a:off x="0" y="0"/>
                      <a:ext cx="5029200" cy="3110275"/>
                    </a:xfrm>
                    <a:prstGeom prst="rect"/>
                  </pic:spPr>
                </pic:pic>
              </a:graphicData>
            </a:graphic>
          </wp:inline>
        </w:drawing>
      </w:r>
    </w:p>
    <w:p>
      <w:pPr>
        <w:spacing w:after="120"/>
        <w:jc w:val="center"/>
      </w:pPr>
      <w:r>
        <w:rPr>
          <w:i/>
          <w:color w:val="505050"/>
          <w:sz w:val="18"/>
        </w:rPr>
        <w:t>Figure 42. DOE_06 -- (d) Stress balance.</w:t>
      </w:r>
    </w:p>
    <w:p>
      <w:pPr>
        <w:pStyle w:val="Heading2"/>
      </w:pPr>
      <w:r>
        <w:t>DOE_07 (E = 2.0 kPa, R² = -1.303, Δφ_f = 0.0679)</w:t>
      </w:r>
    </w:p>
    <w:p>
      <w:pPr>
        <w:spacing w:before="80" w:after="20"/>
        <w:jc w:val="center"/>
      </w:pPr>
      <w:r>
        <w:drawing>
          <wp:inline xmlns:a="http://schemas.openxmlformats.org/drawingml/2006/main" xmlns:pic="http://schemas.openxmlformats.org/drawingml/2006/picture">
            <wp:extent cx="5029200" cy="3140561"/>
            <wp:docPr id="43" name="Picture 43"/>
            <wp:cNvGraphicFramePr>
              <a:graphicFrameLocks noChangeAspect="1"/>
            </wp:cNvGraphicFramePr>
            <a:graphic>
              <a:graphicData uri="http://schemas.openxmlformats.org/drawingml/2006/picture">
                <pic:pic>
                  <pic:nvPicPr>
                    <pic:cNvPr id="0" name="compaction_fit.png"/>
                    <pic:cNvPicPr/>
                  </pic:nvPicPr>
                  <pic:blipFill>
                    <a:blip r:embed="rId51"/>
                    <a:stretch>
                      <a:fillRect/>
                    </a:stretch>
                  </pic:blipFill>
                  <pic:spPr>
                    <a:xfrm>
                      <a:off x="0" y="0"/>
                      <a:ext cx="5029200" cy="3140561"/>
                    </a:xfrm>
                    <a:prstGeom prst="rect"/>
                  </pic:spPr>
                </pic:pic>
              </a:graphicData>
            </a:graphic>
          </wp:inline>
        </w:drawing>
      </w:r>
    </w:p>
    <w:p>
      <w:pPr>
        <w:spacing w:after="120"/>
        <w:jc w:val="center"/>
      </w:pPr>
      <w:r>
        <w:rPr>
          <w:i/>
          <w:color w:val="505050"/>
          <w:sz w:val="18"/>
        </w:rPr>
        <w:t>Figure 43. DOE_07 -- (a) Compaction fit.</w:t>
      </w:r>
    </w:p>
    <w:p>
      <w:pPr>
        <w:spacing w:before="80" w:after="20"/>
        <w:jc w:val="center"/>
      </w:pPr>
      <w:r>
        <w:drawing>
          <wp:inline xmlns:a="http://schemas.openxmlformats.org/drawingml/2006/main" xmlns:pic="http://schemas.openxmlformats.org/drawingml/2006/picture">
            <wp:extent cx="5029200" cy="3105021"/>
            <wp:docPr id="44" name="Picture 44"/>
            <wp:cNvGraphicFramePr>
              <a:graphicFrameLocks noChangeAspect="1"/>
            </wp:cNvGraphicFramePr>
            <a:graphic>
              <a:graphicData uri="http://schemas.openxmlformats.org/drawingml/2006/picture">
                <pic:pic>
                  <pic:nvPicPr>
                    <pic:cNvPr id="0" name="phase_evolution.png"/>
                    <pic:cNvPicPr/>
                  </pic:nvPicPr>
                  <pic:blipFill>
                    <a:blip r:embed="rId52"/>
                    <a:stretch>
                      <a:fillRect/>
                    </a:stretch>
                  </pic:blipFill>
                  <pic:spPr>
                    <a:xfrm>
                      <a:off x="0" y="0"/>
                      <a:ext cx="5029200" cy="3105021"/>
                    </a:xfrm>
                    <a:prstGeom prst="rect"/>
                  </pic:spPr>
                </pic:pic>
              </a:graphicData>
            </a:graphic>
          </wp:inline>
        </w:drawing>
      </w:r>
    </w:p>
    <w:p>
      <w:pPr>
        <w:spacing w:after="120"/>
        <w:jc w:val="center"/>
      </w:pPr>
      <w:r>
        <w:rPr>
          <w:i/>
          <w:color w:val="505050"/>
          <w:sz w:val="18"/>
        </w:rPr>
        <w:t>Figure 44. DOE_07 -- (b) Phase evolution.</w:t>
      </w:r>
    </w:p>
    <w:p>
      <w:pPr>
        <w:spacing w:before="80" w:after="20"/>
        <w:jc w:val="center"/>
      </w:pPr>
      <w:r>
        <w:drawing>
          <wp:inline xmlns:a="http://schemas.openxmlformats.org/drawingml/2006/main" xmlns:pic="http://schemas.openxmlformats.org/drawingml/2006/picture">
            <wp:extent cx="5029200" cy="2064203"/>
            <wp:docPr id="45" name="Picture 45"/>
            <wp:cNvGraphicFramePr>
              <a:graphicFrameLocks noChangeAspect="1"/>
            </wp:cNvGraphicFramePr>
            <a:graphic>
              <a:graphicData uri="http://schemas.openxmlformats.org/drawingml/2006/picture">
                <pic:pic>
                  <pic:nvPicPr>
                    <pic:cNvPr id="0" name="permeability_evolution.png"/>
                    <pic:cNvPicPr/>
                  </pic:nvPicPr>
                  <pic:blipFill>
                    <a:blip r:embed="rId53"/>
                    <a:stretch>
                      <a:fillRect/>
                    </a:stretch>
                  </pic:blipFill>
                  <pic:spPr>
                    <a:xfrm>
                      <a:off x="0" y="0"/>
                      <a:ext cx="5029200" cy="2064203"/>
                    </a:xfrm>
                    <a:prstGeom prst="rect"/>
                  </pic:spPr>
                </pic:pic>
              </a:graphicData>
            </a:graphic>
          </wp:inline>
        </w:drawing>
      </w:r>
    </w:p>
    <w:p>
      <w:pPr>
        <w:spacing w:after="120"/>
        <w:jc w:val="center"/>
      </w:pPr>
      <w:r>
        <w:rPr>
          <w:i/>
          <w:color w:val="505050"/>
          <w:sz w:val="18"/>
        </w:rPr>
        <w:t>Figure 45. DOE_07 -- (c) Permeability evolution.</w:t>
      </w:r>
    </w:p>
    <w:p>
      <w:pPr>
        <w:spacing w:before="80" w:after="20"/>
        <w:jc w:val="center"/>
      </w:pPr>
      <w:r>
        <w:drawing>
          <wp:inline xmlns:a="http://schemas.openxmlformats.org/drawingml/2006/main" xmlns:pic="http://schemas.openxmlformats.org/drawingml/2006/picture">
            <wp:extent cx="5029200" cy="3110275"/>
            <wp:docPr id="46" name="Picture 46"/>
            <wp:cNvGraphicFramePr>
              <a:graphicFrameLocks noChangeAspect="1"/>
            </wp:cNvGraphicFramePr>
            <a:graphic>
              <a:graphicData uri="http://schemas.openxmlformats.org/drawingml/2006/picture">
                <pic:pic>
                  <pic:nvPicPr>
                    <pic:cNvPr id="0" name="stress_balance.png"/>
                    <pic:cNvPicPr/>
                  </pic:nvPicPr>
                  <pic:blipFill>
                    <a:blip r:embed="rId54"/>
                    <a:stretch>
                      <a:fillRect/>
                    </a:stretch>
                  </pic:blipFill>
                  <pic:spPr>
                    <a:xfrm>
                      <a:off x="0" y="0"/>
                      <a:ext cx="5029200" cy="3110275"/>
                    </a:xfrm>
                    <a:prstGeom prst="rect"/>
                  </pic:spPr>
                </pic:pic>
              </a:graphicData>
            </a:graphic>
          </wp:inline>
        </w:drawing>
      </w:r>
    </w:p>
    <w:p>
      <w:pPr>
        <w:spacing w:after="120"/>
        <w:jc w:val="center"/>
      </w:pPr>
      <w:r>
        <w:rPr>
          <w:i/>
          <w:color w:val="505050"/>
          <w:sz w:val="18"/>
        </w:rPr>
        <w:t>Figure 46. DOE_07 -- (d) Stress balance.</w:t>
      </w:r>
    </w:p>
    <w:p>
      <w:pPr>
        <w:pStyle w:val="Heading2"/>
      </w:pPr>
      <w:r>
        <w:t>DOE_08 (E = 50.0 kPa, R² = 0.185, Δφ_f = -0.0734)</w:t>
      </w:r>
    </w:p>
    <w:p>
      <w:pPr>
        <w:spacing w:before="80" w:after="20"/>
        <w:jc w:val="center"/>
      </w:pPr>
      <w:r>
        <w:drawing>
          <wp:inline xmlns:a="http://schemas.openxmlformats.org/drawingml/2006/main" xmlns:pic="http://schemas.openxmlformats.org/drawingml/2006/picture">
            <wp:extent cx="5029200" cy="3106020"/>
            <wp:docPr id="47" name="Picture 47"/>
            <wp:cNvGraphicFramePr>
              <a:graphicFrameLocks noChangeAspect="1"/>
            </wp:cNvGraphicFramePr>
            <a:graphic>
              <a:graphicData uri="http://schemas.openxmlformats.org/drawingml/2006/picture">
                <pic:pic>
                  <pic:nvPicPr>
                    <pic:cNvPr id="0" name="compaction_fit.png"/>
                    <pic:cNvPicPr/>
                  </pic:nvPicPr>
                  <pic:blipFill>
                    <a:blip r:embed="rId11"/>
                    <a:stretch>
                      <a:fillRect/>
                    </a:stretch>
                  </pic:blipFill>
                  <pic:spPr>
                    <a:xfrm>
                      <a:off x="0" y="0"/>
                      <a:ext cx="5029200" cy="3106020"/>
                    </a:xfrm>
                    <a:prstGeom prst="rect"/>
                  </pic:spPr>
                </pic:pic>
              </a:graphicData>
            </a:graphic>
          </wp:inline>
        </w:drawing>
      </w:r>
    </w:p>
    <w:p>
      <w:pPr>
        <w:spacing w:after="120"/>
        <w:jc w:val="center"/>
      </w:pPr>
      <w:r>
        <w:rPr>
          <w:i/>
          <w:color w:val="505050"/>
          <w:sz w:val="18"/>
        </w:rPr>
        <w:t>Figure 47. DOE_08 -- (a) Compaction fit.</w:t>
      </w:r>
    </w:p>
    <w:p>
      <w:pPr>
        <w:spacing w:before="80" w:after="20"/>
        <w:jc w:val="center"/>
      </w:pPr>
      <w:r>
        <w:drawing>
          <wp:inline xmlns:a="http://schemas.openxmlformats.org/drawingml/2006/main" xmlns:pic="http://schemas.openxmlformats.org/drawingml/2006/picture">
            <wp:extent cx="5029200" cy="3105021"/>
            <wp:docPr id="48" name="Picture 48"/>
            <wp:cNvGraphicFramePr>
              <a:graphicFrameLocks noChangeAspect="1"/>
            </wp:cNvGraphicFramePr>
            <a:graphic>
              <a:graphicData uri="http://schemas.openxmlformats.org/drawingml/2006/picture">
                <pic:pic>
                  <pic:nvPicPr>
                    <pic:cNvPr id="0" name="phase_evolution.png"/>
                    <pic:cNvPicPr/>
                  </pic:nvPicPr>
                  <pic:blipFill>
                    <a:blip r:embed="rId55"/>
                    <a:stretch>
                      <a:fillRect/>
                    </a:stretch>
                  </pic:blipFill>
                  <pic:spPr>
                    <a:xfrm>
                      <a:off x="0" y="0"/>
                      <a:ext cx="5029200" cy="3105021"/>
                    </a:xfrm>
                    <a:prstGeom prst="rect"/>
                  </pic:spPr>
                </pic:pic>
              </a:graphicData>
            </a:graphic>
          </wp:inline>
        </w:drawing>
      </w:r>
    </w:p>
    <w:p>
      <w:pPr>
        <w:spacing w:after="120"/>
        <w:jc w:val="center"/>
      </w:pPr>
      <w:r>
        <w:rPr>
          <w:i/>
          <w:color w:val="505050"/>
          <w:sz w:val="18"/>
        </w:rPr>
        <w:t>Figure 48. DOE_08 -- (b) Phase evolution.</w:t>
      </w:r>
    </w:p>
    <w:p>
      <w:pPr>
        <w:spacing w:before="80" w:after="20"/>
        <w:jc w:val="center"/>
      </w:pPr>
      <w:r>
        <w:drawing>
          <wp:inline xmlns:a="http://schemas.openxmlformats.org/drawingml/2006/main" xmlns:pic="http://schemas.openxmlformats.org/drawingml/2006/picture">
            <wp:extent cx="5029200" cy="2065362"/>
            <wp:docPr id="49" name="Picture 49"/>
            <wp:cNvGraphicFramePr>
              <a:graphicFrameLocks noChangeAspect="1"/>
            </wp:cNvGraphicFramePr>
            <a:graphic>
              <a:graphicData uri="http://schemas.openxmlformats.org/drawingml/2006/picture">
                <pic:pic>
                  <pic:nvPicPr>
                    <pic:cNvPr id="0" name="permeability_evolution.png"/>
                    <pic:cNvPicPr/>
                  </pic:nvPicPr>
                  <pic:blipFill>
                    <a:blip r:embed="rId56"/>
                    <a:stretch>
                      <a:fillRect/>
                    </a:stretch>
                  </pic:blipFill>
                  <pic:spPr>
                    <a:xfrm>
                      <a:off x="0" y="0"/>
                      <a:ext cx="5029200" cy="2065362"/>
                    </a:xfrm>
                    <a:prstGeom prst="rect"/>
                  </pic:spPr>
                </pic:pic>
              </a:graphicData>
            </a:graphic>
          </wp:inline>
        </w:drawing>
      </w:r>
    </w:p>
    <w:p>
      <w:pPr>
        <w:spacing w:after="120"/>
        <w:jc w:val="center"/>
      </w:pPr>
      <w:r>
        <w:rPr>
          <w:i/>
          <w:color w:val="505050"/>
          <w:sz w:val="18"/>
        </w:rPr>
        <w:t>Figure 49. DOE_08 -- (c) Permeability evolution.</w:t>
      </w:r>
    </w:p>
    <w:p>
      <w:pPr>
        <w:spacing w:before="80" w:after="20"/>
        <w:jc w:val="center"/>
      </w:pPr>
      <w:r>
        <w:drawing>
          <wp:inline xmlns:a="http://schemas.openxmlformats.org/drawingml/2006/main" xmlns:pic="http://schemas.openxmlformats.org/drawingml/2006/picture">
            <wp:extent cx="5029200" cy="3112909"/>
            <wp:docPr id="50" name="Picture 50"/>
            <wp:cNvGraphicFramePr>
              <a:graphicFrameLocks noChangeAspect="1"/>
            </wp:cNvGraphicFramePr>
            <a:graphic>
              <a:graphicData uri="http://schemas.openxmlformats.org/drawingml/2006/picture">
                <pic:pic>
                  <pic:nvPicPr>
                    <pic:cNvPr id="0" name="stress_balance.png"/>
                    <pic:cNvPicPr/>
                  </pic:nvPicPr>
                  <pic:blipFill>
                    <a:blip r:embed="rId57"/>
                    <a:stretch>
                      <a:fillRect/>
                    </a:stretch>
                  </pic:blipFill>
                  <pic:spPr>
                    <a:xfrm>
                      <a:off x="0" y="0"/>
                      <a:ext cx="5029200" cy="3112909"/>
                    </a:xfrm>
                    <a:prstGeom prst="rect"/>
                  </pic:spPr>
                </pic:pic>
              </a:graphicData>
            </a:graphic>
          </wp:inline>
        </w:drawing>
      </w:r>
    </w:p>
    <w:p>
      <w:pPr>
        <w:spacing w:after="120"/>
        <w:jc w:val="center"/>
      </w:pPr>
      <w:r>
        <w:rPr>
          <w:i/>
          <w:color w:val="505050"/>
          <w:sz w:val="18"/>
        </w:rPr>
        <w:t>Figure 50. DOE_08 -- (d) Stress balance.</w:t>
      </w:r>
    </w:p>
    <w:p>
      <w:pPr>
        <w:pStyle w:val="Heading2"/>
      </w:pPr>
      <w:r>
        <w:t>DOE_09 (E = 2.0 kPa, R² = -0.157, Δφ_f = 0.0042)</w:t>
      </w:r>
    </w:p>
    <w:p>
      <w:pPr>
        <w:spacing w:before="80" w:after="20"/>
        <w:jc w:val="center"/>
      </w:pPr>
      <w:r>
        <w:drawing>
          <wp:inline xmlns:a="http://schemas.openxmlformats.org/drawingml/2006/main" xmlns:pic="http://schemas.openxmlformats.org/drawingml/2006/picture">
            <wp:extent cx="5029200" cy="3143250"/>
            <wp:docPr id="51" name="Picture 51"/>
            <wp:cNvGraphicFramePr>
              <a:graphicFrameLocks noChangeAspect="1"/>
            </wp:cNvGraphicFramePr>
            <a:graphic>
              <a:graphicData uri="http://schemas.openxmlformats.org/drawingml/2006/picture">
                <pic:pic>
                  <pic:nvPicPr>
                    <pic:cNvPr id="0" name="compaction_fit.png"/>
                    <pic:cNvPicPr/>
                  </pic:nvPicPr>
                  <pic:blipFill>
                    <a:blip r:embed="rId58"/>
                    <a:stretch>
                      <a:fillRect/>
                    </a:stretch>
                  </pic:blipFill>
                  <pic:spPr>
                    <a:xfrm>
                      <a:off x="0" y="0"/>
                      <a:ext cx="5029200" cy="3143250"/>
                    </a:xfrm>
                    <a:prstGeom prst="rect"/>
                  </pic:spPr>
                </pic:pic>
              </a:graphicData>
            </a:graphic>
          </wp:inline>
        </w:drawing>
      </w:r>
    </w:p>
    <w:p>
      <w:pPr>
        <w:spacing w:after="120"/>
        <w:jc w:val="center"/>
      </w:pPr>
      <w:r>
        <w:rPr>
          <w:i/>
          <w:color w:val="505050"/>
          <w:sz w:val="18"/>
        </w:rPr>
        <w:t>Figure 51. DOE_09 -- (a) Compaction fit.</w:t>
      </w:r>
    </w:p>
    <w:p>
      <w:pPr>
        <w:spacing w:before="80" w:after="20"/>
        <w:jc w:val="center"/>
      </w:pPr>
      <w:r>
        <w:drawing>
          <wp:inline xmlns:a="http://schemas.openxmlformats.org/drawingml/2006/main" xmlns:pic="http://schemas.openxmlformats.org/drawingml/2006/picture">
            <wp:extent cx="5029200" cy="3105021"/>
            <wp:docPr id="52" name="Picture 52"/>
            <wp:cNvGraphicFramePr>
              <a:graphicFrameLocks noChangeAspect="1"/>
            </wp:cNvGraphicFramePr>
            <a:graphic>
              <a:graphicData uri="http://schemas.openxmlformats.org/drawingml/2006/picture">
                <pic:pic>
                  <pic:nvPicPr>
                    <pic:cNvPr id="0" name="phase_evolution.png"/>
                    <pic:cNvPicPr/>
                  </pic:nvPicPr>
                  <pic:blipFill>
                    <a:blip r:embed="rId59"/>
                    <a:stretch>
                      <a:fillRect/>
                    </a:stretch>
                  </pic:blipFill>
                  <pic:spPr>
                    <a:xfrm>
                      <a:off x="0" y="0"/>
                      <a:ext cx="5029200" cy="3105021"/>
                    </a:xfrm>
                    <a:prstGeom prst="rect"/>
                  </pic:spPr>
                </pic:pic>
              </a:graphicData>
            </a:graphic>
          </wp:inline>
        </w:drawing>
      </w:r>
    </w:p>
    <w:p>
      <w:pPr>
        <w:spacing w:after="120"/>
        <w:jc w:val="center"/>
      </w:pPr>
      <w:r>
        <w:rPr>
          <w:i/>
          <w:color w:val="505050"/>
          <w:sz w:val="18"/>
        </w:rPr>
        <w:t>Figure 52. DOE_09 -- (b) Phase evolution.</w:t>
      </w:r>
    </w:p>
    <w:p>
      <w:pPr>
        <w:spacing w:before="80" w:after="20"/>
        <w:jc w:val="center"/>
      </w:pPr>
      <w:r>
        <w:drawing>
          <wp:inline xmlns:a="http://schemas.openxmlformats.org/drawingml/2006/main" xmlns:pic="http://schemas.openxmlformats.org/drawingml/2006/picture">
            <wp:extent cx="5029200" cy="2064203"/>
            <wp:docPr id="53" name="Picture 53"/>
            <wp:cNvGraphicFramePr>
              <a:graphicFrameLocks noChangeAspect="1"/>
            </wp:cNvGraphicFramePr>
            <a:graphic>
              <a:graphicData uri="http://schemas.openxmlformats.org/drawingml/2006/picture">
                <pic:pic>
                  <pic:nvPicPr>
                    <pic:cNvPr id="0" name="permeability_evolution.png"/>
                    <pic:cNvPicPr/>
                  </pic:nvPicPr>
                  <pic:blipFill>
                    <a:blip r:embed="rId60"/>
                    <a:stretch>
                      <a:fillRect/>
                    </a:stretch>
                  </pic:blipFill>
                  <pic:spPr>
                    <a:xfrm>
                      <a:off x="0" y="0"/>
                      <a:ext cx="5029200" cy="2064203"/>
                    </a:xfrm>
                    <a:prstGeom prst="rect"/>
                  </pic:spPr>
                </pic:pic>
              </a:graphicData>
            </a:graphic>
          </wp:inline>
        </w:drawing>
      </w:r>
    </w:p>
    <w:p>
      <w:pPr>
        <w:spacing w:after="120"/>
        <w:jc w:val="center"/>
      </w:pPr>
      <w:r>
        <w:rPr>
          <w:i/>
          <w:color w:val="505050"/>
          <w:sz w:val="18"/>
        </w:rPr>
        <w:t>Figure 53. DOE_09 -- (c) Permeability evolution.</w:t>
      </w:r>
    </w:p>
    <w:p>
      <w:pPr>
        <w:spacing w:before="80" w:after="20"/>
        <w:jc w:val="center"/>
      </w:pPr>
      <w:r>
        <w:drawing>
          <wp:inline xmlns:a="http://schemas.openxmlformats.org/drawingml/2006/main" xmlns:pic="http://schemas.openxmlformats.org/drawingml/2006/picture">
            <wp:extent cx="5029200" cy="3112909"/>
            <wp:docPr id="54" name="Picture 54"/>
            <wp:cNvGraphicFramePr>
              <a:graphicFrameLocks noChangeAspect="1"/>
            </wp:cNvGraphicFramePr>
            <a:graphic>
              <a:graphicData uri="http://schemas.openxmlformats.org/drawingml/2006/picture">
                <pic:pic>
                  <pic:nvPicPr>
                    <pic:cNvPr id="0" name="stress_balance.png"/>
                    <pic:cNvPicPr/>
                  </pic:nvPicPr>
                  <pic:blipFill>
                    <a:blip r:embed="rId61"/>
                    <a:stretch>
                      <a:fillRect/>
                    </a:stretch>
                  </pic:blipFill>
                  <pic:spPr>
                    <a:xfrm>
                      <a:off x="0" y="0"/>
                      <a:ext cx="5029200" cy="3112909"/>
                    </a:xfrm>
                    <a:prstGeom prst="rect"/>
                  </pic:spPr>
                </pic:pic>
              </a:graphicData>
            </a:graphic>
          </wp:inline>
        </w:drawing>
      </w:r>
    </w:p>
    <w:p>
      <w:pPr>
        <w:spacing w:after="120"/>
        <w:jc w:val="center"/>
      </w:pPr>
      <w:r>
        <w:rPr>
          <w:i/>
          <w:color w:val="505050"/>
          <w:sz w:val="18"/>
        </w:rPr>
        <w:t>Figure 54. DOE_09 -- (d) Stress balance.</w:t>
      </w:r>
    </w:p>
    <w:p>
      <w:pPr>
        <w:pStyle w:val="Heading2"/>
      </w:pPr>
      <w:r>
        <w:t>DOE_10 (E = 50.0 kPa, R² = 0.630, Δφ_f = -0.0400)</w:t>
      </w:r>
    </w:p>
    <w:p>
      <w:pPr>
        <w:spacing w:before="80" w:after="20"/>
        <w:jc w:val="center"/>
      </w:pPr>
      <w:r>
        <w:drawing>
          <wp:inline xmlns:a="http://schemas.openxmlformats.org/drawingml/2006/main" xmlns:pic="http://schemas.openxmlformats.org/drawingml/2006/picture">
            <wp:extent cx="5029200" cy="3106020"/>
            <wp:docPr id="55" name="Picture 55"/>
            <wp:cNvGraphicFramePr>
              <a:graphicFrameLocks noChangeAspect="1"/>
            </wp:cNvGraphicFramePr>
            <a:graphic>
              <a:graphicData uri="http://schemas.openxmlformats.org/drawingml/2006/picture">
                <pic:pic>
                  <pic:nvPicPr>
                    <pic:cNvPr id="0" name="compaction_fit.png"/>
                    <pic:cNvPicPr/>
                  </pic:nvPicPr>
                  <pic:blipFill>
                    <a:blip r:embed="rId9"/>
                    <a:stretch>
                      <a:fillRect/>
                    </a:stretch>
                  </pic:blipFill>
                  <pic:spPr>
                    <a:xfrm>
                      <a:off x="0" y="0"/>
                      <a:ext cx="5029200" cy="3106020"/>
                    </a:xfrm>
                    <a:prstGeom prst="rect"/>
                  </pic:spPr>
                </pic:pic>
              </a:graphicData>
            </a:graphic>
          </wp:inline>
        </w:drawing>
      </w:r>
    </w:p>
    <w:p>
      <w:pPr>
        <w:spacing w:after="120"/>
        <w:jc w:val="center"/>
      </w:pPr>
      <w:r>
        <w:rPr>
          <w:i/>
          <w:color w:val="505050"/>
          <w:sz w:val="18"/>
        </w:rPr>
        <w:t>Figure 55. DOE_10 -- (a) Compaction fit.</w:t>
      </w:r>
    </w:p>
    <w:p>
      <w:pPr>
        <w:spacing w:before="80" w:after="20"/>
        <w:jc w:val="center"/>
      </w:pPr>
      <w:r>
        <w:drawing>
          <wp:inline xmlns:a="http://schemas.openxmlformats.org/drawingml/2006/main" xmlns:pic="http://schemas.openxmlformats.org/drawingml/2006/picture">
            <wp:extent cx="5029200" cy="3105021"/>
            <wp:docPr id="56" name="Picture 56"/>
            <wp:cNvGraphicFramePr>
              <a:graphicFrameLocks noChangeAspect="1"/>
            </wp:cNvGraphicFramePr>
            <a:graphic>
              <a:graphicData uri="http://schemas.openxmlformats.org/drawingml/2006/picture">
                <pic:pic>
                  <pic:nvPicPr>
                    <pic:cNvPr id="0" name="phase_evolution.png"/>
                    <pic:cNvPicPr/>
                  </pic:nvPicPr>
                  <pic:blipFill>
                    <a:blip r:embed="rId16"/>
                    <a:stretch>
                      <a:fillRect/>
                    </a:stretch>
                  </pic:blipFill>
                  <pic:spPr>
                    <a:xfrm>
                      <a:off x="0" y="0"/>
                      <a:ext cx="5029200" cy="3105021"/>
                    </a:xfrm>
                    <a:prstGeom prst="rect"/>
                  </pic:spPr>
                </pic:pic>
              </a:graphicData>
            </a:graphic>
          </wp:inline>
        </w:drawing>
      </w:r>
    </w:p>
    <w:p>
      <w:pPr>
        <w:spacing w:after="120"/>
        <w:jc w:val="center"/>
      </w:pPr>
      <w:r>
        <w:rPr>
          <w:i/>
          <w:color w:val="505050"/>
          <w:sz w:val="18"/>
        </w:rPr>
        <w:t>Figure 56. DOE_10 -- (b) Phase evolution.</w:t>
      </w:r>
    </w:p>
    <w:p>
      <w:pPr>
        <w:spacing w:before="80" w:after="20"/>
        <w:jc w:val="center"/>
      </w:pPr>
      <w:r>
        <w:drawing>
          <wp:inline xmlns:a="http://schemas.openxmlformats.org/drawingml/2006/main" xmlns:pic="http://schemas.openxmlformats.org/drawingml/2006/picture">
            <wp:extent cx="5029200" cy="2064203"/>
            <wp:docPr id="57" name="Picture 57"/>
            <wp:cNvGraphicFramePr>
              <a:graphicFrameLocks noChangeAspect="1"/>
            </wp:cNvGraphicFramePr>
            <a:graphic>
              <a:graphicData uri="http://schemas.openxmlformats.org/drawingml/2006/picture">
                <pic:pic>
                  <pic:nvPicPr>
                    <pic:cNvPr id="0" name="permeability_evolution.png"/>
                    <pic:cNvPicPr/>
                  </pic:nvPicPr>
                  <pic:blipFill>
                    <a:blip r:embed="rId15"/>
                    <a:stretch>
                      <a:fillRect/>
                    </a:stretch>
                  </pic:blipFill>
                  <pic:spPr>
                    <a:xfrm>
                      <a:off x="0" y="0"/>
                      <a:ext cx="5029200" cy="2064203"/>
                    </a:xfrm>
                    <a:prstGeom prst="rect"/>
                  </pic:spPr>
                </pic:pic>
              </a:graphicData>
            </a:graphic>
          </wp:inline>
        </w:drawing>
      </w:r>
    </w:p>
    <w:p>
      <w:pPr>
        <w:spacing w:after="120"/>
        <w:jc w:val="center"/>
      </w:pPr>
      <w:r>
        <w:rPr>
          <w:i/>
          <w:color w:val="505050"/>
          <w:sz w:val="18"/>
        </w:rPr>
        <w:t>Figure 57. DOE_10 -- (c) Permeability evolution.</w:t>
      </w:r>
    </w:p>
    <w:p>
      <w:pPr>
        <w:spacing w:before="80" w:after="20"/>
        <w:jc w:val="center"/>
      </w:pPr>
      <w:r>
        <w:drawing>
          <wp:inline xmlns:a="http://schemas.openxmlformats.org/drawingml/2006/main" xmlns:pic="http://schemas.openxmlformats.org/drawingml/2006/picture">
            <wp:extent cx="5029200" cy="3110275"/>
            <wp:docPr id="58" name="Picture 58"/>
            <wp:cNvGraphicFramePr>
              <a:graphicFrameLocks noChangeAspect="1"/>
            </wp:cNvGraphicFramePr>
            <a:graphic>
              <a:graphicData uri="http://schemas.openxmlformats.org/drawingml/2006/picture">
                <pic:pic>
                  <pic:nvPicPr>
                    <pic:cNvPr id="0" name="stress_balance.png"/>
                    <pic:cNvPicPr/>
                  </pic:nvPicPr>
                  <pic:blipFill>
                    <a:blip r:embed="rId14"/>
                    <a:stretch>
                      <a:fillRect/>
                    </a:stretch>
                  </pic:blipFill>
                  <pic:spPr>
                    <a:xfrm>
                      <a:off x="0" y="0"/>
                      <a:ext cx="5029200" cy="3110275"/>
                    </a:xfrm>
                    <a:prstGeom prst="rect"/>
                  </pic:spPr>
                </pic:pic>
              </a:graphicData>
            </a:graphic>
          </wp:inline>
        </w:drawing>
      </w:r>
    </w:p>
    <w:p>
      <w:pPr>
        <w:spacing w:after="120"/>
        <w:jc w:val="center"/>
      </w:pPr>
      <w:r>
        <w:rPr>
          <w:i/>
          <w:color w:val="505050"/>
          <w:sz w:val="18"/>
        </w:rPr>
        <w:t>Figure 58. DOE_10 -- (d) Stress balance.</w:t>
      </w:r>
    </w:p>
    <w:p>
      <w:pPr>
        <w:pStyle w:val="Heading2"/>
      </w:pPr>
      <w:r>
        <w:t>DOE_11 (E = 2.0 kPa, R² = -0.029, Δφ_f = 0.0027)</w:t>
      </w:r>
    </w:p>
    <w:p>
      <w:pPr>
        <w:spacing w:before="80" w:after="20"/>
        <w:jc w:val="center"/>
      </w:pPr>
      <w:r>
        <w:drawing>
          <wp:inline xmlns:a="http://schemas.openxmlformats.org/drawingml/2006/main" xmlns:pic="http://schemas.openxmlformats.org/drawingml/2006/picture">
            <wp:extent cx="5029200" cy="3143250"/>
            <wp:docPr id="59" name="Picture 59"/>
            <wp:cNvGraphicFramePr>
              <a:graphicFrameLocks noChangeAspect="1"/>
            </wp:cNvGraphicFramePr>
            <a:graphic>
              <a:graphicData uri="http://schemas.openxmlformats.org/drawingml/2006/picture">
                <pic:pic>
                  <pic:nvPicPr>
                    <pic:cNvPr id="0" name="compaction_fit.png"/>
                    <pic:cNvPicPr/>
                  </pic:nvPicPr>
                  <pic:blipFill>
                    <a:blip r:embed="rId62"/>
                    <a:stretch>
                      <a:fillRect/>
                    </a:stretch>
                  </pic:blipFill>
                  <pic:spPr>
                    <a:xfrm>
                      <a:off x="0" y="0"/>
                      <a:ext cx="5029200" cy="3143250"/>
                    </a:xfrm>
                    <a:prstGeom prst="rect"/>
                  </pic:spPr>
                </pic:pic>
              </a:graphicData>
            </a:graphic>
          </wp:inline>
        </w:drawing>
      </w:r>
    </w:p>
    <w:p>
      <w:pPr>
        <w:spacing w:after="120"/>
        <w:jc w:val="center"/>
      </w:pPr>
      <w:r>
        <w:rPr>
          <w:i/>
          <w:color w:val="505050"/>
          <w:sz w:val="18"/>
        </w:rPr>
        <w:t>Figure 59. DOE_11 -- (a) Compaction fit.</w:t>
      </w:r>
    </w:p>
    <w:p>
      <w:pPr>
        <w:spacing w:before="80" w:after="20"/>
        <w:jc w:val="center"/>
      </w:pPr>
      <w:r>
        <w:drawing>
          <wp:inline xmlns:a="http://schemas.openxmlformats.org/drawingml/2006/main" xmlns:pic="http://schemas.openxmlformats.org/drawingml/2006/picture">
            <wp:extent cx="5029200" cy="3105021"/>
            <wp:docPr id="60" name="Picture 60"/>
            <wp:cNvGraphicFramePr>
              <a:graphicFrameLocks noChangeAspect="1"/>
            </wp:cNvGraphicFramePr>
            <a:graphic>
              <a:graphicData uri="http://schemas.openxmlformats.org/drawingml/2006/picture">
                <pic:pic>
                  <pic:nvPicPr>
                    <pic:cNvPr id="0" name="phase_evolution.png"/>
                    <pic:cNvPicPr/>
                  </pic:nvPicPr>
                  <pic:blipFill>
                    <a:blip r:embed="rId63"/>
                    <a:stretch>
                      <a:fillRect/>
                    </a:stretch>
                  </pic:blipFill>
                  <pic:spPr>
                    <a:xfrm>
                      <a:off x="0" y="0"/>
                      <a:ext cx="5029200" cy="3105021"/>
                    </a:xfrm>
                    <a:prstGeom prst="rect"/>
                  </pic:spPr>
                </pic:pic>
              </a:graphicData>
            </a:graphic>
          </wp:inline>
        </w:drawing>
      </w:r>
    </w:p>
    <w:p>
      <w:pPr>
        <w:spacing w:after="120"/>
        <w:jc w:val="center"/>
      </w:pPr>
      <w:r>
        <w:rPr>
          <w:i/>
          <w:color w:val="505050"/>
          <w:sz w:val="18"/>
        </w:rPr>
        <w:t>Figure 60. DOE_11 -- (b) Phase evolution.</w:t>
      </w:r>
    </w:p>
    <w:p>
      <w:pPr>
        <w:spacing w:before="80" w:after="20"/>
        <w:jc w:val="center"/>
      </w:pPr>
      <w:r>
        <w:drawing>
          <wp:inline xmlns:a="http://schemas.openxmlformats.org/drawingml/2006/main" xmlns:pic="http://schemas.openxmlformats.org/drawingml/2006/picture">
            <wp:extent cx="5029200" cy="2064203"/>
            <wp:docPr id="61" name="Picture 61"/>
            <wp:cNvGraphicFramePr>
              <a:graphicFrameLocks noChangeAspect="1"/>
            </wp:cNvGraphicFramePr>
            <a:graphic>
              <a:graphicData uri="http://schemas.openxmlformats.org/drawingml/2006/picture">
                <pic:pic>
                  <pic:nvPicPr>
                    <pic:cNvPr id="0" name="permeability_evolution.png"/>
                    <pic:cNvPicPr/>
                  </pic:nvPicPr>
                  <pic:blipFill>
                    <a:blip r:embed="rId64"/>
                    <a:stretch>
                      <a:fillRect/>
                    </a:stretch>
                  </pic:blipFill>
                  <pic:spPr>
                    <a:xfrm>
                      <a:off x="0" y="0"/>
                      <a:ext cx="5029200" cy="2064203"/>
                    </a:xfrm>
                    <a:prstGeom prst="rect"/>
                  </pic:spPr>
                </pic:pic>
              </a:graphicData>
            </a:graphic>
          </wp:inline>
        </w:drawing>
      </w:r>
    </w:p>
    <w:p>
      <w:pPr>
        <w:spacing w:after="120"/>
        <w:jc w:val="center"/>
      </w:pPr>
      <w:r>
        <w:rPr>
          <w:i/>
          <w:color w:val="505050"/>
          <w:sz w:val="18"/>
        </w:rPr>
        <w:t>Figure 61. DOE_11 -- (c) Permeability evolution.</w:t>
      </w:r>
    </w:p>
    <w:p>
      <w:pPr>
        <w:spacing w:before="80" w:after="20"/>
        <w:jc w:val="center"/>
      </w:pPr>
      <w:r>
        <w:drawing>
          <wp:inline xmlns:a="http://schemas.openxmlformats.org/drawingml/2006/main" xmlns:pic="http://schemas.openxmlformats.org/drawingml/2006/picture">
            <wp:extent cx="5029200" cy="3112909"/>
            <wp:docPr id="62" name="Picture 62"/>
            <wp:cNvGraphicFramePr>
              <a:graphicFrameLocks noChangeAspect="1"/>
            </wp:cNvGraphicFramePr>
            <a:graphic>
              <a:graphicData uri="http://schemas.openxmlformats.org/drawingml/2006/picture">
                <pic:pic>
                  <pic:nvPicPr>
                    <pic:cNvPr id="0" name="stress_balance.png"/>
                    <pic:cNvPicPr/>
                  </pic:nvPicPr>
                  <pic:blipFill>
                    <a:blip r:embed="rId65"/>
                    <a:stretch>
                      <a:fillRect/>
                    </a:stretch>
                  </pic:blipFill>
                  <pic:spPr>
                    <a:xfrm>
                      <a:off x="0" y="0"/>
                      <a:ext cx="5029200" cy="3112909"/>
                    </a:xfrm>
                    <a:prstGeom prst="rect"/>
                  </pic:spPr>
                </pic:pic>
              </a:graphicData>
            </a:graphic>
          </wp:inline>
        </w:drawing>
      </w:r>
    </w:p>
    <w:p>
      <w:pPr>
        <w:spacing w:after="120"/>
        <w:jc w:val="center"/>
      </w:pPr>
      <w:r>
        <w:rPr>
          <w:i/>
          <w:color w:val="505050"/>
          <w:sz w:val="18"/>
        </w:rPr>
        <w:t>Figure 62. DOE_11 -- (d) Stress balance.</w:t>
      </w:r>
    </w:p>
    <w:p>
      <w:pPr>
        <w:pStyle w:val="Heading2"/>
      </w:pPr>
      <w:r>
        <w:t>DOE_12 (E = 50.0 kPa, R² = 0.122, Δφ_f = -0.0353)</w:t>
      </w:r>
    </w:p>
    <w:p>
      <w:pPr>
        <w:spacing w:before="80" w:after="20"/>
        <w:jc w:val="center"/>
      </w:pPr>
      <w:r>
        <w:drawing>
          <wp:inline xmlns:a="http://schemas.openxmlformats.org/drawingml/2006/main" xmlns:pic="http://schemas.openxmlformats.org/drawingml/2006/picture">
            <wp:extent cx="5029200" cy="3143250"/>
            <wp:docPr id="63" name="Picture 63"/>
            <wp:cNvGraphicFramePr>
              <a:graphicFrameLocks noChangeAspect="1"/>
            </wp:cNvGraphicFramePr>
            <a:graphic>
              <a:graphicData uri="http://schemas.openxmlformats.org/drawingml/2006/picture">
                <pic:pic>
                  <pic:nvPicPr>
                    <pic:cNvPr id="0" name="compaction_fit.png"/>
                    <pic:cNvPicPr/>
                  </pic:nvPicPr>
                  <pic:blipFill>
                    <a:blip r:embed="rId12"/>
                    <a:stretch>
                      <a:fillRect/>
                    </a:stretch>
                  </pic:blipFill>
                  <pic:spPr>
                    <a:xfrm>
                      <a:off x="0" y="0"/>
                      <a:ext cx="5029200" cy="3143250"/>
                    </a:xfrm>
                    <a:prstGeom prst="rect"/>
                  </pic:spPr>
                </pic:pic>
              </a:graphicData>
            </a:graphic>
          </wp:inline>
        </w:drawing>
      </w:r>
    </w:p>
    <w:p>
      <w:pPr>
        <w:spacing w:after="120"/>
        <w:jc w:val="center"/>
      </w:pPr>
      <w:r>
        <w:rPr>
          <w:i/>
          <w:color w:val="505050"/>
          <w:sz w:val="18"/>
        </w:rPr>
        <w:t>Figure 63. DOE_12 -- (a) Compaction fit.</w:t>
      </w:r>
    </w:p>
    <w:p>
      <w:pPr>
        <w:spacing w:before="80" w:after="20"/>
        <w:jc w:val="center"/>
      </w:pPr>
      <w:r>
        <w:drawing>
          <wp:inline xmlns:a="http://schemas.openxmlformats.org/drawingml/2006/main" xmlns:pic="http://schemas.openxmlformats.org/drawingml/2006/picture">
            <wp:extent cx="5029200" cy="3105021"/>
            <wp:docPr id="64" name="Picture 64"/>
            <wp:cNvGraphicFramePr>
              <a:graphicFrameLocks noChangeAspect="1"/>
            </wp:cNvGraphicFramePr>
            <a:graphic>
              <a:graphicData uri="http://schemas.openxmlformats.org/drawingml/2006/picture">
                <pic:pic>
                  <pic:nvPicPr>
                    <pic:cNvPr id="0" name="phase_evolution.png"/>
                    <pic:cNvPicPr/>
                  </pic:nvPicPr>
                  <pic:blipFill>
                    <a:blip r:embed="rId66"/>
                    <a:stretch>
                      <a:fillRect/>
                    </a:stretch>
                  </pic:blipFill>
                  <pic:spPr>
                    <a:xfrm>
                      <a:off x="0" y="0"/>
                      <a:ext cx="5029200" cy="3105021"/>
                    </a:xfrm>
                    <a:prstGeom prst="rect"/>
                  </pic:spPr>
                </pic:pic>
              </a:graphicData>
            </a:graphic>
          </wp:inline>
        </w:drawing>
      </w:r>
    </w:p>
    <w:p>
      <w:pPr>
        <w:spacing w:after="120"/>
        <w:jc w:val="center"/>
      </w:pPr>
      <w:r>
        <w:rPr>
          <w:i/>
          <w:color w:val="505050"/>
          <w:sz w:val="18"/>
        </w:rPr>
        <w:t>Figure 64. DOE_12 -- (b) Phase evolution.</w:t>
      </w:r>
    </w:p>
    <w:p>
      <w:pPr>
        <w:spacing w:before="80" w:after="20"/>
        <w:jc w:val="center"/>
      </w:pPr>
      <w:r>
        <w:drawing>
          <wp:inline xmlns:a="http://schemas.openxmlformats.org/drawingml/2006/main" xmlns:pic="http://schemas.openxmlformats.org/drawingml/2006/picture">
            <wp:extent cx="5029200" cy="2064203"/>
            <wp:docPr id="65" name="Picture 65"/>
            <wp:cNvGraphicFramePr>
              <a:graphicFrameLocks noChangeAspect="1"/>
            </wp:cNvGraphicFramePr>
            <a:graphic>
              <a:graphicData uri="http://schemas.openxmlformats.org/drawingml/2006/picture">
                <pic:pic>
                  <pic:nvPicPr>
                    <pic:cNvPr id="0" name="permeability_evolution.png"/>
                    <pic:cNvPicPr/>
                  </pic:nvPicPr>
                  <pic:blipFill>
                    <a:blip r:embed="rId67"/>
                    <a:stretch>
                      <a:fillRect/>
                    </a:stretch>
                  </pic:blipFill>
                  <pic:spPr>
                    <a:xfrm>
                      <a:off x="0" y="0"/>
                      <a:ext cx="5029200" cy="2064203"/>
                    </a:xfrm>
                    <a:prstGeom prst="rect"/>
                  </pic:spPr>
                </pic:pic>
              </a:graphicData>
            </a:graphic>
          </wp:inline>
        </w:drawing>
      </w:r>
    </w:p>
    <w:p>
      <w:pPr>
        <w:spacing w:after="120"/>
        <w:jc w:val="center"/>
      </w:pPr>
      <w:r>
        <w:rPr>
          <w:i/>
          <w:color w:val="505050"/>
          <w:sz w:val="18"/>
        </w:rPr>
        <w:t>Figure 65. DOE_12 -- (c) Permeability evolution.</w:t>
      </w:r>
    </w:p>
    <w:p>
      <w:pPr>
        <w:spacing w:before="80" w:after="20"/>
        <w:jc w:val="center"/>
      </w:pPr>
      <w:r>
        <w:drawing>
          <wp:inline xmlns:a="http://schemas.openxmlformats.org/drawingml/2006/main" xmlns:pic="http://schemas.openxmlformats.org/drawingml/2006/picture">
            <wp:extent cx="5029200" cy="3110275"/>
            <wp:docPr id="66" name="Picture 66"/>
            <wp:cNvGraphicFramePr>
              <a:graphicFrameLocks noChangeAspect="1"/>
            </wp:cNvGraphicFramePr>
            <a:graphic>
              <a:graphicData uri="http://schemas.openxmlformats.org/drawingml/2006/picture">
                <pic:pic>
                  <pic:nvPicPr>
                    <pic:cNvPr id="0" name="stress_balance.png"/>
                    <pic:cNvPicPr/>
                  </pic:nvPicPr>
                  <pic:blipFill>
                    <a:blip r:embed="rId68"/>
                    <a:stretch>
                      <a:fillRect/>
                    </a:stretch>
                  </pic:blipFill>
                  <pic:spPr>
                    <a:xfrm>
                      <a:off x="0" y="0"/>
                      <a:ext cx="5029200" cy="3110275"/>
                    </a:xfrm>
                    <a:prstGeom prst="rect"/>
                  </pic:spPr>
                </pic:pic>
              </a:graphicData>
            </a:graphic>
          </wp:inline>
        </w:drawing>
      </w:r>
    </w:p>
    <w:p>
      <w:pPr>
        <w:spacing w:after="120"/>
        <w:jc w:val="center"/>
      </w:pPr>
      <w:r>
        <w:rPr>
          <w:i/>
          <w:color w:val="505050"/>
          <w:sz w:val="18"/>
        </w:rPr>
        <w:t>Figure 66. DOE_12 -- (d) Stress balance.</w:t>
      </w:r>
    </w:p>
    <w:p>
      <w:pPr>
        <w:pStyle w:val="Heading2"/>
      </w:pPr>
      <w:r>
        <w:t>DOE_13 (E = 2.0 kPa, R² = -0.691, Δφ_f = 0.0228)</w:t>
      </w:r>
    </w:p>
    <w:p>
      <w:pPr>
        <w:spacing w:before="80" w:after="20"/>
        <w:jc w:val="center"/>
      </w:pPr>
      <w:r>
        <w:drawing>
          <wp:inline xmlns:a="http://schemas.openxmlformats.org/drawingml/2006/main" xmlns:pic="http://schemas.openxmlformats.org/drawingml/2006/picture">
            <wp:extent cx="5029200" cy="3140561"/>
            <wp:docPr id="67" name="Picture 67"/>
            <wp:cNvGraphicFramePr>
              <a:graphicFrameLocks noChangeAspect="1"/>
            </wp:cNvGraphicFramePr>
            <a:graphic>
              <a:graphicData uri="http://schemas.openxmlformats.org/drawingml/2006/picture">
                <pic:pic>
                  <pic:nvPicPr>
                    <pic:cNvPr id="0" name="compaction_fit.png"/>
                    <pic:cNvPicPr/>
                  </pic:nvPicPr>
                  <pic:blipFill>
                    <a:blip r:embed="rId69"/>
                    <a:stretch>
                      <a:fillRect/>
                    </a:stretch>
                  </pic:blipFill>
                  <pic:spPr>
                    <a:xfrm>
                      <a:off x="0" y="0"/>
                      <a:ext cx="5029200" cy="3140561"/>
                    </a:xfrm>
                    <a:prstGeom prst="rect"/>
                  </pic:spPr>
                </pic:pic>
              </a:graphicData>
            </a:graphic>
          </wp:inline>
        </w:drawing>
      </w:r>
    </w:p>
    <w:p>
      <w:pPr>
        <w:spacing w:after="120"/>
        <w:jc w:val="center"/>
      </w:pPr>
      <w:r>
        <w:rPr>
          <w:i/>
          <w:color w:val="505050"/>
          <w:sz w:val="18"/>
        </w:rPr>
        <w:t>Figure 67. DOE_13 -- (a) Compaction fit.</w:t>
      </w:r>
    </w:p>
    <w:p>
      <w:pPr>
        <w:spacing w:before="80" w:after="20"/>
        <w:jc w:val="center"/>
      </w:pPr>
      <w:r>
        <w:drawing>
          <wp:inline xmlns:a="http://schemas.openxmlformats.org/drawingml/2006/main" xmlns:pic="http://schemas.openxmlformats.org/drawingml/2006/picture">
            <wp:extent cx="5029200" cy="3105021"/>
            <wp:docPr id="68" name="Picture 68"/>
            <wp:cNvGraphicFramePr>
              <a:graphicFrameLocks noChangeAspect="1"/>
            </wp:cNvGraphicFramePr>
            <a:graphic>
              <a:graphicData uri="http://schemas.openxmlformats.org/drawingml/2006/picture">
                <pic:pic>
                  <pic:nvPicPr>
                    <pic:cNvPr id="0" name="phase_evolution.png"/>
                    <pic:cNvPicPr/>
                  </pic:nvPicPr>
                  <pic:blipFill>
                    <a:blip r:embed="rId70"/>
                    <a:stretch>
                      <a:fillRect/>
                    </a:stretch>
                  </pic:blipFill>
                  <pic:spPr>
                    <a:xfrm>
                      <a:off x="0" y="0"/>
                      <a:ext cx="5029200" cy="3105021"/>
                    </a:xfrm>
                    <a:prstGeom prst="rect"/>
                  </pic:spPr>
                </pic:pic>
              </a:graphicData>
            </a:graphic>
          </wp:inline>
        </w:drawing>
      </w:r>
    </w:p>
    <w:p>
      <w:pPr>
        <w:spacing w:after="120"/>
        <w:jc w:val="center"/>
      </w:pPr>
      <w:r>
        <w:rPr>
          <w:i/>
          <w:color w:val="505050"/>
          <w:sz w:val="18"/>
        </w:rPr>
        <w:t>Figure 68. DOE_13 -- (b) Phase evolution.</w:t>
      </w:r>
    </w:p>
    <w:p>
      <w:pPr>
        <w:spacing w:before="80" w:after="20"/>
        <w:jc w:val="center"/>
      </w:pPr>
      <w:r>
        <w:drawing>
          <wp:inline xmlns:a="http://schemas.openxmlformats.org/drawingml/2006/main" xmlns:pic="http://schemas.openxmlformats.org/drawingml/2006/picture">
            <wp:extent cx="5029200" cy="2064203"/>
            <wp:docPr id="69" name="Picture 69"/>
            <wp:cNvGraphicFramePr>
              <a:graphicFrameLocks noChangeAspect="1"/>
            </wp:cNvGraphicFramePr>
            <a:graphic>
              <a:graphicData uri="http://schemas.openxmlformats.org/drawingml/2006/picture">
                <pic:pic>
                  <pic:nvPicPr>
                    <pic:cNvPr id="0" name="permeability_evolution.png"/>
                    <pic:cNvPicPr/>
                  </pic:nvPicPr>
                  <pic:blipFill>
                    <a:blip r:embed="rId71"/>
                    <a:stretch>
                      <a:fillRect/>
                    </a:stretch>
                  </pic:blipFill>
                  <pic:spPr>
                    <a:xfrm>
                      <a:off x="0" y="0"/>
                      <a:ext cx="5029200" cy="2064203"/>
                    </a:xfrm>
                    <a:prstGeom prst="rect"/>
                  </pic:spPr>
                </pic:pic>
              </a:graphicData>
            </a:graphic>
          </wp:inline>
        </w:drawing>
      </w:r>
    </w:p>
    <w:p>
      <w:pPr>
        <w:spacing w:after="120"/>
        <w:jc w:val="center"/>
      </w:pPr>
      <w:r>
        <w:rPr>
          <w:i/>
          <w:color w:val="505050"/>
          <w:sz w:val="18"/>
        </w:rPr>
        <w:t>Figure 69. DOE_13 -- (c) Permeability evolution.</w:t>
      </w:r>
    </w:p>
    <w:p>
      <w:pPr>
        <w:spacing w:before="80" w:after="20"/>
        <w:jc w:val="center"/>
      </w:pPr>
      <w:r>
        <w:drawing>
          <wp:inline xmlns:a="http://schemas.openxmlformats.org/drawingml/2006/main" xmlns:pic="http://schemas.openxmlformats.org/drawingml/2006/picture">
            <wp:extent cx="5029200" cy="3110275"/>
            <wp:docPr id="70" name="Picture 70"/>
            <wp:cNvGraphicFramePr>
              <a:graphicFrameLocks noChangeAspect="1"/>
            </wp:cNvGraphicFramePr>
            <a:graphic>
              <a:graphicData uri="http://schemas.openxmlformats.org/drawingml/2006/picture">
                <pic:pic>
                  <pic:nvPicPr>
                    <pic:cNvPr id="0" name="stress_balance.png"/>
                    <pic:cNvPicPr/>
                  </pic:nvPicPr>
                  <pic:blipFill>
                    <a:blip r:embed="rId72"/>
                    <a:stretch>
                      <a:fillRect/>
                    </a:stretch>
                  </pic:blipFill>
                  <pic:spPr>
                    <a:xfrm>
                      <a:off x="0" y="0"/>
                      <a:ext cx="5029200" cy="3110275"/>
                    </a:xfrm>
                    <a:prstGeom prst="rect"/>
                  </pic:spPr>
                </pic:pic>
              </a:graphicData>
            </a:graphic>
          </wp:inline>
        </w:drawing>
      </w:r>
    </w:p>
    <w:p>
      <w:pPr>
        <w:spacing w:after="120"/>
        <w:jc w:val="center"/>
      </w:pPr>
      <w:r>
        <w:rPr>
          <w:i/>
          <w:color w:val="505050"/>
          <w:sz w:val="18"/>
        </w:rPr>
        <w:t>Figure 70. DOE_13 -- (d) Stress balance.</w:t>
      </w:r>
    </w:p>
    <w:p>
      <w:pPr>
        <w:pStyle w:val="Heading2"/>
      </w:pPr>
      <w:r>
        <w:t>DOE_14 (E = 50.0 kPa, R² = -1.528, Δφ_f = -0.0378)</w:t>
      </w:r>
    </w:p>
    <w:p>
      <w:pPr>
        <w:spacing w:before="80" w:after="20"/>
        <w:jc w:val="center"/>
      </w:pPr>
      <w:r>
        <w:drawing>
          <wp:inline xmlns:a="http://schemas.openxmlformats.org/drawingml/2006/main" xmlns:pic="http://schemas.openxmlformats.org/drawingml/2006/picture">
            <wp:extent cx="5029200" cy="3106020"/>
            <wp:docPr id="71" name="Picture 71"/>
            <wp:cNvGraphicFramePr>
              <a:graphicFrameLocks noChangeAspect="1"/>
            </wp:cNvGraphicFramePr>
            <a:graphic>
              <a:graphicData uri="http://schemas.openxmlformats.org/drawingml/2006/picture">
                <pic:pic>
                  <pic:nvPicPr>
                    <pic:cNvPr id="0" name="compaction_fit.png"/>
                    <pic:cNvPicPr/>
                  </pic:nvPicPr>
                  <pic:blipFill>
                    <a:blip r:embed="rId73"/>
                    <a:stretch>
                      <a:fillRect/>
                    </a:stretch>
                  </pic:blipFill>
                  <pic:spPr>
                    <a:xfrm>
                      <a:off x="0" y="0"/>
                      <a:ext cx="5029200" cy="3106020"/>
                    </a:xfrm>
                    <a:prstGeom prst="rect"/>
                  </pic:spPr>
                </pic:pic>
              </a:graphicData>
            </a:graphic>
          </wp:inline>
        </w:drawing>
      </w:r>
    </w:p>
    <w:p>
      <w:pPr>
        <w:spacing w:after="120"/>
        <w:jc w:val="center"/>
      </w:pPr>
      <w:r>
        <w:rPr>
          <w:i/>
          <w:color w:val="505050"/>
          <w:sz w:val="18"/>
        </w:rPr>
        <w:t>Figure 71. DOE_14 -- (a) Compaction fit.</w:t>
      </w:r>
    </w:p>
    <w:p>
      <w:pPr>
        <w:spacing w:before="80" w:after="20"/>
        <w:jc w:val="center"/>
      </w:pPr>
      <w:r>
        <w:drawing>
          <wp:inline xmlns:a="http://schemas.openxmlformats.org/drawingml/2006/main" xmlns:pic="http://schemas.openxmlformats.org/drawingml/2006/picture">
            <wp:extent cx="5029200" cy="3105021"/>
            <wp:docPr id="72" name="Picture 72"/>
            <wp:cNvGraphicFramePr>
              <a:graphicFrameLocks noChangeAspect="1"/>
            </wp:cNvGraphicFramePr>
            <a:graphic>
              <a:graphicData uri="http://schemas.openxmlformats.org/drawingml/2006/picture">
                <pic:pic>
                  <pic:nvPicPr>
                    <pic:cNvPr id="0" name="phase_evolution.png"/>
                    <pic:cNvPicPr/>
                  </pic:nvPicPr>
                  <pic:blipFill>
                    <a:blip r:embed="rId74"/>
                    <a:stretch>
                      <a:fillRect/>
                    </a:stretch>
                  </pic:blipFill>
                  <pic:spPr>
                    <a:xfrm>
                      <a:off x="0" y="0"/>
                      <a:ext cx="5029200" cy="3105021"/>
                    </a:xfrm>
                    <a:prstGeom prst="rect"/>
                  </pic:spPr>
                </pic:pic>
              </a:graphicData>
            </a:graphic>
          </wp:inline>
        </w:drawing>
      </w:r>
    </w:p>
    <w:p>
      <w:pPr>
        <w:spacing w:after="120"/>
        <w:jc w:val="center"/>
      </w:pPr>
      <w:r>
        <w:rPr>
          <w:i/>
          <w:color w:val="505050"/>
          <w:sz w:val="18"/>
        </w:rPr>
        <w:t>Figure 72. DOE_14 -- (b) Phase evolution.</w:t>
      </w:r>
    </w:p>
    <w:p>
      <w:pPr>
        <w:spacing w:before="80" w:after="20"/>
        <w:jc w:val="center"/>
      </w:pPr>
      <w:r>
        <w:drawing>
          <wp:inline xmlns:a="http://schemas.openxmlformats.org/drawingml/2006/main" xmlns:pic="http://schemas.openxmlformats.org/drawingml/2006/picture">
            <wp:extent cx="5029200" cy="2064203"/>
            <wp:docPr id="73" name="Picture 73"/>
            <wp:cNvGraphicFramePr>
              <a:graphicFrameLocks noChangeAspect="1"/>
            </wp:cNvGraphicFramePr>
            <a:graphic>
              <a:graphicData uri="http://schemas.openxmlformats.org/drawingml/2006/picture">
                <pic:pic>
                  <pic:nvPicPr>
                    <pic:cNvPr id="0" name="permeability_evolution.png"/>
                    <pic:cNvPicPr/>
                  </pic:nvPicPr>
                  <pic:blipFill>
                    <a:blip r:embed="rId75"/>
                    <a:stretch>
                      <a:fillRect/>
                    </a:stretch>
                  </pic:blipFill>
                  <pic:spPr>
                    <a:xfrm>
                      <a:off x="0" y="0"/>
                      <a:ext cx="5029200" cy="2064203"/>
                    </a:xfrm>
                    <a:prstGeom prst="rect"/>
                  </pic:spPr>
                </pic:pic>
              </a:graphicData>
            </a:graphic>
          </wp:inline>
        </w:drawing>
      </w:r>
    </w:p>
    <w:p>
      <w:pPr>
        <w:spacing w:after="120"/>
        <w:jc w:val="center"/>
      </w:pPr>
      <w:r>
        <w:rPr>
          <w:i/>
          <w:color w:val="505050"/>
          <w:sz w:val="18"/>
        </w:rPr>
        <w:t>Figure 73. DOE_14 -- (c) Permeability evolution.</w:t>
      </w:r>
    </w:p>
    <w:p>
      <w:pPr>
        <w:spacing w:before="80" w:after="20"/>
        <w:jc w:val="center"/>
      </w:pPr>
      <w:r>
        <w:drawing>
          <wp:inline xmlns:a="http://schemas.openxmlformats.org/drawingml/2006/main" xmlns:pic="http://schemas.openxmlformats.org/drawingml/2006/picture">
            <wp:extent cx="5029200" cy="3110275"/>
            <wp:docPr id="74" name="Picture 74"/>
            <wp:cNvGraphicFramePr>
              <a:graphicFrameLocks noChangeAspect="1"/>
            </wp:cNvGraphicFramePr>
            <a:graphic>
              <a:graphicData uri="http://schemas.openxmlformats.org/drawingml/2006/picture">
                <pic:pic>
                  <pic:nvPicPr>
                    <pic:cNvPr id="0" name="stress_balance.png"/>
                    <pic:cNvPicPr/>
                  </pic:nvPicPr>
                  <pic:blipFill>
                    <a:blip r:embed="rId76"/>
                    <a:stretch>
                      <a:fillRect/>
                    </a:stretch>
                  </pic:blipFill>
                  <pic:spPr>
                    <a:xfrm>
                      <a:off x="0" y="0"/>
                      <a:ext cx="5029200" cy="3110275"/>
                    </a:xfrm>
                    <a:prstGeom prst="rect"/>
                  </pic:spPr>
                </pic:pic>
              </a:graphicData>
            </a:graphic>
          </wp:inline>
        </w:drawing>
      </w:r>
    </w:p>
    <w:p>
      <w:pPr>
        <w:spacing w:after="120"/>
        <w:jc w:val="center"/>
      </w:pPr>
      <w:r>
        <w:rPr>
          <w:i/>
          <w:color w:val="505050"/>
          <w:sz w:val="18"/>
        </w:rPr>
        <w:t>Figure 74. DOE_14 -- (d) Stress balance.</w:t>
      </w:r>
    </w:p>
    <w:p>
      <w:pPr>
        <w:pStyle w:val="Heading2"/>
      </w:pPr>
      <w:r>
        <w:t>DOE_15 (E = 2.0 kPa, R² = -0.979, Δφ_f = 0.0104)</w:t>
      </w:r>
    </w:p>
    <w:p>
      <w:pPr>
        <w:spacing w:before="80" w:after="20"/>
        <w:jc w:val="center"/>
      </w:pPr>
      <w:r>
        <w:drawing>
          <wp:inline xmlns:a="http://schemas.openxmlformats.org/drawingml/2006/main" xmlns:pic="http://schemas.openxmlformats.org/drawingml/2006/picture">
            <wp:extent cx="5029200" cy="3140561"/>
            <wp:docPr id="75" name="Picture 75"/>
            <wp:cNvGraphicFramePr>
              <a:graphicFrameLocks noChangeAspect="1"/>
            </wp:cNvGraphicFramePr>
            <a:graphic>
              <a:graphicData uri="http://schemas.openxmlformats.org/drawingml/2006/picture">
                <pic:pic>
                  <pic:nvPicPr>
                    <pic:cNvPr id="0" name="compaction_fit.png"/>
                    <pic:cNvPicPr/>
                  </pic:nvPicPr>
                  <pic:blipFill>
                    <a:blip r:embed="rId77"/>
                    <a:stretch>
                      <a:fillRect/>
                    </a:stretch>
                  </pic:blipFill>
                  <pic:spPr>
                    <a:xfrm>
                      <a:off x="0" y="0"/>
                      <a:ext cx="5029200" cy="3140561"/>
                    </a:xfrm>
                    <a:prstGeom prst="rect"/>
                  </pic:spPr>
                </pic:pic>
              </a:graphicData>
            </a:graphic>
          </wp:inline>
        </w:drawing>
      </w:r>
    </w:p>
    <w:p>
      <w:pPr>
        <w:spacing w:after="120"/>
        <w:jc w:val="center"/>
      </w:pPr>
      <w:r>
        <w:rPr>
          <w:i/>
          <w:color w:val="505050"/>
          <w:sz w:val="18"/>
        </w:rPr>
        <w:t>Figure 75. DOE_15 -- (a) Compaction fit.</w:t>
      </w:r>
    </w:p>
    <w:p>
      <w:pPr>
        <w:spacing w:before="80" w:after="20"/>
        <w:jc w:val="center"/>
      </w:pPr>
      <w:r>
        <w:drawing>
          <wp:inline xmlns:a="http://schemas.openxmlformats.org/drawingml/2006/main" xmlns:pic="http://schemas.openxmlformats.org/drawingml/2006/picture">
            <wp:extent cx="5029200" cy="3105021"/>
            <wp:docPr id="76" name="Picture 76"/>
            <wp:cNvGraphicFramePr>
              <a:graphicFrameLocks noChangeAspect="1"/>
            </wp:cNvGraphicFramePr>
            <a:graphic>
              <a:graphicData uri="http://schemas.openxmlformats.org/drawingml/2006/picture">
                <pic:pic>
                  <pic:nvPicPr>
                    <pic:cNvPr id="0" name="phase_evolution.png"/>
                    <pic:cNvPicPr/>
                  </pic:nvPicPr>
                  <pic:blipFill>
                    <a:blip r:embed="rId78"/>
                    <a:stretch>
                      <a:fillRect/>
                    </a:stretch>
                  </pic:blipFill>
                  <pic:spPr>
                    <a:xfrm>
                      <a:off x="0" y="0"/>
                      <a:ext cx="5029200" cy="3105021"/>
                    </a:xfrm>
                    <a:prstGeom prst="rect"/>
                  </pic:spPr>
                </pic:pic>
              </a:graphicData>
            </a:graphic>
          </wp:inline>
        </w:drawing>
      </w:r>
    </w:p>
    <w:p>
      <w:pPr>
        <w:spacing w:after="120"/>
        <w:jc w:val="center"/>
      </w:pPr>
      <w:r>
        <w:rPr>
          <w:i/>
          <w:color w:val="505050"/>
          <w:sz w:val="18"/>
        </w:rPr>
        <w:t>Figure 76. DOE_15 -- (b) Phase evolution.</w:t>
      </w:r>
    </w:p>
    <w:p>
      <w:pPr>
        <w:spacing w:before="80" w:after="20"/>
        <w:jc w:val="center"/>
      </w:pPr>
      <w:r>
        <w:drawing>
          <wp:inline xmlns:a="http://schemas.openxmlformats.org/drawingml/2006/main" xmlns:pic="http://schemas.openxmlformats.org/drawingml/2006/picture">
            <wp:extent cx="5029200" cy="2064203"/>
            <wp:docPr id="77" name="Picture 77"/>
            <wp:cNvGraphicFramePr>
              <a:graphicFrameLocks noChangeAspect="1"/>
            </wp:cNvGraphicFramePr>
            <a:graphic>
              <a:graphicData uri="http://schemas.openxmlformats.org/drawingml/2006/picture">
                <pic:pic>
                  <pic:nvPicPr>
                    <pic:cNvPr id="0" name="permeability_evolution.png"/>
                    <pic:cNvPicPr/>
                  </pic:nvPicPr>
                  <pic:blipFill>
                    <a:blip r:embed="rId79"/>
                    <a:stretch>
                      <a:fillRect/>
                    </a:stretch>
                  </pic:blipFill>
                  <pic:spPr>
                    <a:xfrm>
                      <a:off x="0" y="0"/>
                      <a:ext cx="5029200" cy="2064203"/>
                    </a:xfrm>
                    <a:prstGeom prst="rect"/>
                  </pic:spPr>
                </pic:pic>
              </a:graphicData>
            </a:graphic>
          </wp:inline>
        </w:drawing>
      </w:r>
    </w:p>
    <w:p>
      <w:pPr>
        <w:spacing w:after="120"/>
        <w:jc w:val="center"/>
      </w:pPr>
      <w:r>
        <w:rPr>
          <w:i/>
          <w:color w:val="505050"/>
          <w:sz w:val="18"/>
        </w:rPr>
        <w:t>Figure 77. DOE_15 -- (c) Permeability evolution.</w:t>
      </w:r>
    </w:p>
    <w:p>
      <w:pPr>
        <w:spacing w:before="80" w:after="20"/>
        <w:jc w:val="center"/>
      </w:pPr>
      <w:r>
        <w:drawing>
          <wp:inline xmlns:a="http://schemas.openxmlformats.org/drawingml/2006/main" xmlns:pic="http://schemas.openxmlformats.org/drawingml/2006/picture">
            <wp:extent cx="5029200" cy="3110275"/>
            <wp:docPr id="78" name="Picture 78"/>
            <wp:cNvGraphicFramePr>
              <a:graphicFrameLocks noChangeAspect="1"/>
            </wp:cNvGraphicFramePr>
            <a:graphic>
              <a:graphicData uri="http://schemas.openxmlformats.org/drawingml/2006/picture">
                <pic:pic>
                  <pic:nvPicPr>
                    <pic:cNvPr id="0" name="stress_balance.png"/>
                    <pic:cNvPicPr/>
                  </pic:nvPicPr>
                  <pic:blipFill>
                    <a:blip r:embed="rId80"/>
                    <a:stretch>
                      <a:fillRect/>
                    </a:stretch>
                  </pic:blipFill>
                  <pic:spPr>
                    <a:xfrm>
                      <a:off x="0" y="0"/>
                      <a:ext cx="5029200" cy="3110275"/>
                    </a:xfrm>
                    <a:prstGeom prst="rect"/>
                  </pic:spPr>
                </pic:pic>
              </a:graphicData>
            </a:graphic>
          </wp:inline>
        </w:drawing>
      </w:r>
    </w:p>
    <w:p>
      <w:pPr>
        <w:spacing w:after="120"/>
        <w:jc w:val="center"/>
      </w:pPr>
      <w:r>
        <w:rPr>
          <w:i/>
          <w:color w:val="505050"/>
          <w:sz w:val="18"/>
        </w:rPr>
        <w:t>Figure 78. DOE_15 -- (d) Stress balance.</w:t>
      </w:r>
    </w:p>
    <w:p>
      <w:pPr>
        <w:pStyle w:val="Heading2"/>
      </w:pPr>
      <w:r>
        <w:t>DOE_16 (E = 50.0 kPa, R² = -0.520, Δφ_f = 0.0108)</w:t>
      </w:r>
    </w:p>
    <w:p>
      <w:pPr>
        <w:spacing w:before="80" w:after="20"/>
        <w:jc w:val="center"/>
      </w:pPr>
      <w:r>
        <w:drawing>
          <wp:inline xmlns:a="http://schemas.openxmlformats.org/drawingml/2006/main" xmlns:pic="http://schemas.openxmlformats.org/drawingml/2006/picture">
            <wp:extent cx="5029200" cy="3175879"/>
            <wp:docPr id="79" name="Picture 79"/>
            <wp:cNvGraphicFramePr>
              <a:graphicFrameLocks noChangeAspect="1"/>
            </wp:cNvGraphicFramePr>
            <a:graphic>
              <a:graphicData uri="http://schemas.openxmlformats.org/drawingml/2006/picture">
                <pic:pic>
                  <pic:nvPicPr>
                    <pic:cNvPr id="0" name="compaction_fit.png"/>
                    <pic:cNvPicPr/>
                  </pic:nvPicPr>
                  <pic:blipFill>
                    <a:blip r:embed="rId81"/>
                    <a:stretch>
                      <a:fillRect/>
                    </a:stretch>
                  </pic:blipFill>
                  <pic:spPr>
                    <a:xfrm>
                      <a:off x="0" y="0"/>
                      <a:ext cx="5029200" cy="3175879"/>
                    </a:xfrm>
                    <a:prstGeom prst="rect"/>
                  </pic:spPr>
                </pic:pic>
              </a:graphicData>
            </a:graphic>
          </wp:inline>
        </w:drawing>
      </w:r>
    </w:p>
    <w:p>
      <w:pPr>
        <w:spacing w:after="120"/>
        <w:jc w:val="center"/>
      </w:pPr>
      <w:r>
        <w:rPr>
          <w:i/>
          <w:color w:val="505050"/>
          <w:sz w:val="18"/>
        </w:rPr>
        <w:t>Figure 79. DOE_16 -- (a) Compaction fit.</w:t>
      </w:r>
    </w:p>
    <w:p>
      <w:pPr>
        <w:spacing w:before="80" w:after="20"/>
        <w:jc w:val="center"/>
      </w:pPr>
      <w:r>
        <w:drawing>
          <wp:inline xmlns:a="http://schemas.openxmlformats.org/drawingml/2006/main" xmlns:pic="http://schemas.openxmlformats.org/drawingml/2006/picture">
            <wp:extent cx="5029200" cy="3105021"/>
            <wp:docPr id="80" name="Picture 80"/>
            <wp:cNvGraphicFramePr>
              <a:graphicFrameLocks noChangeAspect="1"/>
            </wp:cNvGraphicFramePr>
            <a:graphic>
              <a:graphicData uri="http://schemas.openxmlformats.org/drawingml/2006/picture">
                <pic:pic>
                  <pic:nvPicPr>
                    <pic:cNvPr id="0" name="phase_evolution.png"/>
                    <pic:cNvPicPr/>
                  </pic:nvPicPr>
                  <pic:blipFill>
                    <a:blip r:embed="rId82"/>
                    <a:stretch>
                      <a:fillRect/>
                    </a:stretch>
                  </pic:blipFill>
                  <pic:spPr>
                    <a:xfrm>
                      <a:off x="0" y="0"/>
                      <a:ext cx="5029200" cy="3105021"/>
                    </a:xfrm>
                    <a:prstGeom prst="rect"/>
                  </pic:spPr>
                </pic:pic>
              </a:graphicData>
            </a:graphic>
          </wp:inline>
        </w:drawing>
      </w:r>
    </w:p>
    <w:p>
      <w:pPr>
        <w:spacing w:after="120"/>
        <w:jc w:val="center"/>
      </w:pPr>
      <w:r>
        <w:rPr>
          <w:i/>
          <w:color w:val="505050"/>
          <w:sz w:val="18"/>
        </w:rPr>
        <w:t>Figure 80. DOE_16 -- (b) Phase evolution.</w:t>
      </w:r>
    </w:p>
    <w:p>
      <w:pPr>
        <w:spacing w:before="80" w:after="20"/>
        <w:jc w:val="center"/>
      </w:pPr>
      <w:r>
        <w:drawing>
          <wp:inline xmlns:a="http://schemas.openxmlformats.org/drawingml/2006/main" xmlns:pic="http://schemas.openxmlformats.org/drawingml/2006/picture">
            <wp:extent cx="5029200" cy="2064203"/>
            <wp:docPr id="81" name="Picture 81"/>
            <wp:cNvGraphicFramePr>
              <a:graphicFrameLocks noChangeAspect="1"/>
            </wp:cNvGraphicFramePr>
            <a:graphic>
              <a:graphicData uri="http://schemas.openxmlformats.org/drawingml/2006/picture">
                <pic:pic>
                  <pic:nvPicPr>
                    <pic:cNvPr id="0" name="permeability_evolution.png"/>
                    <pic:cNvPicPr/>
                  </pic:nvPicPr>
                  <pic:blipFill>
                    <a:blip r:embed="rId83"/>
                    <a:stretch>
                      <a:fillRect/>
                    </a:stretch>
                  </pic:blipFill>
                  <pic:spPr>
                    <a:xfrm>
                      <a:off x="0" y="0"/>
                      <a:ext cx="5029200" cy="2064203"/>
                    </a:xfrm>
                    <a:prstGeom prst="rect"/>
                  </pic:spPr>
                </pic:pic>
              </a:graphicData>
            </a:graphic>
          </wp:inline>
        </w:drawing>
      </w:r>
    </w:p>
    <w:p>
      <w:pPr>
        <w:spacing w:after="120"/>
        <w:jc w:val="center"/>
      </w:pPr>
      <w:r>
        <w:rPr>
          <w:i/>
          <w:color w:val="505050"/>
          <w:sz w:val="18"/>
        </w:rPr>
        <w:t>Figure 81. DOE_16 -- (c) Permeability evolution.</w:t>
      </w:r>
    </w:p>
    <w:p>
      <w:pPr>
        <w:spacing w:before="80" w:after="20"/>
        <w:jc w:val="center"/>
      </w:pPr>
      <w:r>
        <w:drawing>
          <wp:inline xmlns:a="http://schemas.openxmlformats.org/drawingml/2006/main" xmlns:pic="http://schemas.openxmlformats.org/drawingml/2006/picture">
            <wp:extent cx="5029200" cy="3112909"/>
            <wp:docPr id="82" name="Picture 82"/>
            <wp:cNvGraphicFramePr>
              <a:graphicFrameLocks noChangeAspect="1"/>
            </wp:cNvGraphicFramePr>
            <a:graphic>
              <a:graphicData uri="http://schemas.openxmlformats.org/drawingml/2006/picture">
                <pic:pic>
                  <pic:nvPicPr>
                    <pic:cNvPr id="0" name="stress_balance.png"/>
                    <pic:cNvPicPr/>
                  </pic:nvPicPr>
                  <pic:blipFill>
                    <a:blip r:embed="rId84"/>
                    <a:stretch>
                      <a:fillRect/>
                    </a:stretch>
                  </pic:blipFill>
                  <pic:spPr>
                    <a:xfrm>
                      <a:off x="0" y="0"/>
                      <a:ext cx="5029200" cy="3112909"/>
                    </a:xfrm>
                    <a:prstGeom prst="rect"/>
                  </pic:spPr>
                </pic:pic>
              </a:graphicData>
            </a:graphic>
          </wp:inline>
        </w:drawing>
      </w:r>
    </w:p>
    <w:p>
      <w:pPr>
        <w:spacing w:after="120"/>
        <w:jc w:val="center"/>
      </w:pPr>
      <w:r>
        <w:rPr>
          <w:i/>
          <w:color w:val="505050"/>
          <w:sz w:val="18"/>
        </w:rPr>
        <w:t>Figure 82. DOE_16 -- (d) Stress balance.</w:t>
      </w:r>
    </w:p>
    <w:p>
      <w:pPr>
        <w:pStyle w:val="Heading2"/>
      </w:pPr>
      <w:r>
        <w:t>DOE_17 (E = 2.0 kPa, R² = -2.074, Δφ_f = 0.0112)</w:t>
      </w:r>
    </w:p>
    <w:p>
      <w:pPr>
        <w:spacing w:before="80" w:after="20"/>
        <w:jc w:val="center"/>
      </w:pPr>
      <w:r>
        <w:drawing>
          <wp:inline xmlns:a="http://schemas.openxmlformats.org/drawingml/2006/main" xmlns:pic="http://schemas.openxmlformats.org/drawingml/2006/picture">
            <wp:extent cx="5029200" cy="3140561"/>
            <wp:docPr id="83" name="Picture 83"/>
            <wp:cNvGraphicFramePr>
              <a:graphicFrameLocks noChangeAspect="1"/>
            </wp:cNvGraphicFramePr>
            <a:graphic>
              <a:graphicData uri="http://schemas.openxmlformats.org/drawingml/2006/picture">
                <pic:pic>
                  <pic:nvPicPr>
                    <pic:cNvPr id="0" name="compaction_fit.png"/>
                    <pic:cNvPicPr/>
                  </pic:nvPicPr>
                  <pic:blipFill>
                    <a:blip r:embed="rId85"/>
                    <a:stretch>
                      <a:fillRect/>
                    </a:stretch>
                  </pic:blipFill>
                  <pic:spPr>
                    <a:xfrm>
                      <a:off x="0" y="0"/>
                      <a:ext cx="5029200" cy="3140561"/>
                    </a:xfrm>
                    <a:prstGeom prst="rect"/>
                  </pic:spPr>
                </pic:pic>
              </a:graphicData>
            </a:graphic>
          </wp:inline>
        </w:drawing>
      </w:r>
    </w:p>
    <w:p>
      <w:pPr>
        <w:spacing w:after="120"/>
        <w:jc w:val="center"/>
      </w:pPr>
      <w:r>
        <w:rPr>
          <w:i/>
          <w:color w:val="505050"/>
          <w:sz w:val="18"/>
        </w:rPr>
        <w:t>Figure 83. DOE_17 -- (a) Compaction fit.</w:t>
      </w:r>
    </w:p>
    <w:p>
      <w:pPr>
        <w:spacing w:before="80" w:after="20"/>
        <w:jc w:val="center"/>
      </w:pPr>
      <w:r>
        <w:drawing>
          <wp:inline xmlns:a="http://schemas.openxmlformats.org/drawingml/2006/main" xmlns:pic="http://schemas.openxmlformats.org/drawingml/2006/picture">
            <wp:extent cx="5029200" cy="3105021"/>
            <wp:docPr id="84" name="Picture 84"/>
            <wp:cNvGraphicFramePr>
              <a:graphicFrameLocks noChangeAspect="1"/>
            </wp:cNvGraphicFramePr>
            <a:graphic>
              <a:graphicData uri="http://schemas.openxmlformats.org/drawingml/2006/picture">
                <pic:pic>
                  <pic:nvPicPr>
                    <pic:cNvPr id="0" name="phase_evolution.png"/>
                    <pic:cNvPicPr/>
                  </pic:nvPicPr>
                  <pic:blipFill>
                    <a:blip r:embed="rId86"/>
                    <a:stretch>
                      <a:fillRect/>
                    </a:stretch>
                  </pic:blipFill>
                  <pic:spPr>
                    <a:xfrm>
                      <a:off x="0" y="0"/>
                      <a:ext cx="5029200" cy="3105021"/>
                    </a:xfrm>
                    <a:prstGeom prst="rect"/>
                  </pic:spPr>
                </pic:pic>
              </a:graphicData>
            </a:graphic>
          </wp:inline>
        </w:drawing>
      </w:r>
    </w:p>
    <w:p>
      <w:pPr>
        <w:spacing w:after="120"/>
        <w:jc w:val="center"/>
      </w:pPr>
      <w:r>
        <w:rPr>
          <w:i/>
          <w:color w:val="505050"/>
          <w:sz w:val="18"/>
        </w:rPr>
        <w:t>Figure 84. DOE_17 -- (b) Phase evolution.</w:t>
      </w:r>
    </w:p>
    <w:p>
      <w:pPr>
        <w:spacing w:before="80" w:after="20"/>
        <w:jc w:val="center"/>
      </w:pPr>
      <w:r>
        <w:drawing>
          <wp:inline xmlns:a="http://schemas.openxmlformats.org/drawingml/2006/main" xmlns:pic="http://schemas.openxmlformats.org/drawingml/2006/picture">
            <wp:extent cx="5029200" cy="2064203"/>
            <wp:docPr id="85" name="Picture 85"/>
            <wp:cNvGraphicFramePr>
              <a:graphicFrameLocks noChangeAspect="1"/>
            </wp:cNvGraphicFramePr>
            <a:graphic>
              <a:graphicData uri="http://schemas.openxmlformats.org/drawingml/2006/picture">
                <pic:pic>
                  <pic:nvPicPr>
                    <pic:cNvPr id="0" name="permeability_evolution.png"/>
                    <pic:cNvPicPr/>
                  </pic:nvPicPr>
                  <pic:blipFill>
                    <a:blip r:embed="rId87"/>
                    <a:stretch>
                      <a:fillRect/>
                    </a:stretch>
                  </pic:blipFill>
                  <pic:spPr>
                    <a:xfrm>
                      <a:off x="0" y="0"/>
                      <a:ext cx="5029200" cy="2064203"/>
                    </a:xfrm>
                    <a:prstGeom prst="rect"/>
                  </pic:spPr>
                </pic:pic>
              </a:graphicData>
            </a:graphic>
          </wp:inline>
        </w:drawing>
      </w:r>
    </w:p>
    <w:p>
      <w:pPr>
        <w:spacing w:after="120"/>
        <w:jc w:val="center"/>
      </w:pPr>
      <w:r>
        <w:rPr>
          <w:i/>
          <w:color w:val="505050"/>
          <w:sz w:val="18"/>
        </w:rPr>
        <w:t>Figure 85. DOE_17 -- (c) Permeability evolution.</w:t>
      </w:r>
    </w:p>
    <w:p>
      <w:pPr>
        <w:spacing w:before="80" w:after="20"/>
        <w:jc w:val="center"/>
      </w:pPr>
      <w:r>
        <w:drawing>
          <wp:inline xmlns:a="http://schemas.openxmlformats.org/drawingml/2006/main" xmlns:pic="http://schemas.openxmlformats.org/drawingml/2006/picture">
            <wp:extent cx="5029200" cy="3112909"/>
            <wp:docPr id="86" name="Picture 86"/>
            <wp:cNvGraphicFramePr>
              <a:graphicFrameLocks noChangeAspect="1"/>
            </wp:cNvGraphicFramePr>
            <a:graphic>
              <a:graphicData uri="http://schemas.openxmlformats.org/drawingml/2006/picture">
                <pic:pic>
                  <pic:nvPicPr>
                    <pic:cNvPr id="0" name="stress_balance.png"/>
                    <pic:cNvPicPr/>
                  </pic:nvPicPr>
                  <pic:blipFill>
                    <a:blip r:embed="rId88"/>
                    <a:stretch>
                      <a:fillRect/>
                    </a:stretch>
                  </pic:blipFill>
                  <pic:spPr>
                    <a:xfrm>
                      <a:off x="0" y="0"/>
                      <a:ext cx="5029200" cy="3112909"/>
                    </a:xfrm>
                    <a:prstGeom prst="rect"/>
                  </pic:spPr>
                </pic:pic>
              </a:graphicData>
            </a:graphic>
          </wp:inline>
        </w:drawing>
      </w:r>
    </w:p>
    <w:p>
      <w:pPr>
        <w:spacing w:after="120"/>
        <w:jc w:val="center"/>
      </w:pPr>
      <w:r>
        <w:rPr>
          <w:i/>
          <w:color w:val="505050"/>
          <w:sz w:val="18"/>
        </w:rPr>
        <w:t>Figure 86. DOE_17 -- (d) Stress balance.</w:t>
      </w:r>
    </w:p>
    <w:p>
      <w:pPr>
        <w:pStyle w:val="Heading2"/>
      </w:pPr>
      <w:r>
        <w:t>DOE_18 (E = 50.0 kPa, R² = 0.121, Δφ_f = -0.1408)</w:t>
      </w:r>
    </w:p>
    <w:p>
      <w:pPr>
        <w:spacing w:before="80" w:after="20"/>
        <w:jc w:val="center"/>
      </w:pPr>
      <w:r>
        <w:drawing>
          <wp:inline xmlns:a="http://schemas.openxmlformats.org/drawingml/2006/main" xmlns:pic="http://schemas.openxmlformats.org/drawingml/2006/picture">
            <wp:extent cx="5029200" cy="3175879"/>
            <wp:docPr id="87" name="Picture 87"/>
            <wp:cNvGraphicFramePr>
              <a:graphicFrameLocks noChangeAspect="1"/>
            </wp:cNvGraphicFramePr>
            <a:graphic>
              <a:graphicData uri="http://schemas.openxmlformats.org/drawingml/2006/picture">
                <pic:pic>
                  <pic:nvPicPr>
                    <pic:cNvPr id="0" name="compaction_fit.png"/>
                    <pic:cNvPicPr/>
                  </pic:nvPicPr>
                  <pic:blipFill>
                    <a:blip r:embed="rId13"/>
                    <a:stretch>
                      <a:fillRect/>
                    </a:stretch>
                  </pic:blipFill>
                  <pic:spPr>
                    <a:xfrm>
                      <a:off x="0" y="0"/>
                      <a:ext cx="5029200" cy="3175879"/>
                    </a:xfrm>
                    <a:prstGeom prst="rect"/>
                  </pic:spPr>
                </pic:pic>
              </a:graphicData>
            </a:graphic>
          </wp:inline>
        </w:drawing>
      </w:r>
    </w:p>
    <w:p>
      <w:pPr>
        <w:spacing w:after="120"/>
        <w:jc w:val="center"/>
      </w:pPr>
      <w:r>
        <w:rPr>
          <w:i/>
          <w:color w:val="505050"/>
          <w:sz w:val="18"/>
        </w:rPr>
        <w:t>Figure 87. DOE_18 -- (a) Compaction fit.</w:t>
      </w:r>
    </w:p>
    <w:p>
      <w:pPr>
        <w:spacing w:before="80" w:after="20"/>
        <w:jc w:val="center"/>
      </w:pPr>
      <w:r>
        <w:drawing>
          <wp:inline xmlns:a="http://schemas.openxmlformats.org/drawingml/2006/main" xmlns:pic="http://schemas.openxmlformats.org/drawingml/2006/picture">
            <wp:extent cx="5029200" cy="3105021"/>
            <wp:docPr id="88" name="Picture 88"/>
            <wp:cNvGraphicFramePr>
              <a:graphicFrameLocks noChangeAspect="1"/>
            </wp:cNvGraphicFramePr>
            <a:graphic>
              <a:graphicData uri="http://schemas.openxmlformats.org/drawingml/2006/picture">
                <pic:pic>
                  <pic:nvPicPr>
                    <pic:cNvPr id="0" name="phase_evolution.png"/>
                    <pic:cNvPicPr/>
                  </pic:nvPicPr>
                  <pic:blipFill>
                    <a:blip r:embed="rId89"/>
                    <a:stretch>
                      <a:fillRect/>
                    </a:stretch>
                  </pic:blipFill>
                  <pic:spPr>
                    <a:xfrm>
                      <a:off x="0" y="0"/>
                      <a:ext cx="5029200" cy="3105021"/>
                    </a:xfrm>
                    <a:prstGeom prst="rect"/>
                  </pic:spPr>
                </pic:pic>
              </a:graphicData>
            </a:graphic>
          </wp:inline>
        </w:drawing>
      </w:r>
    </w:p>
    <w:p>
      <w:pPr>
        <w:spacing w:after="120"/>
        <w:jc w:val="center"/>
      </w:pPr>
      <w:r>
        <w:rPr>
          <w:i/>
          <w:color w:val="505050"/>
          <w:sz w:val="18"/>
        </w:rPr>
        <w:t>Figure 88. DOE_18 -- (b) Phase evolution.</w:t>
      </w:r>
    </w:p>
    <w:p>
      <w:pPr>
        <w:spacing w:before="80" w:after="20"/>
        <w:jc w:val="center"/>
      </w:pPr>
      <w:r>
        <w:drawing>
          <wp:inline xmlns:a="http://schemas.openxmlformats.org/drawingml/2006/main" xmlns:pic="http://schemas.openxmlformats.org/drawingml/2006/picture">
            <wp:extent cx="5029200" cy="2065362"/>
            <wp:docPr id="89" name="Picture 89"/>
            <wp:cNvGraphicFramePr>
              <a:graphicFrameLocks noChangeAspect="1"/>
            </wp:cNvGraphicFramePr>
            <a:graphic>
              <a:graphicData uri="http://schemas.openxmlformats.org/drawingml/2006/picture">
                <pic:pic>
                  <pic:nvPicPr>
                    <pic:cNvPr id="0" name="permeability_evolution.png"/>
                    <pic:cNvPicPr/>
                  </pic:nvPicPr>
                  <pic:blipFill>
                    <a:blip r:embed="rId90"/>
                    <a:stretch>
                      <a:fillRect/>
                    </a:stretch>
                  </pic:blipFill>
                  <pic:spPr>
                    <a:xfrm>
                      <a:off x="0" y="0"/>
                      <a:ext cx="5029200" cy="2065362"/>
                    </a:xfrm>
                    <a:prstGeom prst="rect"/>
                  </pic:spPr>
                </pic:pic>
              </a:graphicData>
            </a:graphic>
          </wp:inline>
        </w:drawing>
      </w:r>
    </w:p>
    <w:p>
      <w:pPr>
        <w:spacing w:after="120"/>
        <w:jc w:val="center"/>
      </w:pPr>
      <w:r>
        <w:rPr>
          <w:i/>
          <w:color w:val="505050"/>
          <w:sz w:val="18"/>
        </w:rPr>
        <w:t>Figure 89. DOE_18 -- (c) Permeability evolution.</w:t>
      </w:r>
    </w:p>
    <w:p>
      <w:pPr>
        <w:spacing w:before="80" w:after="20"/>
        <w:jc w:val="center"/>
      </w:pPr>
      <w:r>
        <w:drawing>
          <wp:inline xmlns:a="http://schemas.openxmlformats.org/drawingml/2006/main" xmlns:pic="http://schemas.openxmlformats.org/drawingml/2006/picture">
            <wp:extent cx="5029200" cy="3110275"/>
            <wp:docPr id="90" name="Picture 90"/>
            <wp:cNvGraphicFramePr>
              <a:graphicFrameLocks noChangeAspect="1"/>
            </wp:cNvGraphicFramePr>
            <a:graphic>
              <a:graphicData uri="http://schemas.openxmlformats.org/drawingml/2006/picture">
                <pic:pic>
                  <pic:nvPicPr>
                    <pic:cNvPr id="0" name="stress_balance.png"/>
                    <pic:cNvPicPr/>
                  </pic:nvPicPr>
                  <pic:blipFill>
                    <a:blip r:embed="rId91"/>
                    <a:stretch>
                      <a:fillRect/>
                    </a:stretch>
                  </pic:blipFill>
                  <pic:spPr>
                    <a:xfrm>
                      <a:off x="0" y="0"/>
                      <a:ext cx="5029200" cy="3110275"/>
                    </a:xfrm>
                    <a:prstGeom prst="rect"/>
                  </pic:spPr>
                </pic:pic>
              </a:graphicData>
            </a:graphic>
          </wp:inline>
        </w:drawing>
      </w:r>
    </w:p>
    <w:p>
      <w:pPr>
        <w:spacing w:after="120"/>
        <w:jc w:val="center"/>
      </w:pPr>
      <w:r>
        <w:rPr>
          <w:i/>
          <w:color w:val="505050"/>
          <w:sz w:val="18"/>
        </w:rPr>
        <w:t>Figure 90. DOE_18 -- (d) Stress balance.</w:t>
      </w:r>
    </w:p>
    <w:p>
      <w:pPr>
        <w:pStyle w:val="Heading2"/>
      </w:pPr>
      <w:r>
        <w:t>DOE_19 (E = 2.0 kPa, R² = -2.886, Δφ_f = 0.0477)</w:t>
      </w:r>
    </w:p>
    <w:p>
      <w:pPr>
        <w:spacing w:before="80" w:after="20"/>
        <w:jc w:val="center"/>
      </w:pPr>
      <w:r>
        <w:drawing>
          <wp:inline xmlns:a="http://schemas.openxmlformats.org/drawingml/2006/main" xmlns:pic="http://schemas.openxmlformats.org/drawingml/2006/picture">
            <wp:extent cx="5029200" cy="3140561"/>
            <wp:docPr id="91" name="Picture 91"/>
            <wp:cNvGraphicFramePr>
              <a:graphicFrameLocks noChangeAspect="1"/>
            </wp:cNvGraphicFramePr>
            <a:graphic>
              <a:graphicData uri="http://schemas.openxmlformats.org/drawingml/2006/picture">
                <pic:pic>
                  <pic:nvPicPr>
                    <pic:cNvPr id="0" name="compaction_fit.png"/>
                    <pic:cNvPicPr/>
                  </pic:nvPicPr>
                  <pic:blipFill>
                    <a:blip r:embed="rId92"/>
                    <a:stretch>
                      <a:fillRect/>
                    </a:stretch>
                  </pic:blipFill>
                  <pic:spPr>
                    <a:xfrm>
                      <a:off x="0" y="0"/>
                      <a:ext cx="5029200" cy="3140561"/>
                    </a:xfrm>
                    <a:prstGeom prst="rect"/>
                  </pic:spPr>
                </pic:pic>
              </a:graphicData>
            </a:graphic>
          </wp:inline>
        </w:drawing>
      </w:r>
    </w:p>
    <w:p>
      <w:pPr>
        <w:spacing w:after="120"/>
        <w:jc w:val="center"/>
      </w:pPr>
      <w:r>
        <w:rPr>
          <w:i/>
          <w:color w:val="505050"/>
          <w:sz w:val="18"/>
        </w:rPr>
        <w:t>Figure 91. DOE_19 -- (a) Compaction fit.</w:t>
      </w:r>
    </w:p>
    <w:p>
      <w:pPr>
        <w:spacing w:before="80" w:after="20"/>
        <w:jc w:val="center"/>
      </w:pPr>
      <w:r>
        <w:drawing>
          <wp:inline xmlns:a="http://schemas.openxmlformats.org/drawingml/2006/main" xmlns:pic="http://schemas.openxmlformats.org/drawingml/2006/picture">
            <wp:extent cx="5029200" cy="3105021"/>
            <wp:docPr id="92" name="Picture 92"/>
            <wp:cNvGraphicFramePr>
              <a:graphicFrameLocks noChangeAspect="1"/>
            </wp:cNvGraphicFramePr>
            <a:graphic>
              <a:graphicData uri="http://schemas.openxmlformats.org/drawingml/2006/picture">
                <pic:pic>
                  <pic:nvPicPr>
                    <pic:cNvPr id="0" name="phase_evolution.png"/>
                    <pic:cNvPicPr/>
                  </pic:nvPicPr>
                  <pic:blipFill>
                    <a:blip r:embed="rId93"/>
                    <a:stretch>
                      <a:fillRect/>
                    </a:stretch>
                  </pic:blipFill>
                  <pic:spPr>
                    <a:xfrm>
                      <a:off x="0" y="0"/>
                      <a:ext cx="5029200" cy="3105021"/>
                    </a:xfrm>
                    <a:prstGeom prst="rect"/>
                  </pic:spPr>
                </pic:pic>
              </a:graphicData>
            </a:graphic>
          </wp:inline>
        </w:drawing>
      </w:r>
    </w:p>
    <w:p>
      <w:pPr>
        <w:spacing w:after="120"/>
        <w:jc w:val="center"/>
      </w:pPr>
      <w:r>
        <w:rPr>
          <w:i/>
          <w:color w:val="505050"/>
          <w:sz w:val="18"/>
        </w:rPr>
        <w:t>Figure 92. DOE_19 -- (b) Phase evolution.</w:t>
      </w:r>
    </w:p>
    <w:p>
      <w:pPr>
        <w:spacing w:before="80" w:after="20"/>
        <w:jc w:val="center"/>
      </w:pPr>
      <w:r>
        <w:drawing>
          <wp:inline xmlns:a="http://schemas.openxmlformats.org/drawingml/2006/main" xmlns:pic="http://schemas.openxmlformats.org/drawingml/2006/picture">
            <wp:extent cx="5029200" cy="2064203"/>
            <wp:docPr id="93" name="Picture 93"/>
            <wp:cNvGraphicFramePr>
              <a:graphicFrameLocks noChangeAspect="1"/>
            </wp:cNvGraphicFramePr>
            <a:graphic>
              <a:graphicData uri="http://schemas.openxmlformats.org/drawingml/2006/picture">
                <pic:pic>
                  <pic:nvPicPr>
                    <pic:cNvPr id="0" name="permeability_evolution.png"/>
                    <pic:cNvPicPr/>
                  </pic:nvPicPr>
                  <pic:blipFill>
                    <a:blip r:embed="rId94"/>
                    <a:stretch>
                      <a:fillRect/>
                    </a:stretch>
                  </pic:blipFill>
                  <pic:spPr>
                    <a:xfrm>
                      <a:off x="0" y="0"/>
                      <a:ext cx="5029200" cy="2064203"/>
                    </a:xfrm>
                    <a:prstGeom prst="rect"/>
                  </pic:spPr>
                </pic:pic>
              </a:graphicData>
            </a:graphic>
          </wp:inline>
        </w:drawing>
      </w:r>
    </w:p>
    <w:p>
      <w:pPr>
        <w:spacing w:after="120"/>
        <w:jc w:val="center"/>
      </w:pPr>
      <w:r>
        <w:rPr>
          <w:i/>
          <w:color w:val="505050"/>
          <w:sz w:val="18"/>
        </w:rPr>
        <w:t>Figure 93. DOE_19 -- (c) Permeability evolution.</w:t>
      </w:r>
    </w:p>
    <w:p>
      <w:pPr>
        <w:spacing w:before="80" w:after="20"/>
        <w:jc w:val="center"/>
      </w:pPr>
      <w:r>
        <w:drawing>
          <wp:inline xmlns:a="http://schemas.openxmlformats.org/drawingml/2006/main" xmlns:pic="http://schemas.openxmlformats.org/drawingml/2006/picture">
            <wp:extent cx="5029200" cy="3110275"/>
            <wp:docPr id="94" name="Picture 94"/>
            <wp:cNvGraphicFramePr>
              <a:graphicFrameLocks noChangeAspect="1"/>
            </wp:cNvGraphicFramePr>
            <a:graphic>
              <a:graphicData uri="http://schemas.openxmlformats.org/drawingml/2006/picture">
                <pic:pic>
                  <pic:nvPicPr>
                    <pic:cNvPr id="0" name="stress_balance.png"/>
                    <pic:cNvPicPr/>
                  </pic:nvPicPr>
                  <pic:blipFill>
                    <a:blip r:embed="rId95"/>
                    <a:stretch>
                      <a:fillRect/>
                    </a:stretch>
                  </pic:blipFill>
                  <pic:spPr>
                    <a:xfrm>
                      <a:off x="0" y="0"/>
                      <a:ext cx="5029200" cy="3110275"/>
                    </a:xfrm>
                    <a:prstGeom prst="rect"/>
                  </pic:spPr>
                </pic:pic>
              </a:graphicData>
            </a:graphic>
          </wp:inline>
        </w:drawing>
      </w:r>
    </w:p>
    <w:p>
      <w:pPr>
        <w:spacing w:after="120"/>
        <w:jc w:val="center"/>
      </w:pPr>
      <w:r>
        <w:rPr>
          <w:i/>
          <w:color w:val="505050"/>
          <w:sz w:val="18"/>
        </w:rPr>
        <w:t>Figure 94. DOE_19 -- (d) Stress balance.</w:t>
      </w:r>
    </w:p>
    <w:p>
      <w:pPr>
        <w:pStyle w:val="Heading2"/>
      </w:pPr>
      <w:r>
        <w:t>DOE_20 (E = 50.0 kPa, R² = -1.033, Δφ_f = -0.1425)</w:t>
      </w:r>
    </w:p>
    <w:p>
      <w:pPr>
        <w:spacing w:before="80" w:after="20"/>
        <w:jc w:val="center"/>
      </w:pPr>
      <w:r>
        <w:drawing>
          <wp:inline xmlns:a="http://schemas.openxmlformats.org/drawingml/2006/main" xmlns:pic="http://schemas.openxmlformats.org/drawingml/2006/picture">
            <wp:extent cx="5029200" cy="3175879"/>
            <wp:docPr id="95" name="Picture 95"/>
            <wp:cNvGraphicFramePr>
              <a:graphicFrameLocks noChangeAspect="1"/>
            </wp:cNvGraphicFramePr>
            <a:graphic>
              <a:graphicData uri="http://schemas.openxmlformats.org/drawingml/2006/picture">
                <pic:pic>
                  <pic:nvPicPr>
                    <pic:cNvPr id="0" name="compaction_fit.png"/>
                    <pic:cNvPicPr/>
                  </pic:nvPicPr>
                  <pic:blipFill>
                    <a:blip r:embed="rId96"/>
                    <a:stretch>
                      <a:fillRect/>
                    </a:stretch>
                  </pic:blipFill>
                  <pic:spPr>
                    <a:xfrm>
                      <a:off x="0" y="0"/>
                      <a:ext cx="5029200" cy="3175879"/>
                    </a:xfrm>
                    <a:prstGeom prst="rect"/>
                  </pic:spPr>
                </pic:pic>
              </a:graphicData>
            </a:graphic>
          </wp:inline>
        </w:drawing>
      </w:r>
    </w:p>
    <w:p>
      <w:pPr>
        <w:spacing w:after="120"/>
        <w:jc w:val="center"/>
      </w:pPr>
      <w:r>
        <w:rPr>
          <w:i/>
          <w:color w:val="505050"/>
          <w:sz w:val="18"/>
        </w:rPr>
        <w:t>Figure 95. DOE_20 -- (a) Compaction fit.</w:t>
      </w:r>
    </w:p>
    <w:p>
      <w:pPr>
        <w:spacing w:before="80" w:after="20"/>
        <w:jc w:val="center"/>
      </w:pPr>
      <w:r>
        <w:drawing>
          <wp:inline xmlns:a="http://schemas.openxmlformats.org/drawingml/2006/main" xmlns:pic="http://schemas.openxmlformats.org/drawingml/2006/picture">
            <wp:extent cx="5029200" cy="3105021"/>
            <wp:docPr id="96" name="Picture 96"/>
            <wp:cNvGraphicFramePr>
              <a:graphicFrameLocks noChangeAspect="1"/>
            </wp:cNvGraphicFramePr>
            <a:graphic>
              <a:graphicData uri="http://schemas.openxmlformats.org/drawingml/2006/picture">
                <pic:pic>
                  <pic:nvPicPr>
                    <pic:cNvPr id="0" name="phase_evolution.png"/>
                    <pic:cNvPicPr/>
                  </pic:nvPicPr>
                  <pic:blipFill>
                    <a:blip r:embed="rId97"/>
                    <a:stretch>
                      <a:fillRect/>
                    </a:stretch>
                  </pic:blipFill>
                  <pic:spPr>
                    <a:xfrm>
                      <a:off x="0" y="0"/>
                      <a:ext cx="5029200" cy="3105021"/>
                    </a:xfrm>
                    <a:prstGeom prst="rect"/>
                  </pic:spPr>
                </pic:pic>
              </a:graphicData>
            </a:graphic>
          </wp:inline>
        </w:drawing>
      </w:r>
    </w:p>
    <w:p>
      <w:pPr>
        <w:spacing w:after="120"/>
        <w:jc w:val="center"/>
      </w:pPr>
      <w:r>
        <w:rPr>
          <w:i/>
          <w:color w:val="505050"/>
          <w:sz w:val="18"/>
        </w:rPr>
        <w:t>Figure 96. DOE_20 -- (b) Phase evolution.</w:t>
      </w:r>
    </w:p>
    <w:p>
      <w:pPr>
        <w:spacing w:before="80" w:after="20"/>
        <w:jc w:val="center"/>
      </w:pPr>
      <w:r>
        <w:drawing>
          <wp:inline xmlns:a="http://schemas.openxmlformats.org/drawingml/2006/main" xmlns:pic="http://schemas.openxmlformats.org/drawingml/2006/picture">
            <wp:extent cx="5029200" cy="2065362"/>
            <wp:docPr id="97" name="Picture 97"/>
            <wp:cNvGraphicFramePr>
              <a:graphicFrameLocks noChangeAspect="1"/>
            </wp:cNvGraphicFramePr>
            <a:graphic>
              <a:graphicData uri="http://schemas.openxmlformats.org/drawingml/2006/picture">
                <pic:pic>
                  <pic:nvPicPr>
                    <pic:cNvPr id="0" name="permeability_evolution.png"/>
                    <pic:cNvPicPr/>
                  </pic:nvPicPr>
                  <pic:blipFill>
                    <a:blip r:embed="rId98"/>
                    <a:stretch>
                      <a:fillRect/>
                    </a:stretch>
                  </pic:blipFill>
                  <pic:spPr>
                    <a:xfrm>
                      <a:off x="0" y="0"/>
                      <a:ext cx="5029200" cy="2065362"/>
                    </a:xfrm>
                    <a:prstGeom prst="rect"/>
                  </pic:spPr>
                </pic:pic>
              </a:graphicData>
            </a:graphic>
          </wp:inline>
        </w:drawing>
      </w:r>
    </w:p>
    <w:p>
      <w:pPr>
        <w:spacing w:after="120"/>
        <w:jc w:val="center"/>
      </w:pPr>
      <w:r>
        <w:rPr>
          <w:i/>
          <w:color w:val="505050"/>
          <w:sz w:val="18"/>
        </w:rPr>
        <w:t>Figure 97. DOE_20 -- (c) Permeability evolution.</w:t>
      </w:r>
    </w:p>
    <w:p>
      <w:pPr>
        <w:spacing w:before="80" w:after="20"/>
        <w:jc w:val="center"/>
      </w:pPr>
      <w:r>
        <w:drawing>
          <wp:inline xmlns:a="http://schemas.openxmlformats.org/drawingml/2006/main" xmlns:pic="http://schemas.openxmlformats.org/drawingml/2006/picture">
            <wp:extent cx="5029200" cy="3110275"/>
            <wp:docPr id="98" name="Picture 98"/>
            <wp:cNvGraphicFramePr>
              <a:graphicFrameLocks noChangeAspect="1"/>
            </wp:cNvGraphicFramePr>
            <a:graphic>
              <a:graphicData uri="http://schemas.openxmlformats.org/drawingml/2006/picture">
                <pic:pic>
                  <pic:nvPicPr>
                    <pic:cNvPr id="0" name="stress_balance.png"/>
                    <pic:cNvPicPr/>
                  </pic:nvPicPr>
                  <pic:blipFill>
                    <a:blip r:embed="rId99"/>
                    <a:stretch>
                      <a:fillRect/>
                    </a:stretch>
                  </pic:blipFill>
                  <pic:spPr>
                    <a:xfrm>
                      <a:off x="0" y="0"/>
                      <a:ext cx="5029200" cy="3110275"/>
                    </a:xfrm>
                    <a:prstGeom prst="rect"/>
                  </pic:spPr>
                </pic:pic>
              </a:graphicData>
            </a:graphic>
          </wp:inline>
        </w:drawing>
      </w:r>
    </w:p>
    <w:p>
      <w:pPr>
        <w:spacing w:after="120"/>
        <w:jc w:val="center"/>
      </w:pPr>
      <w:r>
        <w:rPr>
          <w:i/>
          <w:color w:val="505050"/>
          <w:sz w:val="18"/>
        </w:rPr>
        <w:t>Figure 98. DOE_20 -- (d) Stress balance.</w:t>
      </w:r>
    </w:p>
    <w:p>
      <w:pPr>
        <w:pStyle w:val="Heading2"/>
      </w:pPr>
      <w:r>
        <w:t>DOE_21 (E = 2.0 kPa, R² = -4.121, Δφ_f = 0.0771)</w:t>
      </w:r>
    </w:p>
    <w:p>
      <w:pPr>
        <w:spacing w:before="80" w:after="20"/>
        <w:jc w:val="center"/>
      </w:pPr>
      <w:r>
        <w:drawing>
          <wp:inline xmlns:a="http://schemas.openxmlformats.org/drawingml/2006/main" xmlns:pic="http://schemas.openxmlformats.org/drawingml/2006/picture">
            <wp:extent cx="5029200" cy="3140561"/>
            <wp:docPr id="99" name="Picture 99"/>
            <wp:cNvGraphicFramePr>
              <a:graphicFrameLocks noChangeAspect="1"/>
            </wp:cNvGraphicFramePr>
            <a:graphic>
              <a:graphicData uri="http://schemas.openxmlformats.org/drawingml/2006/picture">
                <pic:pic>
                  <pic:nvPicPr>
                    <pic:cNvPr id="0" name="compaction_fit.png"/>
                    <pic:cNvPicPr/>
                  </pic:nvPicPr>
                  <pic:blipFill>
                    <a:blip r:embed="rId100"/>
                    <a:stretch>
                      <a:fillRect/>
                    </a:stretch>
                  </pic:blipFill>
                  <pic:spPr>
                    <a:xfrm>
                      <a:off x="0" y="0"/>
                      <a:ext cx="5029200" cy="3140561"/>
                    </a:xfrm>
                    <a:prstGeom prst="rect"/>
                  </pic:spPr>
                </pic:pic>
              </a:graphicData>
            </a:graphic>
          </wp:inline>
        </w:drawing>
      </w:r>
    </w:p>
    <w:p>
      <w:pPr>
        <w:spacing w:after="120"/>
        <w:jc w:val="center"/>
      </w:pPr>
      <w:r>
        <w:rPr>
          <w:i/>
          <w:color w:val="505050"/>
          <w:sz w:val="18"/>
        </w:rPr>
        <w:t>Figure 99. DOE_21 -- (a) Compaction fit.</w:t>
      </w:r>
    </w:p>
    <w:p>
      <w:pPr>
        <w:spacing w:before="80" w:after="20"/>
        <w:jc w:val="center"/>
      </w:pPr>
      <w:r>
        <w:drawing>
          <wp:inline xmlns:a="http://schemas.openxmlformats.org/drawingml/2006/main" xmlns:pic="http://schemas.openxmlformats.org/drawingml/2006/picture">
            <wp:extent cx="5029200" cy="3105021"/>
            <wp:docPr id="100" name="Picture 100"/>
            <wp:cNvGraphicFramePr>
              <a:graphicFrameLocks noChangeAspect="1"/>
            </wp:cNvGraphicFramePr>
            <a:graphic>
              <a:graphicData uri="http://schemas.openxmlformats.org/drawingml/2006/picture">
                <pic:pic>
                  <pic:nvPicPr>
                    <pic:cNvPr id="0" name="phase_evolution.png"/>
                    <pic:cNvPicPr/>
                  </pic:nvPicPr>
                  <pic:blipFill>
                    <a:blip r:embed="rId101"/>
                    <a:stretch>
                      <a:fillRect/>
                    </a:stretch>
                  </pic:blipFill>
                  <pic:spPr>
                    <a:xfrm>
                      <a:off x="0" y="0"/>
                      <a:ext cx="5029200" cy="3105021"/>
                    </a:xfrm>
                    <a:prstGeom prst="rect"/>
                  </pic:spPr>
                </pic:pic>
              </a:graphicData>
            </a:graphic>
          </wp:inline>
        </w:drawing>
      </w:r>
    </w:p>
    <w:p>
      <w:pPr>
        <w:spacing w:after="120"/>
        <w:jc w:val="center"/>
      </w:pPr>
      <w:r>
        <w:rPr>
          <w:i/>
          <w:color w:val="505050"/>
          <w:sz w:val="18"/>
        </w:rPr>
        <w:t>Figure 100. DOE_21 -- (b) Phase evolution.</w:t>
      </w:r>
    </w:p>
    <w:p>
      <w:pPr>
        <w:spacing w:before="80" w:after="20"/>
        <w:jc w:val="center"/>
      </w:pPr>
      <w:r>
        <w:drawing>
          <wp:inline xmlns:a="http://schemas.openxmlformats.org/drawingml/2006/main" xmlns:pic="http://schemas.openxmlformats.org/drawingml/2006/picture">
            <wp:extent cx="5029200" cy="2064203"/>
            <wp:docPr id="101" name="Picture 101"/>
            <wp:cNvGraphicFramePr>
              <a:graphicFrameLocks noChangeAspect="1"/>
            </wp:cNvGraphicFramePr>
            <a:graphic>
              <a:graphicData uri="http://schemas.openxmlformats.org/drawingml/2006/picture">
                <pic:pic>
                  <pic:nvPicPr>
                    <pic:cNvPr id="0" name="permeability_evolution.png"/>
                    <pic:cNvPicPr/>
                  </pic:nvPicPr>
                  <pic:blipFill>
                    <a:blip r:embed="rId102"/>
                    <a:stretch>
                      <a:fillRect/>
                    </a:stretch>
                  </pic:blipFill>
                  <pic:spPr>
                    <a:xfrm>
                      <a:off x="0" y="0"/>
                      <a:ext cx="5029200" cy="2064203"/>
                    </a:xfrm>
                    <a:prstGeom prst="rect"/>
                  </pic:spPr>
                </pic:pic>
              </a:graphicData>
            </a:graphic>
          </wp:inline>
        </w:drawing>
      </w:r>
    </w:p>
    <w:p>
      <w:pPr>
        <w:spacing w:after="120"/>
        <w:jc w:val="center"/>
      </w:pPr>
      <w:r>
        <w:rPr>
          <w:i/>
          <w:color w:val="505050"/>
          <w:sz w:val="18"/>
        </w:rPr>
        <w:t>Figure 101. DOE_21 -- (c) Permeability evolution.</w:t>
      </w:r>
    </w:p>
    <w:p>
      <w:pPr>
        <w:spacing w:before="80" w:after="20"/>
        <w:jc w:val="center"/>
      </w:pPr>
      <w:r>
        <w:drawing>
          <wp:inline xmlns:a="http://schemas.openxmlformats.org/drawingml/2006/main" xmlns:pic="http://schemas.openxmlformats.org/drawingml/2006/picture">
            <wp:extent cx="5029200" cy="3112909"/>
            <wp:docPr id="102" name="Picture 102"/>
            <wp:cNvGraphicFramePr>
              <a:graphicFrameLocks noChangeAspect="1"/>
            </wp:cNvGraphicFramePr>
            <a:graphic>
              <a:graphicData uri="http://schemas.openxmlformats.org/drawingml/2006/picture">
                <pic:pic>
                  <pic:nvPicPr>
                    <pic:cNvPr id="0" name="stress_balance.png"/>
                    <pic:cNvPicPr/>
                  </pic:nvPicPr>
                  <pic:blipFill>
                    <a:blip r:embed="rId103"/>
                    <a:stretch>
                      <a:fillRect/>
                    </a:stretch>
                  </pic:blipFill>
                  <pic:spPr>
                    <a:xfrm>
                      <a:off x="0" y="0"/>
                      <a:ext cx="5029200" cy="3112909"/>
                    </a:xfrm>
                    <a:prstGeom prst="rect"/>
                  </pic:spPr>
                </pic:pic>
              </a:graphicData>
            </a:graphic>
          </wp:inline>
        </w:drawing>
      </w:r>
    </w:p>
    <w:p>
      <w:pPr>
        <w:spacing w:after="120"/>
        <w:jc w:val="center"/>
      </w:pPr>
      <w:r>
        <w:rPr>
          <w:i/>
          <w:color w:val="505050"/>
          <w:sz w:val="18"/>
        </w:rPr>
        <w:t>Figure 102. DOE_21 -- (d) Stress balance.</w:t>
      </w:r>
    </w:p>
    <w:p>
      <w:pPr>
        <w:pStyle w:val="Heading2"/>
      </w:pPr>
      <w:r>
        <w:t>DOE_22 (E = 50.0 kPa, R² = 0.200, Δφ_f = -0.0613)</w:t>
      </w:r>
    </w:p>
    <w:p>
      <w:pPr>
        <w:spacing w:before="80" w:after="20"/>
        <w:jc w:val="center"/>
      </w:pPr>
      <w:r>
        <w:drawing>
          <wp:inline xmlns:a="http://schemas.openxmlformats.org/drawingml/2006/main" xmlns:pic="http://schemas.openxmlformats.org/drawingml/2006/picture">
            <wp:extent cx="5029200" cy="3140561"/>
            <wp:docPr id="103" name="Picture 103"/>
            <wp:cNvGraphicFramePr>
              <a:graphicFrameLocks noChangeAspect="1"/>
            </wp:cNvGraphicFramePr>
            <a:graphic>
              <a:graphicData uri="http://schemas.openxmlformats.org/drawingml/2006/picture">
                <pic:pic>
                  <pic:nvPicPr>
                    <pic:cNvPr id="0" name="compaction_fit.png"/>
                    <pic:cNvPicPr/>
                  </pic:nvPicPr>
                  <pic:blipFill>
                    <a:blip r:embed="rId10"/>
                    <a:stretch>
                      <a:fillRect/>
                    </a:stretch>
                  </pic:blipFill>
                  <pic:spPr>
                    <a:xfrm>
                      <a:off x="0" y="0"/>
                      <a:ext cx="5029200" cy="3140561"/>
                    </a:xfrm>
                    <a:prstGeom prst="rect"/>
                  </pic:spPr>
                </pic:pic>
              </a:graphicData>
            </a:graphic>
          </wp:inline>
        </w:drawing>
      </w:r>
    </w:p>
    <w:p>
      <w:pPr>
        <w:spacing w:after="120"/>
        <w:jc w:val="center"/>
      </w:pPr>
      <w:r>
        <w:rPr>
          <w:i/>
          <w:color w:val="505050"/>
          <w:sz w:val="18"/>
        </w:rPr>
        <w:t>Figure 103. DOE_22 -- (a) Compaction fit.</w:t>
      </w:r>
    </w:p>
    <w:p>
      <w:pPr>
        <w:spacing w:before="80" w:after="20"/>
        <w:jc w:val="center"/>
      </w:pPr>
      <w:r>
        <w:drawing>
          <wp:inline xmlns:a="http://schemas.openxmlformats.org/drawingml/2006/main" xmlns:pic="http://schemas.openxmlformats.org/drawingml/2006/picture">
            <wp:extent cx="5029200" cy="3105021"/>
            <wp:docPr id="104" name="Picture 104"/>
            <wp:cNvGraphicFramePr>
              <a:graphicFrameLocks noChangeAspect="1"/>
            </wp:cNvGraphicFramePr>
            <a:graphic>
              <a:graphicData uri="http://schemas.openxmlformats.org/drawingml/2006/picture">
                <pic:pic>
                  <pic:nvPicPr>
                    <pic:cNvPr id="0" name="phase_evolution.png"/>
                    <pic:cNvPicPr/>
                  </pic:nvPicPr>
                  <pic:blipFill>
                    <a:blip r:embed="rId104"/>
                    <a:stretch>
                      <a:fillRect/>
                    </a:stretch>
                  </pic:blipFill>
                  <pic:spPr>
                    <a:xfrm>
                      <a:off x="0" y="0"/>
                      <a:ext cx="5029200" cy="3105021"/>
                    </a:xfrm>
                    <a:prstGeom prst="rect"/>
                  </pic:spPr>
                </pic:pic>
              </a:graphicData>
            </a:graphic>
          </wp:inline>
        </w:drawing>
      </w:r>
    </w:p>
    <w:p>
      <w:pPr>
        <w:spacing w:after="120"/>
        <w:jc w:val="center"/>
      </w:pPr>
      <w:r>
        <w:rPr>
          <w:i/>
          <w:color w:val="505050"/>
          <w:sz w:val="18"/>
        </w:rPr>
        <w:t>Figure 104. DOE_22 -- (b) Phase evolution.</w:t>
      </w:r>
    </w:p>
    <w:p>
      <w:pPr>
        <w:spacing w:before="80" w:after="20"/>
        <w:jc w:val="center"/>
      </w:pPr>
      <w:r>
        <w:drawing>
          <wp:inline xmlns:a="http://schemas.openxmlformats.org/drawingml/2006/main" xmlns:pic="http://schemas.openxmlformats.org/drawingml/2006/picture">
            <wp:extent cx="5029200" cy="2065362"/>
            <wp:docPr id="105" name="Picture 105"/>
            <wp:cNvGraphicFramePr>
              <a:graphicFrameLocks noChangeAspect="1"/>
            </wp:cNvGraphicFramePr>
            <a:graphic>
              <a:graphicData uri="http://schemas.openxmlformats.org/drawingml/2006/picture">
                <pic:pic>
                  <pic:nvPicPr>
                    <pic:cNvPr id="0" name="permeability_evolution.png"/>
                    <pic:cNvPicPr/>
                  </pic:nvPicPr>
                  <pic:blipFill>
                    <a:blip r:embed="rId105"/>
                    <a:stretch>
                      <a:fillRect/>
                    </a:stretch>
                  </pic:blipFill>
                  <pic:spPr>
                    <a:xfrm>
                      <a:off x="0" y="0"/>
                      <a:ext cx="5029200" cy="2065362"/>
                    </a:xfrm>
                    <a:prstGeom prst="rect"/>
                  </pic:spPr>
                </pic:pic>
              </a:graphicData>
            </a:graphic>
          </wp:inline>
        </w:drawing>
      </w:r>
    </w:p>
    <w:p>
      <w:pPr>
        <w:spacing w:after="120"/>
        <w:jc w:val="center"/>
      </w:pPr>
      <w:r>
        <w:rPr>
          <w:i/>
          <w:color w:val="505050"/>
          <w:sz w:val="18"/>
        </w:rPr>
        <w:t>Figure 105. DOE_22 -- (c) Permeability evolution.</w:t>
      </w:r>
    </w:p>
    <w:p>
      <w:pPr>
        <w:spacing w:before="80" w:after="20"/>
        <w:jc w:val="center"/>
      </w:pPr>
      <w:r>
        <w:drawing>
          <wp:inline xmlns:a="http://schemas.openxmlformats.org/drawingml/2006/main" xmlns:pic="http://schemas.openxmlformats.org/drawingml/2006/picture">
            <wp:extent cx="5029200" cy="3112909"/>
            <wp:docPr id="106" name="Picture 106"/>
            <wp:cNvGraphicFramePr>
              <a:graphicFrameLocks noChangeAspect="1"/>
            </wp:cNvGraphicFramePr>
            <a:graphic>
              <a:graphicData uri="http://schemas.openxmlformats.org/drawingml/2006/picture">
                <pic:pic>
                  <pic:nvPicPr>
                    <pic:cNvPr id="0" name="stress_balance.png"/>
                    <pic:cNvPicPr/>
                  </pic:nvPicPr>
                  <pic:blipFill>
                    <a:blip r:embed="rId106"/>
                    <a:stretch>
                      <a:fillRect/>
                    </a:stretch>
                  </pic:blipFill>
                  <pic:spPr>
                    <a:xfrm>
                      <a:off x="0" y="0"/>
                      <a:ext cx="5029200" cy="3112909"/>
                    </a:xfrm>
                    <a:prstGeom prst="rect"/>
                  </pic:spPr>
                </pic:pic>
              </a:graphicData>
            </a:graphic>
          </wp:inline>
        </w:drawing>
      </w:r>
    </w:p>
    <w:p>
      <w:pPr>
        <w:spacing w:after="120"/>
        <w:jc w:val="center"/>
      </w:pPr>
      <w:r>
        <w:rPr>
          <w:i/>
          <w:color w:val="505050"/>
          <w:sz w:val="18"/>
        </w:rPr>
        <w:t>Figure 106. DOE_22 -- (d) Stress balance.</w:t>
      </w:r>
    </w:p>
    <w:p>
      <w:pPr>
        <w:pStyle w:val="Heading2"/>
      </w:pPr>
      <w:r>
        <w:t>DOE_23 (E = 2.0 kPa, R² = -3.845, Δφ_f = 0.0135)</w:t>
      </w:r>
    </w:p>
    <w:p>
      <w:pPr>
        <w:spacing w:before="80" w:after="20"/>
        <w:jc w:val="center"/>
      </w:pPr>
      <w:r>
        <w:drawing>
          <wp:inline xmlns:a="http://schemas.openxmlformats.org/drawingml/2006/main" xmlns:pic="http://schemas.openxmlformats.org/drawingml/2006/picture">
            <wp:extent cx="5029200" cy="3178629"/>
            <wp:docPr id="107" name="Picture 107"/>
            <wp:cNvGraphicFramePr>
              <a:graphicFrameLocks noChangeAspect="1"/>
            </wp:cNvGraphicFramePr>
            <a:graphic>
              <a:graphicData uri="http://schemas.openxmlformats.org/drawingml/2006/picture">
                <pic:pic>
                  <pic:nvPicPr>
                    <pic:cNvPr id="0" name="compaction_fit.png"/>
                    <pic:cNvPicPr/>
                  </pic:nvPicPr>
                  <pic:blipFill>
                    <a:blip r:embed="rId107"/>
                    <a:stretch>
                      <a:fillRect/>
                    </a:stretch>
                  </pic:blipFill>
                  <pic:spPr>
                    <a:xfrm>
                      <a:off x="0" y="0"/>
                      <a:ext cx="5029200" cy="3178629"/>
                    </a:xfrm>
                    <a:prstGeom prst="rect"/>
                  </pic:spPr>
                </pic:pic>
              </a:graphicData>
            </a:graphic>
          </wp:inline>
        </w:drawing>
      </w:r>
    </w:p>
    <w:p>
      <w:pPr>
        <w:spacing w:after="120"/>
        <w:jc w:val="center"/>
      </w:pPr>
      <w:r>
        <w:rPr>
          <w:i/>
          <w:color w:val="505050"/>
          <w:sz w:val="18"/>
        </w:rPr>
        <w:t>Figure 107. DOE_23 -- (a) Compaction fit.</w:t>
      </w:r>
    </w:p>
    <w:p>
      <w:pPr>
        <w:spacing w:before="80" w:after="20"/>
        <w:jc w:val="center"/>
      </w:pPr>
      <w:r>
        <w:drawing>
          <wp:inline xmlns:a="http://schemas.openxmlformats.org/drawingml/2006/main" xmlns:pic="http://schemas.openxmlformats.org/drawingml/2006/picture">
            <wp:extent cx="5029200" cy="3105021"/>
            <wp:docPr id="108" name="Picture 108"/>
            <wp:cNvGraphicFramePr>
              <a:graphicFrameLocks noChangeAspect="1"/>
            </wp:cNvGraphicFramePr>
            <a:graphic>
              <a:graphicData uri="http://schemas.openxmlformats.org/drawingml/2006/picture">
                <pic:pic>
                  <pic:nvPicPr>
                    <pic:cNvPr id="0" name="phase_evolution.png"/>
                    <pic:cNvPicPr/>
                  </pic:nvPicPr>
                  <pic:blipFill>
                    <a:blip r:embed="rId108"/>
                    <a:stretch>
                      <a:fillRect/>
                    </a:stretch>
                  </pic:blipFill>
                  <pic:spPr>
                    <a:xfrm>
                      <a:off x="0" y="0"/>
                      <a:ext cx="5029200" cy="3105021"/>
                    </a:xfrm>
                    <a:prstGeom prst="rect"/>
                  </pic:spPr>
                </pic:pic>
              </a:graphicData>
            </a:graphic>
          </wp:inline>
        </w:drawing>
      </w:r>
    </w:p>
    <w:p>
      <w:pPr>
        <w:spacing w:after="120"/>
        <w:jc w:val="center"/>
      </w:pPr>
      <w:r>
        <w:rPr>
          <w:i/>
          <w:color w:val="505050"/>
          <w:sz w:val="18"/>
        </w:rPr>
        <w:t>Figure 108. DOE_23 -- (b) Phase evolution.</w:t>
      </w:r>
    </w:p>
    <w:p>
      <w:pPr>
        <w:spacing w:before="80" w:after="20"/>
        <w:jc w:val="center"/>
      </w:pPr>
      <w:r>
        <w:drawing>
          <wp:inline xmlns:a="http://schemas.openxmlformats.org/drawingml/2006/main" xmlns:pic="http://schemas.openxmlformats.org/drawingml/2006/picture">
            <wp:extent cx="5029200" cy="2064203"/>
            <wp:docPr id="109" name="Picture 109"/>
            <wp:cNvGraphicFramePr>
              <a:graphicFrameLocks noChangeAspect="1"/>
            </wp:cNvGraphicFramePr>
            <a:graphic>
              <a:graphicData uri="http://schemas.openxmlformats.org/drawingml/2006/picture">
                <pic:pic>
                  <pic:nvPicPr>
                    <pic:cNvPr id="0" name="permeability_evolution.png"/>
                    <pic:cNvPicPr/>
                  </pic:nvPicPr>
                  <pic:blipFill>
                    <a:blip r:embed="rId109"/>
                    <a:stretch>
                      <a:fillRect/>
                    </a:stretch>
                  </pic:blipFill>
                  <pic:spPr>
                    <a:xfrm>
                      <a:off x="0" y="0"/>
                      <a:ext cx="5029200" cy="2064203"/>
                    </a:xfrm>
                    <a:prstGeom prst="rect"/>
                  </pic:spPr>
                </pic:pic>
              </a:graphicData>
            </a:graphic>
          </wp:inline>
        </w:drawing>
      </w:r>
    </w:p>
    <w:p>
      <w:pPr>
        <w:spacing w:after="120"/>
        <w:jc w:val="center"/>
      </w:pPr>
      <w:r>
        <w:rPr>
          <w:i/>
          <w:color w:val="505050"/>
          <w:sz w:val="18"/>
        </w:rPr>
        <w:t>Figure 109. DOE_23 -- (c) Permeability evolution.</w:t>
      </w:r>
    </w:p>
    <w:p>
      <w:pPr>
        <w:spacing w:before="80" w:after="20"/>
        <w:jc w:val="center"/>
      </w:pPr>
      <w:r>
        <w:drawing>
          <wp:inline xmlns:a="http://schemas.openxmlformats.org/drawingml/2006/main" xmlns:pic="http://schemas.openxmlformats.org/drawingml/2006/picture">
            <wp:extent cx="5029200" cy="3112909"/>
            <wp:docPr id="110" name="Picture 110"/>
            <wp:cNvGraphicFramePr>
              <a:graphicFrameLocks noChangeAspect="1"/>
            </wp:cNvGraphicFramePr>
            <a:graphic>
              <a:graphicData uri="http://schemas.openxmlformats.org/drawingml/2006/picture">
                <pic:pic>
                  <pic:nvPicPr>
                    <pic:cNvPr id="0" name="stress_balance.png"/>
                    <pic:cNvPicPr/>
                  </pic:nvPicPr>
                  <pic:blipFill>
                    <a:blip r:embed="rId110"/>
                    <a:stretch>
                      <a:fillRect/>
                    </a:stretch>
                  </pic:blipFill>
                  <pic:spPr>
                    <a:xfrm>
                      <a:off x="0" y="0"/>
                      <a:ext cx="5029200" cy="3112909"/>
                    </a:xfrm>
                    <a:prstGeom prst="rect"/>
                  </pic:spPr>
                </pic:pic>
              </a:graphicData>
            </a:graphic>
          </wp:inline>
        </w:drawing>
      </w:r>
    </w:p>
    <w:p>
      <w:pPr>
        <w:spacing w:after="120"/>
        <w:jc w:val="center"/>
      </w:pPr>
      <w:r>
        <w:rPr>
          <w:i/>
          <w:color w:val="505050"/>
          <w:sz w:val="18"/>
        </w:rPr>
        <w:t>Figure 110. DOE_23 -- (d) Stress balance.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360" w:after="0"/>
      <w:outlineLvl w:val="1"/>
    </w:pPr>
    <w:rPr>
      <w:rFonts w:asciiTheme="majorHAnsi" w:eastAsiaTheme="majorEastAsia" w:hAnsiTheme="majorHAnsi" w:cstheme="majorBidi" w:ascii="Calibri" w:hAnsi="Calibri"/>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Calibri" w:hAnsi="Calibri"/>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