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52"/>
          <w:szCs w:val="52"/>
        </w:rPr>
        <w:t xml:space="preserve">Immunofluorescence Panel Design Software</w:t>
      </w:r>
    </w:p>
    <w:p>
      <w:pPr>
        <w:spacing w:after="200" w:before="0"/>
        <w:jc w:val="center"/>
      </w:pPr>
      <w:r>
        <w:rPr>
          <w:rFonts w:ascii="Arial" w:cs="Arial" w:eastAsia="Arial" w:hAnsi="Arial"/>
          <w:color w:val="2563EB"/>
          <w:sz w:val="30"/>
          <w:szCs w:val="30"/>
        </w:rPr>
        <w:t xml:space="preserve">Comprehensive Background Knowledge &amp; Technical Reference</w:t>
      </w:r>
    </w:p>
    <w:p>
      <w:pPr>
        <w:spacing w:after="600" w:before="0"/>
        <w:jc w:val="center"/>
      </w:pPr>
      <w:r>
        <w:rPr>
          <w:rFonts w:ascii="Arial" w:cs="Arial" w:eastAsia="Arial" w:hAnsi="Arial"/>
          <w:i/>
          <w:iCs/>
          <w:color w:val="6B7280"/>
          <w:sz w:val="20"/>
          <w:szCs w:val="20"/>
        </w:rPr>
        <w:t xml:space="preserve">A complete guide for software developers implementing a fluorescent panel design,
antibody inventory management, pricing integration, and protocol generation system.</w:t>
      </w:r>
    </w:p>
    <w:p>
      <w:pPr>
        <w:pBdr>
          <w:bottom w:val="single" w:color="2563EB" w:sz="4" w:space="1"/>
        </w:pBdr>
        <w:spacing w:after="160" w:before="160"/>
      </w:pPr>
      <w:r>
        <w:t xml:space="preserve"/>
      </w:r>
    </w:p>
    <w:p>
      <w:pPr>
        <w:spacing w:after="240" w:before="0"/>
      </w:pPr>
      <w:r>
        <w:t xml:space="preserve"/>
      </w:r>
    </w:p>
    <w:p>
      <w:pPr>
        <w:pStyle w:val="Heading1"/>
        <w:spacing w:after="160" w:before="400"/>
      </w:pPr>
      <w:r>
        <w:rPr>
          <w:rFonts w:ascii="Arial" w:cs="Arial" w:eastAsia="Arial" w:hAnsi="Arial"/>
          <w:b/>
          <w:bCs/>
          <w:color w:val="1E3A5F"/>
          <w:sz w:val="32"/>
          <w:szCs w:val="32"/>
        </w:rPr>
        <w:t xml:space="preserve">1. Fundamentals of Immunofluorescence</w:t>
      </w:r>
    </w:p>
    <w:p>
      <w:pPr>
        <w:spacing w:after="120" w:before="80"/>
      </w:pPr>
      <w:r>
        <w:rPr>
          <w:rFonts w:ascii="Arial" w:cs="Arial" w:eastAsia="Arial" w:hAnsi="Arial"/>
          <w:sz w:val="20"/>
          <w:szCs w:val="20"/>
        </w:rPr>
        <w:t xml:space="preserve">Immunofluorescence (IF) is a technique that uses antibodies conjugated to fluorescent molecules (fluorophores) to detect the presence, location, and abundance of target proteins, nucleic acids, or other antigens in biological samples. Understanding its core principles is essential to building software that designs valid, scientifically sound experiments.</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1.1  How Immunofluorescence Works</w:t>
      </w:r>
    </w:p>
    <w:p>
      <w:pPr>
        <w:spacing w:after="120" w:before="80"/>
      </w:pPr>
      <w:r>
        <w:rPr>
          <w:rFonts w:ascii="Arial" w:cs="Arial" w:eastAsia="Arial" w:hAnsi="Arial"/>
          <w:sz w:val="20"/>
          <w:szCs w:val="20"/>
        </w:rPr>
        <w:t xml:space="preserve">The technique relies on the lock-and-key specificity of antibodies for their target antigens. A primary antibody binds to the target protein of interest. A secondary antibody — or a directly conjugated primary — carries a fluorophore that emits light when excited by a laser or lamp of a specific wavelength. A detector or camera captures that emitted light in a defined spectral window (channel), producing an image or signal intensity value.</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1.2  Types of IF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800"/>
        <w:gridCol w:w="1500"/>
        <w:gridCol w:w="2560"/>
      </w:tblGrid>
      <w:tr>
        <w:trPr>
          <w:tblHeader/>
        </w:trPr>
        <w:tc>
          <w:tcPr>
            <w:tcW w:type="dxa" w:w="2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Experiment 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Abbreviation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Sample Type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Fixation</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Consideration</w:t>
            </w:r>
          </w:p>
        </w:tc>
      </w:tr>
      <w:tr>
        <w:tc>
          <w:tcPr>
            <w:tcW w:type="dxa" w:w="2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Immunohistochemistry-Fluorescence</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IHC-IF</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FFPE tissue sections</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Formalin/paraffin</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Antigen retrieval required</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Immunocytochemistry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ICC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Fixed cells on slides/plates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PFA, methanol, acetone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Permeabilization controls critical</w:t>
            </w:r>
          </w:p>
        </w:tc>
      </w:tr>
      <w:tr>
        <w:tc>
          <w:tcPr>
            <w:tcW w:type="dxa" w:w="2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Immunofluorescence (live)</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Live IF</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Live cells</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None</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Only surface targets; antibody must be non-toxic</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Flow Cytometry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FC / FACS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Cells in suspension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Optional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Single-cell quantification; compensation essential</w:t>
            </w:r>
          </w:p>
        </w:tc>
      </w:tr>
      <w:tr>
        <w:tc>
          <w:tcPr>
            <w:tcW w:type="dxa" w:w="2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Multiplex IF</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mIF</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Tissue sections</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FFPE</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Sequential staining, spectral unmixing required</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Proximity Ligation Assay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Fixed cells/tissue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PFA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Detects protein-protein interactions</w:t>
            </w:r>
          </w:p>
        </w:tc>
      </w:tr>
      <w:tr>
        <w:tc>
          <w:tcPr>
            <w:tcW w:type="dxa" w:w="2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CHIP-IF (CUT&amp;RUN)</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Epigenetic IF</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Fixed cells</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Light PFA</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Chromatin targets; specialized buffers</w:t>
            </w:r>
          </w:p>
        </w:tc>
      </w:tr>
    </w:tbl>
    <w:p>
      <w:pPr>
        <w:spacing w:after="240" w:before="0"/>
      </w:pPr>
      <w:r>
        <w:t xml:space="preserve"/>
      </w:r>
    </w:p>
    <w:p>
      <w:pPr>
        <w:pStyle w:val="Heading2"/>
        <w:spacing w:after="120" w:before="320"/>
      </w:pPr>
      <w:r>
        <w:rPr>
          <w:rFonts w:ascii="Arial" w:cs="Arial" w:eastAsia="Arial" w:hAnsi="Arial"/>
          <w:b/>
          <w:bCs/>
          <w:color w:val="2563EB"/>
          <w:sz w:val="26"/>
          <w:szCs w:val="26"/>
        </w:rPr>
        <w:t xml:space="preserve">1.3  Direct vs. Indirect Labeling</w:t>
      </w:r>
    </w:p>
    <w:p>
      <w:pPr>
        <w:spacing w:after="120" w:before="80"/>
      </w:pPr>
      <w:r>
        <w:rPr>
          <w:rFonts w:ascii="Arial" w:cs="Arial" w:eastAsia="Arial" w:hAnsi="Arial"/>
          <w:sz w:val="20"/>
          <w:szCs w:val="20"/>
        </w:rPr>
        <w:t xml:space="preserve">Direct labeling uses a primary antibody already conjugated to a fluorophore. It is faster but less sensitive. Indirect labeling uses an unlabeled primary antibody followed by a fluorophore-conjugated secondary antibody. The secondary amplifies the signal because multiple secondaries can bind one primary. Most multiplex panels use a combination of direct and indirect approaches to avoid cross-reactivity between secondary antibodies.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KEY RULE</w:t>
            </w:r>
          </w:p>
        </w:tc>
        <w:tc>
          <w:tcPr>
            <w:tcW w:type="dxa" w:w="78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When using two or more primary antibodies from the same host species (e.g., two mouse antibodies), you cannot use species-specific secondary antibodies simultaneously — they will cross-react. Solutions: use directly conjugated primaries, use isotype-specific secondaries, use Fab fragment secondaries, or stain sequentially.</w:t>
            </w:r>
          </w:p>
        </w:tc>
      </w:tr>
    </w:tbl>
    <w:p>
      <w:pPr>
        <w:spacing w:after="240" w:before="0"/>
      </w:pPr>
      <w:r>
        <w:t xml:space="preserve"/>
      </w:r>
    </w:p>
    <w:p>
      <w:pPr>
        <w:pStyle w:val="Heading1"/>
        <w:spacing w:after="160" w:before="400"/>
      </w:pPr>
      <w:r>
        <w:rPr>
          <w:rFonts w:ascii="Arial" w:cs="Arial" w:eastAsia="Arial" w:hAnsi="Arial"/>
          <w:b/>
          <w:bCs/>
          <w:color w:val="1E3A5F"/>
          <w:sz w:val="32"/>
          <w:szCs w:val="32"/>
        </w:rPr>
        <w:t xml:space="preserve">2. Antibody Biology for Software Design</w:t>
      </w:r>
    </w:p>
    <w:p>
      <w:pPr>
        <w:spacing w:after="120" w:before="80"/>
      </w:pPr>
      <w:r>
        <w:rPr>
          <w:rFonts w:ascii="Arial" w:cs="Arial" w:eastAsia="Arial" w:hAnsi="Arial"/>
          <w:sz w:val="20"/>
          <w:szCs w:val="20"/>
        </w:rPr>
        <w:t xml:space="preserve">The software must model antibodies with enough granularity to validate panel designs, enforce compatibility rules, and generate purchasing recommendations.</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2.1  Primary Antibody Attributes</w:t>
      </w:r>
    </w:p>
    <w:p>
      <w:pPr>
        <w:spacing w:after="120" w:before="80"/>
      </w:pPr>
      <w:r>
        <w:rPr>
          <w:rFonts w:ascii="Arial" w:cs="Arial" w:eastAsia="Arial" w:hAnsi="Arial"/>
          <w:sz w:val="20"/>
          <w:szCs w:val="20"/>
        </w:rPr>
        <w:t xml:space="preserve">Every primary antibody in the system should store or retrieve the following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Impact on Panel Design</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Target antigen</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The protein or molecule detected (e.g., CD3, Ki67, GFAP)</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Defines experimental 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Host species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Animal used to raise the antibody (mouse, rabbit, goat, rat, etc.)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Determines secondary antibody compatibility</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Isotype</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IgG, IgM, IgA; subclass e.g. IgG1, IgG2a, IgG2b</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Enables isotype-specific secondaries for same-species multiplexing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Clonality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Monoclonal (single epitope) vs. polyclonal (multiple epitopes)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Polyclonals offer higher sensitivity; monoclonals offer higher specificity</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Clone name</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e.g., EP7, 4B5, SP3</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Needed for reproducibility; some clones are validated for specific applications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Conjugate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Unconjugated, or directly conjugated fluorophore/enzyme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Determines if secondary is needed</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Validated applications</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WB, IHC, ICC, IF, FC, ELISA, ChIP, etc.</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Must match experiment type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Reactivity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Species the antibody recognizes (human, mouse, rat, etc.)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Must match sample species</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Dilution / concentration</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Recommended working dilution or titrated concentration</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Needed for protocol generation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Storage conditions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Temperature, light sensitivity, buffer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Affects in-house inventory tracking</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Catalog number / vendor</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Unique identifier per supplier</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For pricing lookups and purchasing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Lot number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Batch identifier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 reproducibility and troubleshooting</w:t>
            </w:r>
          </w:p>
        </w:tc>
      </w:tr>
    </w:tbl>
    <w:p>
      <w:pPr>
        <w:spacing w:after="240" w:before="0"/>
      </w:pPr>
      <w:r>
        <w:t xml:space="preserve"/>
      </w:r>
    </w:p>
    <w:p>
      <w:pPr>
        <w:pStyle w:val="Heading2"/>
        <w:spacing w:after="120" w:before="320"/>
      </w:pPr>
      <w:r>
        <w:rPr>
          <w:rFonts w:ascii="Arial" w:cs="Arial" w:eastAsia="Arial" w:hAnsi="Arial"/>
          <w:b/>
          <w:bCs/>
          <w:color w:val="2563EB"/>
          <w:sz w:val="26"/>
          <w:szCs w:val="26"/>
        </w:rPr>
        <w:t xml:space="preserve">2.2  Secondary Antibody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Target host</w:t>
            </w:r>
          </w:p>
        </w:tc>
        <w:tc>
          <w:tcPr>
            <w:tcW w:type="dxa" w:w="6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Host species of the primary it recognizes (anti-mouse, anti-rabbit,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Isotype specificity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Recognizes all IgG, or specific subclass (IgG1, IgG2a, etc.)</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Fragment type</w:t>
            </w:r>
          </w:p>
        </w:tc>
        <w:tc>
          <w:tcPr>
            <w:tcW w:type="dxa" w:w="6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Full IgG, F(ab')2, Fab — fragments reduce background and allow same-species multiplexing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Pre-adsorption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Cross-absorbed against other species to reduce non-specific binding</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Conjugated fluorophore</w:t>
            </w:r>
          </w:p>
        </w:tc>
        <w:tc>
          <w:tcPr>
            <w:tcW w:type="dxa" w:w="6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The fluorescent label attached to the secondary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Fluorophore excitation/emission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Peak wavelengths in nanometers</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Host species of secondary</w:t>
            </w:r>
          </w:p>
        </w:tc>
        <w:tc>
          <w:tcPr>
            <w:tcW w:type="dxa" w:w="6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E.g., donkey anti-mouse — donkey raised the secondary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Min. background cross-reactivity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Species cross-absorptions performed by manufacturer</w:t>
            </w:r>
          </w:p>
        </w:tc>
      </w:tr>
    </w:tbl>
    <w:p>
      <w:pPr>
        <w:spacing w:after="240" w:before="0"/>
      </w:pPr>
      <w:r>
        <w:t xml:space="preserve"/>
      </w:r>
    </w:p>
    <w:p>
      <w:pPr>
        <w:pStyle w:val="Heading2"/>
        <w:spacing w:after="120" w:before="320"/>
      </w:pPr>
      <w:r>
        <w:rPr>
          <w:rFonts w:ascii="Arial" w:cs="Arial" w:eastAsia="Arial" w:hAnsi="Arial"/>
          <w:b/>
          <w:bCs/>
          <w:color w:val="2563EB"/>
          <w:sz w:val="26"/>
          <w:szCs w:val="26"/>
        </w:rPr>
        <w:t xml:space="preserve">2.3  Antibody Validation Hierarchy</w:t>
      </w:r>
    </w:p>
    <w:p>
      <w:pPr>
        <w:spacing w:after="120" w:before="80"/>
      </w:pPr>
      <w:r>
        <w:rPr>
          <w:rFonts w:ascii="Arial" w:cs="Arial" w:eastAsia="Arial" w:hAnsi="Arial"/>
          <w:sz w:val="20"/>
          <w:szCs w:val="20"/>
        </w:rPr>
        <w:t xml:space="preserve">The software should tag antibodies with their validation level so researchers can make informed decisions. The International Working Group for Antibody Validation (IWGAV) defines 5 pillars:</w:t>
      </w:r>
    </w:p>
    <w:p>
      <w:pPr>
        <w:pStyle w:val="ListParagraph"/>
        <w:numPr>
          <w:ilvl w:val="0"/>
          <w:numId w:val="2"/>
        </w:numPr>
        <w:spacing w:after="40" w:before="40"/>
      </w:pPr>
      <w:r>
        <w:rPr>
          <w:rFonts w:ascii="Arial" w:cs="Arial" w:eastAsia="Arial" w:hAnsi="Arial"/>
          <w:sz w:val="20"/>
          <w:szCs w:val="20"/>
        </w:rPr>
        <w:t xml:space="preserve">Genetic strategies (knockout/knockdown validation) — gold standard</w:t>
      </w:r>
    </w:p>
    <w:p>
      <w:pPr>
        <w:pStyle w:val="ListParagraph"/>
        <w:numPr>
          <w:ilvl w:val="0"/>
          <w:numId w:val="2"/>
        </w:numPr>
        <w:spacing w:after="40" w:before="40"/>
      </w:pPr>
      <w:r>
        <w:rPr>
          <w:rFonts w:ascii="Arial" w:cs="Arial" w:eastAsia="Arial" w:hAnsi="Arial"/>
          <w:sz w:val="20"/>
          <w:szCs w:val="20"/>
        </w:rPr>
        <w:t xml:space="preserve">Orthogonal strategies (compare antibody result vs. mRNA expression)</w:t>
      </w:r>
    </w:p>
    <w:p>
      <w:pPr>
        <w:pStyle w:val="ListParagraph"/>
        <w:numPr>
          <w:ilvl w:val="0"/>
          <w:numId w:val="2"/>
        </w:numPr>
        <w:spacing w:after="40" w:before="40"/>
      </w:pPr>
      <w:r>
        <w:rPr>
          <w:rFonts w:ascii="Arial" w:cs="Arial" w:eastAsia="Arial" w:hAnsi="Arial"/>
          <w:sz w:val="20"/>
          <w:szCs w:val="20"/>
        </w:rPr>
        <w:t xml:space="preserve">Independent antibody strategies (two antibodies targeting different epitopes agree)</w:t>
      </w:r>
    </w:p>
    <w:p>
      <w:pPr>
        <w:pStyle w:val="ListParagraph"/>
        <w:numPr>
          <w:ilvl w:val="0"/>
          <w:numId w:val="2"/>
        </w:numPr>
        <w:spacing w:after="40" w:before="40"/>
      </w:pPr>
      <w:r>
        <w:rPr>
          <w:rFonts w:ascii="Arial" w:cs="Arial" w:eastAsia="Arial" w:hAnsi="Arial"/>
          <w:sz w:val="20"/>
          <w:szCs w:val="20"/>
        </w:rPr>
        <w:t xml:space="preserve">Expression of tagged proteins (GFP fusion confirms localization)</w:t>
      </w:r>
    </w:p>
    <w:p>
      <w:pPr>
        <w:pStyle w:val="ListParagraph"/>
        <w:numPr>
          <w:ilvl w:val="0"/>
          <w:numId w:val="2"/>
        </w:numPr>
        <w:spacing w:after="40" w:before="40"/>
      </w:pPr>
      <w:r>
        <w:rPr>
          <w:rFonts w:ascii="Arial" w:cs="Arial" w:eastAsia="Arial" w:hAnsi="Arial"/>
          <w:sz w:val="20"/>
          <w:szCs w:val="20"/>
        </w:rPr>
        <w:t xml:space="preserve">Immunocapture followed by mass spectrometry</w:t>
      </w:r>
    </w:p>
    <w:p>
      <w:pPr>
        <w:spacing w:after="120" w:before="0"/>
      </w:pPr>
      <w:r>
        <w:t xml:space="preserve"/>
      </w:r>
    </w:p>
    <w:p>
      <w:pPr>
        <w:pStyle w:val="Heading1"/>
        <w:spacing w:after="160" w:before="400"/>
      </w:pPr>
      <w:r>
        <w:rPr>
          <w:rFonts w:ascii="Arial" w:cs="Arial" w:eastAsia="Arial" w:hAnsi="Arial"/>
          <w:b/>
          <w:bCs/>
          <w:color w:val="1E3A5F"/>
          <w:sz w:val="32"/>
          <w:szCs w:val="32"/>
        </w:rPr>
        <w:t xml:space="preserve">3. Fluorophores: The Complete Reference</w:t>
      </w:r>
    </w:p>
    <w:p>
      <w:pPr>
        <w:spacing w:after="120" w:before="80"/>
      </w:pPr>
      <w:r>
        <w:rPr>
          <w:rFonts w:ascii="Arial" w:cs="Arial" w:eastAsia="Arial" w:hAnsi="Arial"/>
          <w:sz w:val="20"/>
          <w:szCs w:val="20"/>
        </w:rPr>
        <w:t xml:space="preserve">Fluorophores are the light-emitting molecules attached to antibodies. The software must model every commonly used fluorophore with spectral properties, laser compatibility, and instrument channel assignments. The choice of fluorophore determines which laser line excites it and which detector channel captures the emission.</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3.1  How Fluorescence Works (Physics Summary)</w:t>
      </w:r>
    </w:p>
    <w:p>
      <w:pPr>
        <w:spacing w:after="120" w:before="80"/>
      </w:pPr>
      <w:r>
        <w:rPr>
          <w:rFonts w:ascii="Arial" w:cs="Arial" w:eastAsia="Arial" w:hAnsi="Arial"/>
          <w:sz w:val="20"/>
          <w:szCs w:val="20"/>
        </w:rPr>
        <w:t xml:space="preserve">A fluorophore absorbs a photon at its excitation wavelength (the laser line), promotes an electron to a higher energy state, and then emits a photon at a longer wavelength (Stokes shift) when the electron returns to ground state. The difference between peak excitation and peak emission is the Stokes shift. Larger Stokes shifts make it easier to separate excitation from emission optically.</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3.2  Master Fluorophore Table</w:t>
      </w:r>
    </w:p>
    <w:p>
      <w:pPr>
        <w:spacing w:after="120" w:before="80"/>
      </w:pPr>
      <w:r>
        <w:rPr>
          <w:rFonts w:ascii="Arial" w:cs="Arial" w:eastAsia="Arial" w:hAnsi="Arial"/>
          <w:sz w:val="20"/>
          <w:szCs w:val="20"/>
        </w:rPr>
        <w:t xml:space="preserve">The following fluorophores should be stored in the software database as selectable options for panel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1500"/>
        <w:gridCol w:w="1400"/>
        <w:gridCol w:w="900"/>
        <w:gridCol w:w="21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Fluorophore</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 Peak (nm)</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Em Peak (nm)</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Laser Lines (nm)</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Common Channel</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Brightness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DAPI</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360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460</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355, 405</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Pacific Blue / V450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Nuclear stain — always used as counterstain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Hoechst 33342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461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355, 405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V450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Live-cell compatible nuclear stain</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Pacific Blue</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400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451</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405</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V450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Bright blue; good for low-abundance targets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BV421 (BioLegend)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421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V421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Very 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Polymer dye — brilliant violet family</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BV510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405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510</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405</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V510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Polymer tandem; check lot-to-lot consistency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BV605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605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V605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Orange emission excited by violet</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BV650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405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650</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405</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V650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Deep red from violet laser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BV711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711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V711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Near-IR from violet — minimal overlap with BV650</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BV786</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405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786</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405</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V786</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Very far red from violet laser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FITC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490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488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FITC / B530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Moderate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Photobleaches quickly; use for abundant targets</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Alexa Fluor 488</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495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519</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488</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B530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Very 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Bright, photostable upgrade to FITC</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GFP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488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488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B530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Moderate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Reporter — not used with anti-GFP in same channel</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PerCP</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482</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678</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488</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B695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Moderate</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Large Stokes shift; excited by blue laser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PerCP-Cy5.5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482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695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488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B695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Tandem; bright in far red from blue laser</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PE (R-Phycoerythrin)</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496/565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578</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488, 532, 561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PE / YG578</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Very 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Brightest traditional fluorophore; ideal for rare targets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PE-CF594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496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488, 532, 561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YG610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Tandem with narrow emission</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PE-Cy5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496</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667</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488, 532, 561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YG667</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Tandem — can degrade over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PE-Cy7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496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785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488, 532, 561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YG785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Very far red from blue/yellow-green; high spillover into IR</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7-AAD</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546</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647</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488, 532</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B/YG-Red</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Moderate</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Viability dye — only enters dead cells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Alexa Fluor 532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532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554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532, 561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YG561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Yellow-green laser optimized</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Alexa Fluor 555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555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565</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532, 561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YG580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Excellent for tissue imaging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Alexa Fluor 568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578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603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561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YG600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Orange emission — good Stokes shift</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TRITC</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550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570</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532, 561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YG570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Moderate</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Classic rhodamine derivative; photostable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mCherry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587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561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YG610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Moderate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Protein reporter; often used in live imaging</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Cy3</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550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570</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532, 561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YG570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Cyanine dye; excellent for tissue sections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Alexa Fluor 594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590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617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561, 594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YG617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Good separation from AF555 and AF647</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mOrange</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549</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562</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532, 561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YG562</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Moderate</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Fluorescent protein reporter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Alexa Fluor 633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632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647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633, 640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R660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 laser; good for low-abundance targets</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Alexa Fluor 647</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650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668</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633, 640, 647</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R670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Very 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Gold standard far-red; photostable; minimal bleed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Cy5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670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633, 640, 647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R670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Classic far-red cyanine; widely used</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Alexa Fluor 660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663</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690</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633, 640, 647</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R710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Slightly longer emission than AF647</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Alexa Fluor 700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702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633, 640, 680, 694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R720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Near-IR; excellent for tissue</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Alexa Fluor 750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749</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775</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730, 750</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IR780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Near-IR; requires 730nm+ laser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APC (Allophycocyanin)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660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633, 640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R660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Very 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Bright protein fluorophore; excellent for rare cells</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APC-Cy7</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650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785</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633, 640</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R785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Tandem; can degrade — check lot validity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APC-R700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633, 640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R720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BD Horizon tandem</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Cy7</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743</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767</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720, 730</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IR767</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Moderate</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Near-IR cyanine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IRDye 800CW</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778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794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730, 785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IR800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Used in Odyssey western — also IF</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SiR (Silicon Rhodamine)</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652</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674</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633, 640</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R680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Moderate</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Cell-permeable for live imaging; actin/tubulin probes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SPY dyes (Spirochrome)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Various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Various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Various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Various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Moderate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Live-cell compatible probes for cytoskeleton</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DRAQ5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646</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681</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633, 640</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R700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Moderate</w:t>
            </w:r>
          </w:p>
        </w:tc>
        <w:tc>
          <w:tcPr>
            <w:tcW w:type="dxa" w:w="2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Nuclear stain — live or fixed; far red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DRAQ7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599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694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488, 532, 561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R710 equiv</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Moderate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Viability dye — far red</w:t>
            </w:r>
          </w:p>
        </w:tc>
      </w:tr>
    </w:tbl>
    <w:p>
      <w:pPr>
        <w:spacing w:after="240" w:before="0"/>
      </w:pPr>
      <w:r>
        <w:t xml:space="preserve"/>
      </w:r>
    </w:p>
    <w:p>
      <w:pPr>
        <w:pStyle w:val="Heading2"/>
        <w:spacing w:after="120" w:before="320"/>
      </w:pPr>
      <w:r>
        <w:rPr>
          <w:rFonts w:ascii="Arial" w:cs="Arial" w:eastAsia="Arial" w:hAnsi="Arial"/>
          <w:b/>
          <w:bCs/>
          <w:color w:val="2563EB"/>
          <w:sz w:val="26"/>
          <w:szCs w:val="26"/>
        </w:rPr>
        <w:t xml:space="preserve">3.3  Tandem Dyes vs. Pure Fluorophores</w:t>
      </w:r>
    </w:p>
    <w:p>
      <w:pPr>
        <w:spacing w:after="120" w:before="80"/>
      </w:pPr>
      <w:r>
        <w:rPr>
          <w:rFonts w:ascii="Arial" w:cs="Arial" w:eastAsia="Arial" w:hAnsi="Arial"/>
          <w:sz w:val="20"/>
          <w:szCs w:val="20"/>
        </w:rPr>
        <w:t xml:space="preserve">Tandem dyes (e.g., PE-Cy7, APC-Cy7, BV605) consist of a donor fluorophore covalently linked to an acceptor dye via FRET (Fluorescence Resonance Energy Transfer). They are excited at one wavelength but emit at the acceptor's longer wavelength. They offer large Stokes shifts and access to spectral regions that native dyes cannot reach from a given laser. However, they have critical caveats the software must warn users about:</w:t>
      </w:r>
    </w:p>
    <w:p>
      <w:pPr>
        <w:pStyle w:val="ListParagraph"/>
        <w:numPr>
          <w:ilvl w:val="0"/>
          <w:numId w:val="2"/>
        </w:numPr>
        <w:spacing w:after="40" w:before="40"/>
      </w:pPr>
      <w:r>
        <w:rPr>
          <w:rFonts w:ascii="Arial" w:cs="Arial" w:eastAsia="Arial" w:hAnsi="Arial"/>
          <w:sz w:val="20"/>
          <w:szCs w:val="20"/>
        </w:rPr>
        <w:t xml:space="preserve">Lot-to-lot variability is higher — FRET efficiency can differ between batches</w:t>
      </w:r>
    </w:p>
    <w:p>
      <w:pPr>
        <w:pStyle w:val="ListParagraph"/>
        <w:numPr>
          <w:ilvl w:val="0"/>
          <w:numId w:val="2"/>
        </w:numPr>
        <w:spacing w:after="40" w:before="40"/>
      </w:pPr>
      <w:r>
        <w:rPr>
          <w:rFonts w:ascii="Arial" w:cs="Arial" w:eastAsia="Arial" w:hAnsi="Arial"/>
          <w:sz w:val="20"/>
          <w:szCs w:val="20"/>
        </w:rPr>
        <w:t xml:space="preserve">Incomplete energy transfer produces donor emission 'spectral spike' — adds to spillover</w:t>
      </w:r>
    </w:p>
    <w:p>
      <w:pPr>
        <w:pStyle w:val="ListParagraph"/>
        <w:numPr>
          <w:ilvl w:val="0"/>
          <w:numId w:val="2"/>
        </w:numPr>
        <w:spacing w:after="40" w:before="40"/>
      </w:pPr>
      <w:r>
        <w:rPr>
          <w:rFonts w:ascii="Arial" w:cs="Arial" w:eastAsia="Arial" w:hAnsi="Arial"/>
          <w:sz w:val="20"/>
          <w:szCs w:val="20"/>
        </w:rPr>
        <w:t xml:space="preserve">More sensitive to fixation protocols — some fixatives disrupt tandem structure</w:t>
      </w:r>
    </w:p>
    <w:p>
      <w:pPr>
        <w:pStyle w:val="ListParagraph"/>
        <w:numPr>
          <w:ilvl w:val="0"/>
          <w:numId w:val="2"/>
        </w:numPr>
        <w:spacing w:after="40" w:before="40"/>
      </w:pPr>
      <w:r>
        <w:rPr>
          <w:rFonts w:ascii="Arial" w:cs="Arial" w:eastAsia="Arial" w:hAnsi="Arial"/>
          <w:sz w:val="20"/>
          <w:szCs w:val="20"/>
        </w:rPr>
        <w:t xml:space="preserve">Cannot be mixed in the same tube before staining (dye-dye quenching)</w:t>
      </w:r>
    </w:p>
    <w:p>
      <w:pPr>
        <w:pStyle w:val="ListParagraph"/>
        <w:numPr>
          <w:ilvl w:val="0"/>
          <w:numId w:val="2"/>
        </w:numPr>
        <w:spacing w:after="40" w:before="40"/>
      </w:pPr>
      <w:r>
        <w:rPr>
          <w:rFonts w:ascii="Arial" w:cs="Arial" w:eastAsia="Arial" w:hAnsi="Arial"/>
          <w:sz w:val="20"/>
          <w:szCs w:val="20"/>
        </w:rPr>
        <w:t xml:space="preserve">Storage must be strictly at 4°C, protected from light, and never frozen</w:t>
      </w:r>
    </w:p>
    <w:p>
      <w:pPr>
        <w:spacing w:after="240" w:before="0"/>
      </w:pPr>
      <w:r>
        <w:t xml:space="preserve"/>
      </w:r>
    </w:p>
    <w:p>
      <w:pPr>
        <w:pStyle w:val="Heading2"/>
        <w:spacing w:after="120" w:before="320"/>
      </w:pPr>
      <w:r>
        <w:rPr>
          <w:rFonts w:ascii="Arial" w:cs="Arial" w:eastAsia="Arial" w:hAnsi="Arial"/>
          <w:b/>
          <w:bCs/>
          <w:color w:val="2563EB"/>
          <w:sz w:val="26"/>
          <w:szCs w:val="26"/>
        </w:rPr>
        <w:t xml:space="preserve">3.4  Brilliant Violet (BV) and Brilliant Blue (BB) Polymer Dyes</w:t>
      </w:r>
    </w:p>
    <w:p>
      <w:pPr>
        <w:spacing w:after="120" w:before="80"/>
      </w:pPr>
      <w:r>
        <w:rPr>
          <w:rFonts w:ascii="Arial" w:cs="Arial" w:eastAsia="Arial" w:hAnsi="Arial"/>
          <w:sz w:val="20"/>
          <w:szCs w:val="20"/>
        </w:rPr>
        <w:t xml:space="preserve">Brilliant Violet dyes (BioLegend) and BD Horizon dyes are polymer-based fluorophores excited by the 405nm violet laser. They fill a critical gap: many spectral positions between 421nm and 786nm that previously required expensive lasers can now be reached with a single violet laser. Software must enforce a critical rule with these dyes: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POLYMER DYE RULE</w:t>
            </w:r>
          </w:p>
        </w:tc>
        <w:tc>
          <w:tcPr>
            <w:tcW w:type="dxa" w:w="78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Brilliant Violet dyes MUST NOT be used in the same sample as other polymer dyes from different manufacturers (e.g., BD Horizon + BioLegend BV) without testing. Polymer-polymer interactions cause unpredictable FRET and false signals. Always use dyes from the same polymer family or add BD Horizon Brilliant Stain Buffer / BioLegend True-Stain Monocyte Blocker.</w:t>
            </w:r>
          </w:p>
        </w:tc>
      </w:tr>
    </w:tbl>
    <w:p>
      <w:pPr>
        <w:spacing w:after="240" w:before="0"/>
      </w:pPr>
      <w:r>
        <w:t xml:space="preserve"/>
      </w:r>
    </w:p>
    <w:p>
      <w:pPr>
        <w:pStyle w:val="Heading1"/>
        <w:spacing w:after="160" w:before="400"/>
      </w:pPr>
      <w:r>
        <w:rPr>
          <w:rFonts w:ascii="Arial" w:cs="Arial" w:eastAsia="Arial" w:hAnsi="Arial"/>
          <w:b/>
          <w:bCs/>
          <w:color w:val="1E3A5F"/>
          <w:sz w:val="32"/>
          <w:szCs w:val="32"/>
        </w:rPr>
        <w:t xml:space="preserve">4. Laser Lines, Instrument Channels &amp; Filter Sets</w:t>
      </w:r>
    </w:p>
    <w:p>
      <w:pPr>
        <w:spacing w:after="120" w:before="80"/>
      </w:pPr>
      <w:r>
        <w:rPr>
          <w:rFonts w:ascii="Arial" w:cs="Arial" w:eastAsia="Arial" w:hAnsi="Arial"/>
          <w:sz w:val="20"/>
          <w:szCs w:val="20"/>
        </w:rPr>
        <w:t xml:space="preserve">Every fluorophore must be matched to a laser line that sufficiently excites it and a detector channel (bandpass filter) that captures its emission peak. The software must model this relationship for any arbitrary instrument configuration.</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4.1  Common Laser Lines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51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Laser Wavelength</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Common Name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Fluorophores Excited</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355 nm</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UV</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UV laser</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DAPI, Hoechst, Pacific Orange, BUV395-805 series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405 nm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Violet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Violet laser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DAPI, Pacific Blue, BV421-786, Alexa Fluor 405</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445 nm</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Violet-Blue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Cobalt/Diode</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Cascade Blue, AmCyan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488 nm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Blue laser (Argon)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FITC, AF488, GFP, PE, PerCP, PerCP-Cy5.5, PI</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514 nm</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Cyan-Green</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Argon 514</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PE, YFP, mCitrine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532 nm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Green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Green DPSS laser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 TRITC, Cy3, AF532, AF555, mCherry</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561 nm</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Yellow-Green</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YG laser</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PE, TRITC, Cy3, AF555, AF568, mCherry, mOrange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594 nm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Orange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Orange He-Ne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AF594, mKate</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633 nm</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Red</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Red He-Ne</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APC, Cy5, AF633, AF647, AF660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638 nm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 laser diode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APC, Cy5, AF633, AF647</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640 nm</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Red</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Red laser diode</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APC, Cy5, AF647, AF660, SiR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647 nm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Krypton red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APC, Cy5, AF647</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660 nm</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Red</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Red diode</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AF660, AF700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680 nm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Red-NIR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NIR diode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AF700, PE-Cy5.5</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730 nm</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Near-IR</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NIR diode</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AF750, Cy7, APC-Cy7, IRDye 800CW</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750 nm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Near-IR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NIR laser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AF750, Cy7</w:t>
            </w:r>
          </w:p>
        </w:tc>
      </w:tr>
      <w:tr>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785 nm</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Near-IR</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NIR diode</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IRDye 800CW, AF790</w:t>
            </w:r>
          </w:p>
        </w:tc>
      </w:tr>
    </w:tbl>
    <w:p>
      <w:pPr>
        <w:spacing w:after="240" w:before="0"/>
      </w:pPr>
      <w:r>
        <w:t xml:space="preserve"/>
      </w:r>
    </w:p>
    <w:p>
      <w:pPr>
        <w:pStyle w:val="Heading2"/>
        <w:spacing w:after="120" w:before="320"/>
      </w:pPr>
      <w:r>
        <w:rPr>
          <w:rFonts w:ascii="Arial" w:cs="Arial" w:eastAsia="Arial" w:hAnsi="Arial"/>
          <w:b/>
          <w:bCs/>
          <w:color w:val="2563EB"/>
          <w:sz w:val="26"/>
          <w:szCs w:val="26"/>
        </w:rPr>
        <w:t xml:space="preserve">4.2  Detector Channel Naming Conventions</w:t>
      </w:r>
    </w:p>
    <w:p>
      <w:pPr>
        <w:spacing w:after="120" w:before="80"/>
      </w:pPr>
      <w:r>
        <w:rPr>
          <w:rFonts w:ascii="Arial" w:cs="Arial" w:eastAsia="Arial" w:hAnsi="Arial"/>
          <w:sz w:val="20"/>
          <w:szCs w:val="20"/>
        </w:rPr>
        <w:t xml:space="preserve">Different manufacturers name channels differently. The software should support multiple naming systems and allow the user to define their instrument's specific filter set configuration. Common naming conventions include:</w:t>
      </w:r>
    </w:p>
    <w:p>
      <w:pPr>
        <w:pStyle w:val="ListParagraph"/>
        <w:numPr>
          <w:ilvl w:val="0"/>
          <w:numId w:val="2"/>
        </w:numPr>
        <w:spacing w:after="40" w:before="40"/>
      </w:pPr>
      <w:r>
        <w:rPr>
          <w:rFonts w:ascii="Arial" w:cs="Arial" w:eastAsia="Arial" w:hAnsi="Arial"/>
          <w:sz w:val="20"/>
          <w:szCs w:val="20"/>
        </w:rPr>
        <w:t xml:space="preserve">BD (Becton Dickinson): Laser color prefix + emission filter (e.g., B530/30 = Blue laser, 530nm bandpass, 30nm width)</w:t>
      </w:r>
    </w:p>
    <w:p>
      <w:pPr>
        <w:pStyle w:val="ListParagraph"/>
        <w:numPr>
          <w:ilvl w:val="0"/>
          <w:numId w:val="2"/>
        </w:numPr>
        <w:spacing w:after="40" w:before="40"/>
      </w:pPr>
      <w:r>
        <w:rPr>
          <w:rFonts w:ascii="Arial" w:cs="Arial" w:eastAsia="Arial" w:hAnsi="Arial"/>
          <w:sz w:val="20"/>
          <w:szCs w:val="20"/>
        </w:rPr>
        <w:t xml:space="preserve">Beckman Coulter: Alphanumeric (e.g., FL1, FL2, FL3) or wavelength-based</w:t>
      </w:r>
    </w:p>
    <w:p>
      <w:pPr>
        <w:pStyle w:val="ListParagraph"/>
        <w:numPr>
          <w:ilvl w:val="0"/>
          <w:numId w:val="2"/>
        </w:numPr>
        <w:spacing w:after="40" w:before="40"/>
      </w:pPr>
      <w:r>
        <w:rPr>
          <w:rFonts w:ascii="Arial" w:cs="Arial" w:eastAsia="Arial" w:hAnsi="Arial"/>
          <w:sz w:val="20"/>
          <w:szCs w:val="20"/>
        </w:rPr>
        <w:t xml:space="preserve">Thermo Fisher (Attune): Letter + number (e.g., BL1, VL1, RL1 — laser color + channel number)</w:t>
      </w:r>
    </w:p>
    <w:p>
      <w:pPr>
        <w:pStyle w:val="ListParagraph"/>
        <w:numPr>
          <w:ilvl w:val="0"/>
          <w:numId w:val="2"/>
        </w:numPr>
        <w:spacing w:after="40" w:before="40"/>
      </w:pPr>
      <w:r>
        <w:rPr>
          <w:rFonts w:ascii="Arial" w:cs="Arial" w:eastAsia="Arial" w:hAnsi="Arial"/>
          <w:sz w:val="20"/>
          <w:szCs w:val="20"/>
        </w:rPr>
        <w:t xml:space="preserve">Leica/Zeiss/Nikon/Olympus microscopes: Named by emission filter center wavelength (e.g., DAPI, FITC, TRITC, Cy5)</w:t>
      </w:r>
    </w:p>
    <w:p>
      <w:pPr>
        <w:pStyle w:val="ListParagraph"/>
        <w:numPr>
          <w:ilvl w:val="0"/>
          <w:numId w:val="2"/>
        </w:numPr>
        <w:spacing w:after="40" w:before="40"/>
      </w:pPr>
      <w:r>
        <w:rPr>
          <w:rFonts w:ascii="Arial" w:cs="Arial" w:eastAsia="Arial" w:hAnsi="Arial"/>
          <w:sz w:val="20"/>
          <w:szCs w:val="20"/>
        </w:rPr>
        <w:t xml:space="preserve">Spectral systems (Sony SP6800, Cytek Aurora): Report full spectrum 16-64 channels simultaneously</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4.3  Bandpass Filter Notation</w:t>
      </w:r>
    </w:p>
    <w:p>
      <w:pPr>
        <w:spacing w:after="120" w:before="80"/>
      </w:pPr>
      <w:r>
        <w:rPr>
          <w:rFonts w:ascii="Arial" w:cs="Arial" w:eastAsia="Arial" w:hAnsi="Arial"/>
          <w:sz w:val="20"/>
          <w:szCs w:val="20"/>
        </w:rPr>
        <w:t xml:space="preserve">A filter written as 530/30 means: center wavelength 530nm, bandwidth 30nm. This filter passes light from 515nm to 545nm (530 minus 15 to 530 plus 15). Longpass filters (e.g., LP750) pass all light above 750nm. The software should calculate overlap between filter passbands and fluorophore emission spectra to compute spillover.</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4.4  Your Lab's Current Configuration (User-Configurable)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40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Channel Name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Laser (nm)</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Emission Filter</w:t>
            </w:r>
          </w:p>
        </w:tc>
        <w:tc>
          <w:tcPr>
            <w:tcW w:type="dxa" w:w="4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Primary Use</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DAPI</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405 (or 355)</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450/50</w:t>
            </w:r>
          </w:p>
        </w:tc>
        <w:tc>
          <w:tcPr>
            <w:tcW w:type="dxa" w:w="4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Nuclear counterstain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TRITC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532 or 561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580/30</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Green-excited orange channel</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mCHERRY</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561</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620/30</w:t>
            </w:r>
          </w:p>
        </w:tc>
        <w:tc>
          <w:tcPr>
            <w:tcW w:type="dxa" w:w="4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Red fluorescent protein / tandem dyes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CY5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633 / 640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670/30</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Far-red high-sensitivity channel</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730</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730</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750LP or 780/60</w:t>
            </w:r>
          </w:p>
        </w:tc>
        <w:tc>
          <w:tcPr>
            <w:tcW w:type="dxa" w:w="4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Near-IR channel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SOFTWARE NOTE</w:t>
            </w:r>
          </w:p>
        </w:tc>
        <w:tc>
          <w:tcPr>
            <w:tcW w:type="dxa" w:w="78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The channel list above reflects the current lab configuration but must be user-configurable in the software. Researchers frequently borrow microscope time at core facilities with different setups. The application should allow saving multiple 'instrument profiles' and designing panels against any selected profile.</w:t>
            </w:r>
          </w:p>
        </w:tc>
      </w:tr>
    </w:tbl>
    <w:p>
      <w:pPr>
        <w:spacing w:after="240" w:before="0"/>
      </w:pPr>
      <w:r>
        <w:t xml:space="preserve"/>
      </w:r>
    </w:p>
    <w:p>
      <w:pPr>
        <w:pStyle w:val="Heading1"/>
        <w:spacing w:after="160" w:before="400"/>
      </w:pPr>
      <w:r>
        <w:rPr>
          <w:rFonts w:ascii="Arial" w:cs="Arial" w:eastAsia="Arial" w:hAnsi="Arial"/>
          <w:b/>
          <w:bCs/>
          <w:color w:val="1E3A5F"/>
          <w:sz w:val="32"/>
          <w:szCs w:val="32"/>
        </w:rPr>
        <w:t xml:space="preserve">5. Spectral Overlap, Spillover &amp; Compensation</w:t>
      </w:r>
    </w:p>
    <w:p>
      <w:pPr>
        <w:spacing w:after="120" w:before="80"/>
      </w:pPr>
      <w:r>
        <w:rPr>
          <w:rFonts w:ascii="Arial" w:cs="Arial" w:eastAsia="Arial" w:hAnsi="Arial"/>
          <w:sz w:val="20"/>
          <w:szCs w:val="20"/>
        </w:rPr>
        <w:t xml:space="preserve">This is the most technically demanding aspect of panel design. Every fluorophore emits light across a range of wavelengths — not just its peak. When two fluorophores' emission spectra overlap and are captured by the same detector, the signal from one contaminates the measurement of the other. This is called spectral spillover.</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5.1  Spillover Quantification</w:t>
      </w:r>
    </w:p>
    <w:p>
      <w:pPr>
        <w:spacing w:after="120" w:before="80"/>
      </w:pPr>
      <w:r>
        <w:rPr>
          <w:rFonts w:ascii="Arial" w:cs="Arial" w:eastAsia="Arial" w:hAnsi="Arial"/>
          <w:sz w:val="20"/>
          <w:szCs w:val="20"/>
        </w:rPr>
        <w:t xml:space="preserve">Spillover is expressed as the percentage of signal from fluorophore A that lands in the detector measuring fluorophore B. For example, FITC spills approximately 2-5% of its signal into the PE channel on most instruments. A spillover matrix (also called a compensation matrix) is constructed where entry [i][j] is the fraction of fluorophore i's signal detected in channel j.</w:t>
      </w:r>
    </w:p>
    <w:p>
      <w:pPr>
        <w:spacing w:after="120" w:before="0"/>
      </w:pPr>
      <w:r>
        <w:t xml:space="preserve"/>
      </w:r>
    </w:p>
    <w:p>
      <w:pPr>
        <w:spacing w:after="120" w:before="80"/>
      </w:pPr>
      <w:r>
        <w:rPr>
          <w:rFonts w:ascii="Arial" w:cs="Arial" w:eastAsia="Arial" w:hAnsi="Arial"/>
          <w:sz w:val="20"/>
          <w:szCs w:val="20"/>
        </w:rPr>
        <w:t xml:space="preserve">The software should maintain a reference spillover database (populated from literature and manufacturer data) and warn users when two selected fluorophores have &gt;5% spillover into each other's channels. High spillover (&gt;20%) between two channels assigned to targets with very different expression levels (e.g., a highly expressed marker in a high-spillover channel into a channel measuring a rare antigen) should trigger a strong design warning.</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5.2  The Golden Rules of Panel Design (Enforce in Software)</w:t>
      </w:r>
    </w:p>
    <w:p>
      <w:pPr>
        <w:pStyle w:val="ListParagraph"/>
        <w:numPr>
          <w:ilvl w:val="0"/>
          <w:numId w:val="2"/>
        </w:numPr>
        <w:spacing w:after="40" w:before="40"/>
      </w:pPr>
      <w:r>
        <w:rPr>
          <w:rFonts w:ascii="Arial" w:cs="Arial" w:eastAsia="Arial" w:hAnsi="Arial"/>
          <w:sz w:val="20"/>
          <w:szCs w:val="20"/>
        </w:rPr>
        <w:t xml:space="preserve">Brightest fluorophores → lowest-abundance (dimmest) targets — maximize signal-to-noise</w:t>
      </w:r>
    </w:p>
    <w:p>
      <w:pPr>
        <w:pStyle w:val="ListParagraph"/>
        <w:numPr>
          <w:ilvl w:val="0"/>
          <w:numId w:val="2"/>
        </w:numPr>
        <w:spacing w:after="40" w:before="40"/>
      </w:pPr>
      <w:r>
        <w:rPr>
          <w:rFonts w:ascii="Arial" w:cs="Arial" w:eastAsia="Arial" w:hAnsi="Arial"/>
          <w:sz w:val="20"/>
          <w:szCs w:val="20"/>
        </w:rPr>
        <w:t xml:space="preserve">Dimmest fluorophores (FITC, PerCP, Cy3) → highest-abundance targets — they have enough signal</w:t>
      </w:r>
    </w:p>
    <w:p>
      <w:pPr>
        <w:pStyle w:val="ListParagraph"/>
        <w:numPr>
          <w:ilvl w:val="0"/>
          <w:numId w:val="2"/>
        </w:numPr>
        <w:spacing w:after="40" w:before="40"/>
      </w:pPr>
      <w:r>
        <w:rPr>
          <w:rFonts w:ascii="Arial" w:cs="Arial" w:eastAsia="Arial" w:hAnsi="Arial"/>
          <w:sz w:val="20"/>
          <w:szCs w:val="20"/>
        </w:rPr>
        <w:t xml:space="preserve">Avoid high-spillover pairs between markers with very different expression levels</w:t>
      </w:r>
    </w:p>
    <w:p>
      <w:pPr>
        <w:pStyle w:val="ListParagraph"/>
        <w:numPr>
          <w:ilvl w:val="0"/>
          <w:numId w:val="2"/>
        </w:numPr>
        <w:spacing w:after="40" w:before="40"/>
      </w:pPr>
      <w:r>
        <w:rPr>
          <w:rFonts w:ascii="Arial" w:cs="Arial" w:eastAsia="Arial" w:hAnsi="Arial"/>
          <w:sz w:val="20"/>
          <w:szCs w:val="20"/>
        </w:rPr>
        <w:t xml:space="preserve">Place spectrally similar fluorophores in channels served by different lasers when possible</w:t>
      </w:r>
    </w:p>
    <w:p>
      <w:pPr>
        <w:pStyle w:val="ListParagraph"/>
        <w:numPr>
          <w:ilvl w:val="0"/>
          <w:numId w:val="2"/>
        </w:numPr>
        <w:spacing w:after="40" w:before="40"/>
      </w:pPr>
      <w:r>
        <w:rPr>
          <w:rFonts w:ascii="Arial" w:cs="Arial" w:eastAsia="Arial" w:hAnsi="Arial"/>
          <w:sz w:val="20"/>
          <w:szCs w:val="20"/>
        </w:rPr>
        <w:t xml:space="preserve">Never put two tandem dyes in adjacent channels on the same laser</w:t>
      </w:r>
    </w:p>
    <w:p>
      <w:pPr>
        <w:pStyle w:val="ListParagraph"/>
        <w:numPr>
          <w:ilvl w:val="0"/>
          <w:numId w:val="2"/>
        </w:numPr>
        <w:spacing w:after="40" w:before="40"/>
      </w:pPr>
      <w:r>
        <w:rPr>
          <w:rFonts w:ascii="Arial" w:cs="Arial" w:eastAsia="Arial" w:hAnsi="Arial"/>
          <w:sz w:val="20"/>
          <w:szCs w:val="20"/>
        </w:rPr>
        <w:t xml:space="preserve">Autofluorescence is highest in the FITC/green channel — avoid dim targets there in autofluorescent samples (fixed tissue, macrophages, erythrocytes)</w:t>
      </w:r>
    </w:p>
    <w:p>
      <w:pPr>
        <w:pStyle w:val="ListParagraph"/>
        <w:numPr>
          <w:ilvl w:val="0"/>
          <w:numId w:val="2"/>
        </w:numPr>
        <w:spacing w:after="40" w:before="40"/>
      </w:pPr>
      <w:r>
        <w:rPr>
          <w:rFonts w:ascii="Arial" w:cs="Arial" w:eastAsia="Arial" w:hAnsi="Arial"/>
          <w:sz w:val="20"/>
          <w:szCs w:val="20"/>
        </w:rPr>
        <w:t xml:space="preserve">PE is the brightest standard fluorophore — assign to the rarest, lowest-expressed target</w:t>
      </w:r>
    </w:p>
    <w:p>
      <w:pPr>
        <w:pStyle w:val="ListParagraph"/>
        <w:numPr>
          <w:ilvl w:val="0"/>
          <w:numId w:val="2"/>
        </w:numPr>
        <w:spacing w:after="40" w:before="40"/>
      </w:pPr>
      <w:r>
        <w:rPr>
          <w:rFonts w:ascii="Arial" w:cs="Arial" w:eastAsia="Arial" w:hAnsi="Arial"/>
          <w:sz w:val="20"/>
          <w:szCs w:val="20"/>
        </w:rPr>
        <w:t xml:space="preserve">For more than 6 colors, use compensation controls — single-stained beads or cells for each fluorophore</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5.3  Spectral vs. Conventional Detection</w:t>
      </w:r>
    </w:p>
    <w:p>
      <w:pPr>
        <w:spacing w:after="120" w:before="80"/>
      </w:pPr>
      <w:r>
        <w:rPr>
          <w:rFonts w:ascii="Arial" w:cs="Arial" w:eastAsia="Arial" w:hAnsi="Arial"/>
          <w:sz w:val="20"/>
          <w:szCs w:val="20"/>
        </w:rPr>
        <w:t xml:space="preserve">Conventional cytometers and microscopes use bandpass filters — a binary decision of 'does this photon fall within the filter window?' Spectral systems (Cytek Aurora, Sony SP6800, Leica STELLARIS, Zeiss LSM 980) capture the full emission spectrum across many narrow channels and use mathematical unmixing to separate fluorophore contributions. Spectral systems can resolve more fluorophores in a single panel but require reference spectra for every component (including autofluorescence). The software should offer a 'spectral mode' that relaxes some overlap restrictions while flagging unmixing dependencies.</w:t>
      </w:r>
    </w:p>
    <w:p>
      <w:pPr>
        <w:spacing w:after="240" w:before="0"/>
      </w:pPr>
      <w:r>
        <w:t xml:space="preserve"/>
      </w:r>
    </w:p>
    <w:p>
      <w:pPr>
        <w:pStyle w:val="Heading1"/>
        <w:spacing w:after="160" w:before="400"/>
      </w:pPr>
      <w:r>
        <w:rPr>
          <w:rFonts w:ascii="Arial" w:cs="Arial" w:eastAsia="Arial" w:hAnsi="Arial"/>
          <w:b/>
          <w:bCs/>
          <w:color w:val="1E3A5F"/>
          <w:sz w:val="32"/>
          <w:szCs w:val="32"/>
        </w:rPr>
        <w:t xml:space="preserve">6. Panel Design Logic &amp; Rules Engine</w:t>
      </w:r>
    </w:p>
    <w:p>
      <w:pPr>
        <w:spacing w:after="120" w:before="80"/>
      </w:pPr>
      <w:r>
        <w:rPr>
          <w:rFonts w:ascii="Arial" w:cs="Arial" w:eastAsia="Arial" w:hAnsi="Arial"/>
          <w:sz w:val="20"/>
          <w:szCs w:val="20"/>
        </w:rPr>
        <w:t xml:space="preserve">The core intelligence of the software is a rules engine that validates panel designs and suggests alternatives. Here is the complete set of rules the engine must implement:</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6.1  Compatibility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000"/>
        <w:gridCol w:w="4160"/>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ID</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Auto-Fix Suggestion</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R01</w:t>
            </w:r>
          </w:p>
        </w:tc>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Two primaries from same host species using indirect (species-specific) secondaries</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ERROR</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Switch one to direct conjugate; use isotype-specific secondary; use Fab fragments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Fluorophore not excitable by any available laser line (&gt;20% excitation efficiency)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ERROR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Suggest compatible fluorophore for available lasers</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R03</w:t>
            </w:r>
          </w:p>
        </w:tc>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Fluorophore emission peak falls outside all available detector channels</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ERROR</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Suggest channel-matched fluorophore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R04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Same fluorophore assigned to two different targets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ERROR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Cannot distinguish — select different fluorophore for one target</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R05</w:t>
            </w:r>
          </w:p>
        </w:tc>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Tandem dye lot not validated for fixation protocol used</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WARNING</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Recommend testing; suggest non-tandem alternative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R06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Polymer dyes from different manufacturers in same panel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WARNING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 blocking buffer; or switch to one manufacturer family</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R07</w:t>
            </w:r>
          </w:p>
        </w:tc>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Spillover between two channels exceeds 15%</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WARNING</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Swap fluorophore assignments; suggest lower-spillover pair</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R08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Dim fluorophore assigned to low-abundance target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WARNING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Swap brightest fluorophore to lowest-abundance target</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R09</w:t>
            </w:r>
          </w:p>
        </w:tc>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Primary antibody not validated for experiment application type</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WARNING</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Note in protocol; suggest validated alternative if available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R10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Secondary antibody host same as sample species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ERROR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Will cause massive background — choose secondary raised in different species</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R11</w:t>
            </w:r>
          </w:p>
        </w:tc>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Live-cell experiment uses fixation-only antibody</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WARNING</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Check for live-cell validated alternative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R12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DAPI used in live-cell experiment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WARNING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 Hoechst 33342 instead (cell-permeable, lower toxicity)</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R13</w:t>
            </w:r>
          </w:p>
        </w:tc>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More primaries specified than available channels</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ERROR</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Reduce panel size or add instrument channels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R14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viability dye included in flow cytometry panel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WARNING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Recommend adding viability dye to exclude dead cells</w:t>
            </w:r>
          </w:p>
        </w:tc>
      </w:tr>
      <w:tr>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R15</w:t>
            </w:r>
          </w:p>
        </w:tc>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Isotype control not defined for each primary antibody</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INFO</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Recommend adding isotype controls for gating validation</w:t>
            </w:r>
          </w:p>
        </w:tc>
      </w:tr>
    </w:tbl>
    <w:p>
      <w:pPr>
        <w:spacing w:after="240" w:before="0"/>
      </w:pPr>
      <w:r>
        <w:t xml:space="preserve"/>
      </w:r>
    </w:p>
    <w:p>
      <w:pPr>
        <w:pStyle w:val="Heading2"/>
        <w:spacing w:after="120" w:before="320"/>
      </w:pPr>
      <w:r>
        <w:rPr>
          <w:rFonts w:ascii="Arial" w:cs="Arial" w:eastAsia="Arial" w:hAnsi="Arial"/>
          <w:b/>
          <w:bCs/>
          <w:color w:val="2563EB"/>
          <w:sz w:val="26"/>
          <w:szCs w:val="26"/>
        </w:rPr>
        <w:t xml:space="preserve">6.2  Multiplexing Strategy Decision Tree</w:t>
      </w:r>
    </w:p>
    <w:p>
      <w:pPr>
        <w:spacing w:after="120" w:before="80"/>
      </w:pPr>
      <w:r>
        <w:rPr>
          <w:rFonts w:ascii="Arial" w:cs="Arial" w:eastAsia="Arial" w:hAnsi="Arial"/>
          <w:sz w:val="20"/>
          <w:szCs w:val="20"/>
        </w:rPr>
        <w:t xml:space="preserve">The software should guide users through the following logic when generating panel plans:</w:t>
      </w:r>
    </w:p>
    <w:p>
      <w:pPr>
        <w:pStyle w:val="ListParagraph"/>
        <w:numPr>
          <w:ilvl w:val="0"/>
          <w:numId w:val="2"/>
        </w:numPr>
        <w:spacing w:after="40" w:before="40"/>
      </w:pPr>
      <w:r>
        <w:rPr>
          <w:rFonts w:ascii="Arial" w:cs="Arial" w:eastAsia="Arial" w:hAnsi="Arial"/>
          <w:sz w:val="20"/>
          <w:szCs w:val="20"/>
        </w:rPr>
        <w:t xml:space="preserve">Step 1 — Define experiment type (ICC, IHC, flow, live, multiplex IF)</w:t>
      </w:r>
    </w:p>
    <w:p>
      <w:pPr>
        <w:pStyle w:val="ListParagraph"/>
        <w:numPr>
          <w:ilvl w:val="0"/>
          <w:numId w:val="2"/>
        </w:numPr>
        <w:spacing w:after="40" w:before="40"/>
      </w:pPr>
      <w:r>
        <w:rPr>
          <w:rFonts w:ascii="Arial" w:cs="Arial" w:eastAsia="Arial" w:hAnsi="Arial"/>
          <w:sz w:val="20"/>
          <w:szCs w:val="20"/>
        </w:rPr>
        <w:t xml:space="preserve">Step 2 — Define sample species (human, mouse, rat, etc.)</w:t>
      </w:r>
    </w:p>
    <w:p>
      <w:pPr>
        <w:pStyle w:val="ListParagraph"/>
        <w:numPr>
          <w:ilvl w:val="0"/>
          <w:numId w:val="2"/>
        </w:numPr>
        <w:spacing w:after="40" w:before="40"/>
      </w:pPr>
      <w:r>
        <w:rPr>
          <w:rFonts w:ascii="Arial" w:cs="Arial" w:eastAsia="Arial" w:hAnsi="Arial"/>
          <w:sz w:val="20"/>
          <w:szCs w:val="20"/>
        </w:rPr>
        <w:t xml:space="preserve">Step 3 — List all targets with estimated expression level (high / medium / low / rare)</w:t>
      </w:r>
    </w:p>
    <w:p>
      <w:pPr>
        <w:pStyle w:val="ListParagraph"/>
        <w:numPr>
          <w:ilvl w:val="0"/>
          <w:numId w:val="2"/>
        </w:numPr>
        <w:spacing w:after="40" w:before="40"/>
      </w:pPr>
      <w:r>
        <w:rPr>
          <w:rFonts w:ascii="Arial" w:cs="Arial" w:eastAsia="Arial" w:hAnsi="Arial"/>
          <w:sz w:val="20"/>
          <w:szCs w:val="20"/>
        </w:rPr>
        <w:t xml:space="preserve">Step 4 — Define available instrument channels (laser + filter configuration)</w:t>
      </w:r>
    </w:p>
    <w:p>
      <w:pPr>
        <w:pStyle w:val="ListParagraph"/>
        <w:numPr>
          <w:ilvl w:val="0"/>
          <w:numId w:val="2"/>
        </w:numPr>
        <w:spacing w:after="40" w:before="40"/>
      </w:pPr>
      <w:r>
        <w:rPr>
          <w:rFonts w:ascii="Arial" w:cs="Arial" w:eastAsia="Arial" w:hAnsi="Arial"/>
          <w:sz w:val="20"/>
          <w:szCs w:val="20"/>
        </w:rPr>
        <w:t xml:space="preserve">Step 5 — Check in-house antibody inventory for validated primaries against each target</w:t>
      </w:r>
    </w:p>
    <w:p>
      <w:pPr>
        <w:pStyle w:val="ListParagraph"/>
        <w:numPr>
          <w:ilvl w:val="0"/>
          <w:numId w:val="2"/>
        </w:numPr>
        <w:spacing w:after="40" w:before="40"/>
      </w:pPr>
      <w:r>
        <w:rPr>
          <w:rFonts w:ascii="Arial" w:cs="Arial" w:eastAsia="Arial" w:hAnsi="Arial"/>
          <w:sz w:val="20"/>
          <w:szCs w:val="20"/>
        </w:rPr>
        <w:t xml:space="preserve">Step 6 — For each target without in-house primary: search catalog for validated primaries</w:t>
      </w:r>
    </w:p>
    <w:p>
      <w:pPr>
        <w:pStyle w:val="ListParagraph"/>
        <w:numPr>
          <w:ilvl w:val="0"/>
          <w:numId w:val="2"/>
        </w:numPr>
        <w:spacing w:after="40" w:before="40"/>
      </w:pPr>
      <w:r>
        <w:rPr>
          <w:rFonts w:ascii="Arial" w:cs="Arial" w:eastAsia="Arial" w:hAnsi="Arial"/>
          <w:sz w:val="20"/>
          <w:szCs w:val="20"/>
        </w:rPr>
        <w:t xml:space="preserve">Step 7 — Assign fluorophore channels — rank by expression level, apply brightness rules</w:t>
      </w:r>
    </w:p>
    <w:p>
      <w:pPr>
        <w:pStyle w:val="ListParagraph"/>
        <w:numPr>
          <w:ilvl w:val="0"/>
          <w:numId w:val="2"/>
        </w:numPr>
        <w:spacing w:after="40" w:before="40"/>
      </w:pPr>
      <w:r>
        <w:rPr>
          <w:rFonts w:ascii="Arial" w:cs="Arial" w:eastAsia="Arial" w:hAnsi="Arial"/>
          <w:sz w:val="20"/>
          <w:szCs w:val="20"/>
        </w:rPr>
        <w:t xml:space="preserve">Step 8 — Determine secondary antibody needs based on primary host species and conjugation</w:t>
      </w:r>
    </w:p>
    <w:p>
      <w:pPr>
        <w:pStyle w:val="ListParagraph"/>
        <w:numPr>
          <w:ilvl w:val="0"/>
          <w:numId w:val="2"/>
        </w:numPr>
        <w:spacing w:after="40" w:before="40"/>
      </w:pPr>
      <w:r>
        <w:rPr>
          <w:rFonts w:ascii="Arial" w:cs="Arial" w:eastAsia="Arial" w:hAnsi="Arial"/>
          <w:sz w:val="20"/>
          <w:szCs w:val="20"/>
        </w:rPr>
        <w:t xml:space="preserve">Step 9 — Run rules engine validation — surface all errors and warnings</w:t>
      </w:r>
    </w:p>
    <w:p>
      <w:pPr>
        <w:pStyle w:val="ListParagraph"/>
        <w:numPr>
          <w:ilvl w:val="0"/>
          <w:numId w:val="2"/>
        </w:numPr>
        <w:spacing w:after="40" w:before="40"/>
      </w:pPr>
      <w:r>
        <w:rPr>
          <w:rFonts w:ascii="Arial" w:cs="Arial" w:eastAsia="Arial" w:hAnsi="Arial"/>
          <w:sz w:val="20"/>
          <w:szCs w:val="20"/>
        </w:rPr>
        <w:t xml:space="preserve">Step 10 — Generate alternative plans with different fluorophore assignments</w:t>
      </w:r>
    </w:p>
    <w:p>
      <w:pPr>
        <w:pStyle w:val="ListParagraph"/>
        <w:numPr>
          <w:ilvl w:val="0"/>
          <w:numId w:val="2"/>
        </w:numPr>
        <w:spacing w:after="40" w:before="40"/>
      </w:pPr>
      <w:r>
        <w:rPr>
          <w:rFonts w:ascii="Arial" w:cs="Arial" w:eastAsia="Arial" w:hAnsi="Arial"/>
          <w:sz w:val="20"/>
          <w:szCs w:val="20"/>
        </w:rPr>
        <w:t xml:space="preserve">Step 11 — Calculate pricing for antibodies not in-house inventory</w:t>
      </w:r>
    </w:p>
    <w:p>
      <w:pPr>
        <w:pStyle w:val="ListParagraph"/>
        <w:numPr>
          <w:ilvl w:val="0"/>
          <w:numId w:val="2"/>
        </w:numPr>
        <w:spacing w:after="40" w:before="40"/>
      </w:pPr>
      <w:r>
        <w:rPr>
          <w:rFonts w:ascii="Arial" w:cs="Arial" w:eastAsia="Arial" w:hAnsi="Arial"/>
          <w:sz w:val="20"/>
          <w:szCs w:val="20"/>
        </w:rPr>
        <w:t xml:space="preserve">Step 12 — Export protocol document</w:t>
      </w:r>
    </w:p>
    <w:p>
      <w:pPr>
        <w:spacing w:after="240" w:before="0"/>
      </w:pPr>
      <w:r>
        <w:t xml:space="preserve"/>
      </w:r>
    </w:p>
    <w:p>
      <w:pPr>
        <w:pStyle w:val="Heading1"/>
        <w:spacing w:after="160" w:before="400"/>
      </w:pPr>
      <w:r>
        <w:rPr>
          <w:rFonts w:ascii="Arial" w:cs="Arial" w:eastAsia="Arial" w:hAnsi="Arial"/>
          <w:b/>
          <w:bCs/>
          <w:color w:val="1E3A5F"/>
          <w:sz w:val="32"/>
          <w:szCs w:val="32"/>
        </w:rPr>
        <w:t xml:space="preserve">7. Antibody Sourcing, Pricing &amp; Biocompare Integration</w:t>
      </w:r>
    </w:p>
    <w:p>
      <w:pPr>
        <w:spacing w:after="120" w:before="80"/>
      </w:pPr>
      <w:r>
        <w:rPr>
          <w:rFonts w:ascii="Arial" w:cs="Arial" w:eastAsia="Arial" w:hAnsi="Arial"/>
          <w:sz w:val="20"/>
          <w:szCs w:val="20"/>
        </w:rPr>
        <w:t xml:space="preserve">The software must pull real-time antibody data and pricing from online databases. Biocompare (biocompare.com) is the leading antibody aggregator, indexing products from thousands of suppliers with side-by-side comparisons, reviews, and pricing.</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7.1  Biocompare Data Structure</w:t>
      </w:r>
    </w:p>
    <w:p>
      <w:pPr>
        <w:spacing w:after="120" w:before="80"/>
      </w:pPr>
      <w:r>
        <w:rPr>
          <w:rFonts w:ascii="Arial" w:cs="Arial" w:eastAsia="Arial" w:hAnsi="Arial"/>
          <w:sz w:val="20"/>
          <w:szCs w:val="20"/>
        </w:rPr>
        <w:t xml:space="preserve">When scraping or using Biocompare's API, the following fields are available and should be extracted per product:</w:t>
      </w:r>
    </w:p>
    <w:p>
      <w:pPr>
        <w:pStyle w:val="ListParagraph"/>
        <w:numPr>
          <w:ilvl w:val="0"/>
          <w:numId w:val="2"/>
        </w:numPr>
        <w:spacing w:after="40" w:before="40"/>
      </w:pPr>
      <w:r>
        <w:rPr>
          <w:rFonts w:ascii="Arial" w:cs="Arial" w:eastAsia="Arial" w:hAnsi="Arial"/>
          <w:sz w:val="20"/>
          <w:szCs w:val="20"/>
        </w:rPr>
        <w:t xml:space="preserve">Product name and catalog number</w:t>
      </w:r>
    </w:p>
    <w:p>
      <w:pPr>
        <w:pStyle w:val="ListParagraph"/>
        <w:numPr>
          <w:ilvl w:val="0"/>
          <w:numId w:val="2"/>
        </w:numPr>
        <w:spacing w:after="40" w:before="40"/>
      </w:pPr>
      <w:r>
        <w:rPr>
          <w:rFonts w:ascii="Arial" w:cs="Arial" w:eastAsia="Arial" w:hAnsi="Arial"/>
          <w:sz w:val="20"/>
          <w:szCs w:val="20"/>
        </w:rPr>
        <w:t xml:space="preserve">Supplier / manufacturer name</w:t>
      </w:r>
    </w:p>
    <w:p>
      <w:pPr>
        <w:pStyle w:val="ListParagraph"/>
        <w:numPr>
          <w:ilvl w:val="0"/>
          <w:numId w:val="2"/>
        </w:numPr>
        <w:spacing w:after="40" w:before="40"/>
      </w:pPr>
      <w:r>
        <w:rPr>
          <w:rFonts w:ascii="Arial" w:cs="Arial" w:eastAsia="Arial" w:hAnsi="Arial"/>
          <w:sz w:val="20"/>
          <w:szCs w:val="20"/>
        </w:rPr>
        <w:t xml:space="preserve">Target antigen (e.g., 'Anti-CD3 antibody')</w:t>
      </w:r>
    </w:p>
    <w:p>
      <w:pPr>
        <w:pStyle w:val="ListParagraph"/>
        <w:numPr>
          <w:ilvl w:val="0"/>
          <w:numId w:val="2"/>
        </w:numPr>
        <w:spacing w:after="40" w:before="40"/>
      </w:pPr>
      <w:r>
        <w:rPr>
          <w:rFonts w:ascii="Arial" w:cs="Arial" w:eastAsia="Arial" w:hAnsi="Arial"/>
          <w:sz w:val="20"/>
          <w:szCs w:val="20"/>
        </w:rPr>
        <w:t xml:space="preserve">Host species (raised in)</w:t>
      </w:r>
    </w:p>
    <w:p>
      <w:pPr>
        <w:pStyle w:val="ListParagraph"/>
        <w:numPr>
          <w:ilvl w:val="0"/>
          <w:numId w:val="2"/>
        </w:numPr>
        <w:spacing w:after="40" w:before="40"/>
      </w:pPr>
      <w:r>
        <w:rPr>
          <w:rFonts w:ascii="Arial" w:cs="Arial" w:eastAsia="Arial" w:hAnsi="Arial"/>
          <w:sz w:val="20"/>
          <w:szCs w:val="20"/>
        </w:rPr>
        <w:t xml:space="preserve">Isotype (e.g., Mouse IgG1, Rabbit IgG)</w:t>
      </w:r>
    </w:p>
    <w:p>
      <w:pPr>
        <w:pStyle w:val="ListParagraph"/>
        <w:numPr>
          <w:ilvl w:val="0"/>
          <w:numId w:val="2"/>
        </w:numPr>
        <w:spacing w:after="40" w:before="40"/>
      </w:pPr>
      <w:r>
        <w:rPr>
          <w:rFonts w:ascii="Arial" w:cs="Arial" w:eastAsia="Arial" w:hAnsi="Arial"/>
          <w:sz w:val="20"/>
          <w:szCs w:val="20"/>
        </w:rPr>
        <w:t xml:space="preserve">Clonality (monoclonal / polyclonal)</w:t>
      </w:r>
    </w:p>
    <w:p>
      <w:pPr>
        <w:pStyle w:val="ListParagraph"/>
        <w:numPr>
          <w:ilvl w:val="0"/>
          <w:numId w:val="2"/>
        </w:numPr>
        <w:spacing w:after="40" w:before="40"/>
      </w:pPr>
      <w:r>
        <w:rPr>
          <w:rFonts w:ascii="Arial" w:cs="Arial" w:eastAsia="Arial" w:hAnsi="Arial"/>
          <w:sz w:val="20"/>
          <w:szCs w:val="20"/>
        </w:rPr>
        <w:t xml:space="preserve">Conjugate (unconjugated, FITC, AF647, HRP, biotin, etc.)</w:t>
      </w:r>
    </w:p>
    <w:p>
      <w:pPr>
        <w:pStyle w:val="ListParagraph"/>
        <w:numPr>
          <w:ilvl w:val="0"/>
          <w:numId w:val="2"/>
        </w:numPr>
        <w:spacing w:after="40" w:before="40"/>
      </w:pPr>
      <w:r>
        <w:rPr>
          <w:rFonts w:ascii="Arial" w:cs="Arial" w:eastAsia="Arial" w:hAnsi="Arial"/>
          <w:sz w:val="20"/>
          <w:szCs w:val="20"/>
        </w:rPr>
        <w:t xml:space="preserve">Validated applications (as tags: WB, IHC, ICC, IF, FC, ELISA, etc.)</w:t>
      </w:r>
    </w:p>
    <w:p>
      <w:pPr>
        <w:pStyle w:val="ListParagraph"/>
        <w:numPr>
          <w:ilvl w:val="0"/>
          <w:numId w:val="2"/>
        </w:numPr>
        <w:spacing w:after="40" w:before="40"/>
      </w:pPr>
      <w:r>
        <w:rPr>
          <w:rFonts w:ascii="Arial" w:cs="Arial" w:eastAsia="Arial" w:hAnsi="Arial"/>
          <w:sz w:val="20"/>
          <w:szCs w:val="20"/>
        </w:rPr>
        <w:t xml:space="preserve">Reactivity species list</w:t>
      </w:r>
    </w:p>
    <w:p>
      <w:pPr>
        <w:pStyle w:val="ListParagraph"/>
        <w:numPr>
          <w:ilvl w:val="0"/>
          <w:numId w:val="2"/>
        </w:numPr>
        <w:spacing w:after="40" w:before="40"/>
      </w:pPr>
      <w:r>
        <w:rPr>
          <w:rFonts w:ascii="Arial" w:cs="Arial" w:eastAsia="Arial" w:hAnsi="Arial"/>
          <w:sz w:val="20"/>
          <w:szCs w:val="20"/>
        </w:rPr>
        <w:t xml:space="preserve">Price and package size (e.g., $385 / 100 µg)</w:t>
      </w:r>
    </w:p>
    <w:p>
      <w:pPr>
        <w:pStyle w:val="ListParagraph"/>
        <w:numPr>
          <w:ilvl w:val="0"/>
          <w:numId w:val="2"/>
        </w:numPr>
        <w:spacing w:after="40" w:before="40"/>
      </w:pPr>
      <w:r>
        <w:rPr>
          <w:rFonts w:ascii="Arial" w:cs="Arial" w:eastAsia="Arial" w:hAnsi="Arial"/>
          <w:sz w:val="20"/>
          <w:szCs w:val="20"/>
        </w:rPr>
        <w:t xml:space="preserve">Biocompare product URL (for direct link to purchase page)</w:t>
      </w:r>
    </w:p>
    <w:p>
      <w:pPr>
        <w:pStyle w:val="ListParagraph"/>
        <w:numPr>
          <w:ilvl w:val="0"/>
          <w:numId w:val="2"/>
        </w:numPr>
        <w:spacing w:after="40" w:before="40"/>
      </w:pPr>
      <w:r>
        <w:rPr>
          <w:rFonts w:ascii="Arial" w:cs="Arial" w:eastAsia="Arial" w:hAnsi="Arial"/>
          <w:sz w:val="20"/>
          <w:szCs w:val="20"/>
        </w:rPr>
        <w:t xml:space="preserve">User review score and number of reviews</w:t>
      </w:r>
    </w:p>
    <w:p>
      <w:pPr>
        <w:pStyle w:val="ListParagraph"/>
        <w:numPr>
          <w:ilvl w:val="0"/>
          <w:numId w:val="2"/>
        </w:numPr>
        <w:spacing w:after="40" w:before="40"/>
      </w:pPr>
      <w:r>
        <w:rPr>
          <w:rFonts w:ascii="Arial" w:cs="Arial" w:eastAsia="Arial" w:hAnsi="Arial"/>
          <w:sz w:val="20"/>
          <w:szCs w:val="20"/>
        </w:rPr>
        <w:t xml:space="preserve">Cross-reference to publications citing this antibody</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7.2  Other Key Supplier Websites to Integrate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500"/>
        <w:gridCol w:w="2560"/>
      </w:tblGrid>
      <w:tr>
        <w:trPr>
          <w:tblHeader/>
        </w:trPr>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Supplier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Website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Specialty</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API / Scraping Notes</w:t>
            </w:r>
          </w:p>
        </w:tc>
      </w:tr>
      <w:tr>
        <w:tc>
          <w:tcPr>
            <w:tcW w:type="dxa" w:w="2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Biocompare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biocompare.com</w:t>
            </w:r>
          </w:p>
        </w:tc>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Aggregator — all suppliers</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Aggregator — best for price comparison</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Abcam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abcam.com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Wide catalog, strong validation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Has public search API; scraping allowed</w:t>
            </w:r>
          </w:p>
        </w:tc>
      </w:tr>
      <w:tr>
        <w:tc>
          <w:tcPr>
            <w:tcW w:type="dxa" w:w="2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Cell Signaling Technology (CST)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cellsignal.com</w:t>
            </w:r>
          </w:p>
        </w:tc>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Excellent validation, signaling proteins</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Structured product pages; JSON-LD metadata</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BioLegend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biolegend.com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Flow cytometry specialization, BV dyes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Has downloadable spectra; structured catalog</w:t>
            </w:r>
          </w:p>
        </w:tc>
      </w:tr>
      <w:tr>
        <w:tc>
          <w:tcPr>
            <w:tcW w:type="dxa" w:w="2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BD Biosciences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bdbiosciences.com</w:t>
            </w:r>
          </w:p>
        </w:tc>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Flow, Horizon dyes, instruments</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Complex site; product data in JSON</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Thermo Fisher / Invitrogen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thermofisher.com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Alexa Fluor, Molecular Probes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Large catalog; search API available</w:t>
            </w:r>
          </w:p>
        </w:tc>
      </w:tr>
      <w:tr>
        <w:tc>
          <w:tcPr>
            <w:tcW w:type="dxa" w:w="2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R&amp;D Systems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rndsystems.com</w:t>
            </w:r>
          </w:p>
        </w:tc>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Cytokines, validated primaries</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Excellent validation data</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Sigma-Aldrich / MilliporeSigma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sigmaaldrich.com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Wide range, secondary antibodies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Merck group — structured catalog</w:t>
            </w:r>
          </w:p>
        </w:tc>
      </w:tr>
      <w:tr>
        <w:tc>
          <w:tcPr>
            <w:tcW w:type="dxa" w:w="2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Novus Biologicals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novusbio.com</w:t>
            </w:r>
          </w:p>
        </w:tc>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Large catalog, many antibodies</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Product JSON embedded in pages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GeneTex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genetex.com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Budget-friendly, wide coverage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Structured product data</w:t>
            </w:r>
          </w:p>
        </w:tc>
      </w:tr>
      <w:tr>
        <w:tc>
          <w:tcPr>
            <w:tcW w:type="dxa" w:w="2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Proteintech</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ptglab.com</w:t>
            </w:r>
          </w:p>
        </w:tc>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Mass-spec validated antibodies</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Good validation metadata</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Atlas Antibodies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atlasantibodies.com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HPA antibodies from Human Protein Atlas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HPA number cross-references</w:t>
            </w:r>
          </w:p>
        </w:tc>
      </w:tr>
    </w:tbl>
    <w:p>
      <w:pPr>
        <w:spacing w:after="240" w:before="0"/>
      </w:pPr>
      <w:r>
        <w:t xml:space="preserve"/>
      </w:r>
    </w:p>
    <w:p>
      <w:pPr>
        <w:pStyle w:val="Heading2"/>
        <w:spacing w:after="120" w:before="320"/>
      </w:pPr>
      <w:r>
        <w:rPr>
          <w:rFonts w:ascii="Arial" w:cs="Arial" w:eastAsia="Arial" w:hAnsi="Arial"/>
          <w:b/>
          <w:bCs/>
          <w:color w:val="2563EB"/>
          <w:sz w:val="26"/>
          <w:szCs w:val="26"/>
        </w:rPr>
        <w:t xml:space="preserve">7.3  Scraping Architecture Recommendations</w:t>
      </w:r>
    </w:p>
    <w:p>
      <w:pPr>
        <w:spacing w:after="120" w:before="80"/>
      </w:pPr>
      <w:r>
        <w:rPr>
          <w:rFonts w:ascii="Arial" w:cs="Arial" w:eastAsia="Arial" w:hAnsi="Arial"/>
          <w:sz w:val="20"/>
          <w:szCs w:val="20"/>
        </w:rPr>
        <w:t xml:space="preserve">Web scraping for pricing must be designed with resilience and ethics in mind. The software should implement:</w:t>
      </w:r>
    </w:p>
    <w:p>
      <w:pPr>
        <w:pStyle w:val="ListParagraph"/>
        <w:numPr>
          <w:ilvl w:val="0"/>
          <w:numId w:val="2"/>
        </w:numPr>
        <w:spacing w:after="40" w:before="40"/>
      </w:pPr>
      <w:r>
        <w:rPr>
          <w:rFonts w:ascii="Arial" w:cs="Arial" w:eastAsia="Arial" w:hAnsi="Arial"/>
          <w:sz w:val="20"/>
          <w:szCs w:val="20"/>
        </w:rPr>
        <w:t xml:space="preserve">Rate limiting — minimum 2-3 second delays between requests; randomize delays</w:t>
      </w:r>
    </w:p>
    <w:p>
      <w:pPr>
        <w:pStyle w:val="ListParagraph"/>
        <w:numPr>
          <w:ilvl w:val="0"/>
          <w:numId w:val="2"/>
        </w:numPr>
        <w:spacing w:after="40" w:before="40"/>
      </w:pPr>
      <w:r>
        <w:rPr>
          <w:rFonts w:ascii="Arial" w:cs="Arial" w:eastAsia="Arial" w:hAnsi="Arial"/>
          <w:sz w:val="20"/>
          <w:szCs w:val="20"/>
        </w:rPr>
        <w:t xml:space="preserve">User-agent rotation — rotate between common browser user agent strings</w:t>
      </w:r>
    </w:p>
    <w:p>
      <w:pPr>
        <w:pStyle w:val="ListParagraph"/>
        <w:numPr>
          <w:ilvl w:val="0"/>
          <w:numId w:val="2"/>
        </w:numPr>
        <w:spacing w:after="40" w:before="40"/>
      </w:pPr>
      <w:r>
        <w:rPr>
          <w:rFonts w:ascii="Arial" w:cs="Arial" w:eastAsia="Arial" w:hAnsi="Arial"/>
          <w:sz w:val="20"/>
          <w:szCs w:val="20"/>
        </w:rPr>
        <w:t xml:space="preserve">Caching — store scraped prices with timestamps; re-scrape only when &gt;24 hours stale</w:t>
      </w:r>
    </w:p>
    <w:p>
      <w:pPr>
        <w:pStyle w:val="ListParagraph"/>
        <w:numPr>
          <w:ilvl w:val="0"/>
          <w:numId w:val="2"/>
        </w:numPr>
        <w:spacing w:after="40" w:before="40"/>
      </w:pPr>
      <w:r>
        <w:rPr>
          <w:rFonts w:ascii="Arial" w:cs="Arial" w:eastAsia="Arial" w:hAnsi="Arial"/>
          <w:sz w:val="20"/>
          <w:szCs w:val="20"/>
        </w:rPr>
        <w:t xml:space="preserve">Robots.txt compliance — read and respect each site's robots.txt file</w:t>
      </w:r>
    </w:p>
    <w:p>
      <w:pPr>
        <w:pStyle w:val="ListParagraph"/>
        <w:numPr>
          <w:ilvl w:val="0"/>
          <w:numId w:val="2"/>
        </w:numPr>
        <w:spacing w:after="40" w:before="40"/>
      </w:pPr>
      <w:r>
        <w:rPr>
          <w:rFonts w:ascii="Arial" w:cs="Arial" w:eastAsia="Arial" w:hAnsi="Arial"/>
          <w:sz w:val="20"/>
          <w:szCs w:val="20"/>
        </w:rPr>
        <w:t xml:space="preserve">Selenium/Playwright for JavaScript-heavy pages (many antibody catalogs render prices via JS)</w:t>
      </w:r>
    </w:p>
    <w:p>
      <w:pPr>
        <w:pStyle w:val="ListParagraph"/>
        <w:numPr>
          <w:ilvl w:val="0"/>
          <w:numId w:val="2"/>
        </w:numPr>
        <w:spacing w:after="40" w:before="40"/>
      </w:pPr>
      <w:r>
        <w:rPr>
          <w:rFonts w:ascii="Arial" w:cs="Arial" w:eastAsia="Arial" w:hAnsi="Arial"/>
          <w:sz w:val="20"/>
          <w:szCs w:val="20"/>
        </w:rPr>
        <w:t xml:space="preserve">BeautifulSoup for static HTML catalog pages</w:t>
      </w:r>
    </w:p>
    <w:p>
      <w:pPr>
        <w:pStyle w:val="ListParagraph"/>
        <w:numPr>
          <w:ilvl w:val="0"/>
          <w:numId w:val="2"/>
        </w:numPr>
        <w:spacing w:after="40" w:before="40"/>
      </w:pPr>
      <w:r>
        <w:rPr>
          <w:rFonts w:ascii="Arial" w:cs="Arial" w:eastAsia="Arial" w:hAnsi="Arial"/>
          <w:sz w:val="20"/>
          <w:szCs w:val="20"/>
        </w:rPr>
        <w:t xml:space="preserve">SQLite cache for storing scraped results with TTL (time-to-live) expiry</w:t>
      </w:r>
    </w:p>
    <w:p>
      <w:pPr>
        <w:pStyle w:val="ListParagraph"/>
        <w:numPr>
          <w:ilvl w:val="0"/>
          <w:numId w:val="2"/>
        </w:numPr>
        <w:spacing w:after="40" w:before="40"/>
      </w:pPr>
      <w:r>
        <w:rPr>
          <w:rFonts w:ascii="Arial" w:cs="Arial" w:eastAsia="Arial" w:hAnsi="Arial"/>
          <w:sz w:val="20"/>
          <w:szCs w:val="20"/>
        </w:rPr>
        <w:t xml:space="preserve">Graceful degradation — if a site is unavailable, show cached price with stale warning</w:t>
      </w:r>
    </w:p>
    <w:p>
      <w:pPr>
        <w:pStyle w:val="ListParagraph"/>
        <w:numPr>
          <w:ilvl w:val="0"/>
          <w:numId w:val="2"/>
        </w:numPr>
        <w:spacing w:after="40" w:before="40"/>
      </w:pPr>
      <w:r>
        <w:rPr>
          <w:rFonts w:ascii="Arial" w:cs="Arial" w:eastAsia="Arial" w:hAnsi="Arial"/>
          <w:sz w:val="20"/>
          <w:szCs w:val="20"/>
        </w:rPr>
        <w:t xml:space="preserve">Manual price entry fallback — always allow user to manually enter or override a price</w:t>
      </w:r>
    </w:p>
    <w:p>
      <w:pPr>
        <w:spacing w:after="240" w:before="0"/>
      </w:pPr>
      <w:r>
        <w:t xml:space="preserve"/>
      </w:r>
    </w:p>
    <w:p>
      <w:pPr>
        <w:pStyle w:val="Heading1"/>
        <w:spacing w:after="160" w:before="400"/>
      </w:pPr>
      <w:r>
        <w:rPr>
          <w:rFonts w:ascii="Arial" w:cs="Arial" w:eastAsia="Arial" w:hAnsi="Arial"/>
          <w:b/>
          <w:bCs/>
          <w:color w:val="1E3A5F"/>
          <w:sz w:val="32"/>
          <w:szCs w:val="32"/>
        </w:rPr>
        <w:t xml:space="preserve">8. In-House Inventory Management</w:t>
      </w:r>
    </w:p>
    <w:p>
      <w:pPr>
        <w:spacing w:after="120" w:before="80"/>
      </w:pPr>
      <w:r>
        <w:rPr>
          <w:rFonts w:ascii="Arial" w:cs="Arial" w:eastAsia="Arial" w:hAnsi="Arial"/>
          <w:sz w:val="20"/>
          <w:szCs w:val="20"/>
        </w:rPr>
        <w:t xml:space="preserve">The software must maintain a local database of antibodies the lab already owns. This inventory informs the panel planner which reagents are available at zero additional cost and tracks usage to predict when restocking is needed.</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8.1  Inventory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UUID / Integer PK</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Unique inventory record identifier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antibody_name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Descriptive name (e.g., 'Anti-CD3 Rabbit mAb')</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target</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Target antigen / protein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catalog_number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Manufacturer catalog number</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lot_number</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Production lot — critical for reproducibility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vendor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Manufacturer / supplier name</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host_species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Enum</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Mouse, Rabbit, Goat, Rat, Chicken, Donkey, Sheep,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isotype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IgG, IgM, IgG1, IgG2a, IgG2b, IgG3, etc.</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clonality</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Enum</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Monoclonal / Polyclonal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clone_name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Clone identifier (e.g., EP7, 4B5)</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conjugate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Unconjugated, FITC, AF647, PE,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validated_applications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List/JSON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Array of validated assay types</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reactivity</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List/JSON</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Array of reactive species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concentration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mg/mL</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total_volume_ul</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Total volume remaining in microliters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aliquot_size_ul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Volume per freeze-thaw aliquot</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storage_temp</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Enum</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-80C, -20C, 4C, 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expiry_date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Manufacturer expiry date</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date_received</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Date</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Date added to inventory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date_opened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 first used — stability timer starts</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location</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Freezer / box / rack / position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working_dilution_if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Empirically determined dilution for IF</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working_dilution_fc</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Empirically determined dilution for flow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working_dilution_ihc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Empirically determined dilution for IHC</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notes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Text</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Free-text field for troubleshooting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datasheet_url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Link to manufacturer product page</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purchase_price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Price paid — for cost tracking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quantity_per_unit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e.g., '100 µg', '500 tests', '0.1 mg'</w:t>
            </w:r>
          </w:p>
        </w:tc>
      </w:tr>
    </w:tbl>
    <w:p>
      <w:pPr>
        <w:spacing w:after="240" w:before="0"/>
      </w:pPr>
      <w:r>
        <w:t xml:space="preserve"/>
      </w:r>
    </w:p>
    <w:p>
      <w:pPr>
        <w:pStyle w:val="Heading2"/>
        <w:spacing w:after="120" w:before="320"/>
      </w:pPr>
      <w:r>
        <w:rPr>
          <w:rFonts w:ascii="Arial" w:cs="Arial" w:eastAsia="Arial" w:hAnsi="Arial"/>
          <w:b/>
          <w:bCs/>
          <w:color w:val="2563EB"/>
          <w:sz w:val="26"/>
          <w:szCs w:val="26"/>
        </w:rPr>
        <w:t xml:space="preserve">8.2  Smart Inventory Features</w:t>
      </w:r>
    </w:p>
    <w:p>
      <w:pPr>
        <w:pStyle w:val="ListParagraph"/>
        <w:numPr>
          <w:ilvl w:val="0"/>
          <w:numId w:val="2"/>
        </w:numPr>
        <w:spacing w:after="40" w:before="40"/>
      </w:pPr>
      <w:r>
        <w:rPr>
          <w:rFonts w:ascii="Arial" w:cs="Arial" w:eastAsia="Arial" w:hAnsi="Arial"/>
          <w:sz w:val="20"/>
          <w:szCs w:val="20"/>
        </w:rPr>
        <w:t xml:space="preserve">Low-stock alerts — warn when volume falls below minimum for one more experiment</w:t>
      </w:r>
    </w:p>
    <w:p>
      <w:pPr>
        <w:pStyle w:val="ListParagraph"/>
        <w:numPr>
          <w:ilvl w:val="0"/>
          <w:numId w:val="2"/>
        </w:numPr>
        <w:spacing w:after="40" w:before="40"/>
      </w:pPr>
      <w:r>
        <w:rPr>
          <w:rFonts w:ascii="Arial" w:cs="Arial" w:eastAsia="Arial" w:hAnsi="Arial"/>
          <w:sz w:val="20"/>
          <w:szCs w:val="20"/>
        </w:rPr>
        <w:t xml:space="preserve">Expiry alerts — flag antibodies within 3 months of expiry</w:t>
      </w:r>
    </w:p>
    <w:p>
      <w:pPr>
        <w:pStyle w:val="ListParagraph"/>
        <w:numPr>
          <w:ilvl w:val="0"/>
          <w:numId w:val="2"/>
        </w:numPr>
        <w:spacing w:after="40" w:before="40"/>
      </w:pPr>
      <w:r>
        <w:rPr>
          <w:rFonts w:ascii="Arial" w:cs="Arial" w:eastAsia="Arial" w:hAnsi="Arial"/>
          <w:sz w:val="20"/>
          <w:szCs w:val="20"/>
        </w:rPr>
        <w:t xml:space="preserve">Freeze-thaw counter — track number of cycles to warn against repeated freezing</w:t>
      </w:r>
    </w:p>
    <w:p>
      <w:pPr>
        <w:pStyle w:val="ListParagraph"/>
        <w:numPr>
          <w:ilvl w:val="0"/>
          <w:numId w:val="2"/>
        </w:numPr>
        <w:spacing w:after="40" w:before="40"/>
      </w:pPr>
      <w:r>
        <w:rPr>
          <w:rFonts w:ascii="Arial" w:cs="Arial" w:eastAsia="Arial" w:hAnsi="Arial"/>
          <w:sz w:val="20"/>
          <w:szCs w:val="20"/>
        </w:rPr>
        <w:t xml:space="preserve">Usage logging — record which experiments consumed which antibodies and how much</w:t>
      </w:r>
    </w:p>
    <w:p>
      <w:pPr>
        <w:pStyle w:val="ListParagraph"/>
        <w:numPr>
          <w:ilvl w:val="0"/>
          <w:numId w:val="2"/>
        </w:numPr>
        <w:spacing w:after="40" w:before="40"/>
      </w:pPr>
      <w:r>
        <w:rPr>
          <w:rFonts w:ascii="Arial" w:cs="Arial" w:eastAsia="Arial" w:hAnsi="Arial"/>
          <w:sz w:val="20"/>
          <w:szCs w:val="20"/>
        </w:rPr>
        <w:t xml:space="preserve">Cross-reference with panel planner — auto-mark which panel components are in-house</w:t>
      </w:r>
    </w:p>
    <w:p>
      <w:pPr>
        <w:pStyle w:val="ListParagraph"/>
        <w:numPr>
          <w:ilvl w:val="0"/>
          <w:numId w:val="2"/>
        </w:numPr>
        <w:spacing w:after="40" w:before="40"/>
      </w:pPr>
      <w:r>
        <w:rPr>
          <w:rFonts w:ascii="Arial" w:cs="Arial" w:eastAsia="Arial" w:hAnsi="Arial"/>
          <w:sz w:val="20"/>
          <w:szCs w:val="20"/>
        </w:rPr>
        <w:t xml:space="preserve">QR code / barcode generation per antibody for physical tube labeling</w:t>
      </w:r>
    </w:p>
    <w:p>
      <w:pPr>
        <w:spacing w:after="240" w:before="0"/>
      </w:pPr>
      <w:r>
        <w:t xml:space="preserve"/>
      </w:r>
    </w:p>
    <w:p>
      <w:pPr>
        <w:pStyle w:val="Heading1"/>
        <w:spacing w:after="160" w:before="400"/>
      </w:pPr>
      <w:r>
        <w:rPr>
          <w:rFonts w:ascii="Arial" w:cs="Arial" w:eastAsia="Arial" w:hAnsi="Arial"/>
          <w:b/>
          <w:bCs/>
          <w:color w:val="1E3A5F"/>
          <w:sz w:val="32"/>
          <w:szCs w:val="32"/>
        </w:rPr>
        <w:t xml:space="preserve">9. Protocol Generation</w:t>
      </w:r>
    </w:p>
    <w:p>
      <w:pPr>
        <w:spacing w:after="120" w:before="80"/>
      </w:pPr>
      <w:r>
        <w:rPr>
          <w:rFonts w:ascii="Arial" w:cs="Arial" w:eastAsia="Arial" w:hAnsi="Arial"/>
          <w:sz w:val="20"/>
          <w:szCs w:val="20"/>
        </w:rPr>
        <w:t xml:space="preserve">The protocol generator is a critical output module. It must produce complete, publication-ready experimental protocols tailored to the specific panel, sample type, and experiment type selected. Protocols should be exportable as PDF, DOCX, or printable HTML.</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9.1  Protocol Sections (Standard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Auto-Generated From</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Header</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Experiment title, date, researcher name, lab name, version number</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User input + system 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Overview</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Brief description of the experiment goals and approach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 input + template</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Reagents &amp; Antibody Table</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All antibodies (primary + secondary), fluorophore, dilution, lot, vendor, catalog #</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Panel design + inventory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Additional Reagents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Blocking reagents, mounting media, buffers, permeabilization reagents, nuclear stains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Protocol template + user selection</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Equipment Required</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Microscope / cytometer model, laser lines used, humidified chamber, centrifuge, etc.</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Instrument profile + template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Sample Preparation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Cell fixation method, tissue sectioning, antigen retrieval if IHC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Experiment type template</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Blocking Step</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Serum type, concentration, duration, temperature</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Secondary host species → serum match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Antibody Incubation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Dilution, volume per well/section, incubation time and temperature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Panel data + template</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Wash Steps</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Buffer, number of washes, volume, duration</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Template + experiment type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Secondary Antibody Incubation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Dilution, volume, incubation time, protect from light note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Panel data + template</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Nuclear Stain / Counterstain</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DAPI / Hoechst concentration, incubation time</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Panel data + template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Mounting &amp; Coverslipping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Mounting media type, curing time, sealing with nail polish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 selection</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Imaging Parameters</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Laser lines, filter sets, acquisition settings, objective recommendation</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Instrument profile + fluorophores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Controls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List all required controls with rationale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Rules engine output</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Analysis Notes</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Gating strategy (flow) or colocalization approach (IF)</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Experiment type template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Troubleshooting Guide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Common failure modes and solutions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Static knowledge base</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References</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Key validation publications for each antibody</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Inventory + scraping</w:t>
            </w:r>
          </w:p>
        </w:tc>
      </w:tr>
    </w:tbl>
    <w:p>
      <w:pPr>
        <w:spacing w:after="240" w:before="0"/>
      </w:pPr>
      <w:r>
        <w:t xml:space="preserve"/>
      </w:r>
    </w:p>
    <w:p>
      <w:pPr>
        <w:pStyle w:val="Heading2"/>
        <w:spacing w:after="120" w:before="320"/>
      </w:pPr>
      <w:r>
        <w:rPr>
          <w:rFonts w:ascii="Arial" w:cs="Arial" w:eastAsia="Arial" w:hAnsi="Arial"/>
          <w:b/>
          <w:bCs/>
          <w:color w:val="2563EB"/>
          <w:sz w:val="26"/>
          <w:szCs w:val="26"/>
        </w:rPr>
        <w:t xml:space="preserve">9.2  Controls Framework</w:t>
      </w:r>
    </w:p>
    <w:p>
      <w:pPr>
        <w:spacing w:after="120" w:before="80"/>
      </w:pPr>
      <w:r>
        <w:rPr>
          <w:rFonts w:ascii="Arial" w:cs="Arial" w:eastAsia="Arial" w:hAnsi="Arial"/>
          <w:sz w:val="20"/>
          <w:szCs w:val="20"/>
        </w:rPr>
        <w:t xml:space="preserve">Proper controls are the scientific backbone of any IF experiment. The protocol generator must automatically recommend the appropriate controls based on the panel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Control Type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When Required</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No-primary control</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Detects secondary antibody non-specific binding</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Always — for each secondary used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Isotype control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Detects non-specific binding from antibody class, not antigen specificity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Always — match class, concentration, and lot</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Fluorescence minus one (FMO)</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Sets gates in flow cytometry; accounts for spillover at marker boundary</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All flow cytometry panels; &gt;4 colors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Single-color controls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Required for compensation matrix calculation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multi-color flow panels</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Unstained / autofluorescence control</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Measures sample background fluorescence</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Always — especially fixed tissue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 tissue control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Confirms antibody works in tissue known to express target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IHC/IF panels — known-positive section</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Negative tissue control</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Confirms specificity — tissue known to not express target</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IHC/IF — known-negative section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Peptide competition control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antibody pre-absorbed with target peptide — no signal = specific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Polyclonal antibodies; novel targets</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Secondary-only in each channel</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Identifies channel-specific background without primary</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New tissue types or cell lines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Viability dye control (flow)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Ensures live/dead discrimination is working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flow cytometry experiments</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Species-matched serum control</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Detects background from blocking serum itself</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When using serum blocking</w:t>
            </w:r>
          </w:p>
        </w:tc>
      </w:tr>
    </w:tbl>
    <w:p>
      <w:pPr>
        <w:spacing w:after="240" w:before="0"/>
      </w:pPr>
      <w:r>
        <w:t xml:space="preserve"/>
      </w:r>
    </w:p>
    <w:p>
      <w:pPr>
        <w:pStyle w:val="Heading2"/>
        <w:spacing w:after="120" w:before="320"/>
      </w:pPr>
      <w:r>
        <w:rPr>
          <w:rFonts w:ascii="Arial" w:cs="Arial" w:eastAsia="Arial" w:hAnsi="Arial"/>
          <w:b/>
          <w:bCs/>
          <w:color w:val="2563EB"/>
          <w:sz w:val="26"/>
          <w:szCs w:val="26"/>
        </w:rPr>
        <w:t xml:space="preserve">9.3  Sample-Specific Protocol Templates</w:t>
      </w:r>
    </w:p>
    <w:p>
      <w:pPr>
        <w:spacing w:after="120" w:before="80"/>
      </w:pPr>
      <w:r>
        <w:rPr>
          <w:rFonts w:ascii="Arial" w:cs="Arial" w:eastAsia="Arial" w:hAnsi="Arial"/>
          <w:sz w:val="20"/>
          <w:szCs w:val="20"/>
        </w:rPr>
        <w:t xml:space="preserve">The software should maintain separate protocol templates for each of the following sample types, as each has distinct preparation requirements:</w:t>
      </w:r>
    </w:p>
    <w:p>
      <w:pPr>
        <w:pStyle w:val="ListParagraph"/>
        <w:numPr>
          <w:ilvl w:val="0"/>
          <w:numId w:val="2"/>
        </w:numPr>
        <w:spacing w:after="40" w:before="40"/>
      </w:pPr>
      <w:r>
        <w:rPr>
          <w:rFonts w:ascii="Arial" w:cs="Arial" w:eastAsia="Arial" w:hAnsi="Arial"/>
          <w:sz w:val="20"/>
          <w:szCs w:val="20"/>
        </w:rPr>
        <w:t xml:space="preserve">Adherent cultured cells (on coverslips or chamber slides)</w:t>
      </w:r>
    </w:p>
    <w:p>
      <w:pPr>
        <w:pStyle w:val="ListParagraph"/>
        <w:numPr>
          <w:ilvl w:val="0"/>
          <w:numId w:val="2"/>
        </w:numPr>
        <w:spacing w:after="40" w:before="40"/>
      </w:pPr>
      <w:r>
        <w:rPr>
          <w:rFonts w:ascii="Arial" w:cs="Arial" w:eastAsia="Arial" w:hAnsi="Arial"/>
          <w:sz w:val="20"/>
          <w:szCs w:val="20"/>
        </w:rPr>
        <w:t xml:space="preserve">Suspension cells (fixed and mounted, or flow cytometry)</w:t>
      </w:r>
    </w:p>
    <w:p>
      <w:pPr>
        <w:pStyle w:val="ListParagraph"/>
        <w:numPr>
          <w:ilvl w:val="0"/>
          <w:numId w:val="2"/>
        </w:numPr>
        <w:spacing w:after="40" w:before="40"/>
      </w:pPr>
      <w:r>
        <w:rPr>
          <w:rFonts w:ascii="Arial" w:cs="Arial" w:eastAsia="Arial" w:hAnsi="Arial"/>
          <w:sz w:val="20"/>
          <w:szCs w:val="20"/>
        </w:rPr>
        <w:t xml:space="preserve">Cryosections (frozen tissue, OCT-embedded)</w:t>
      </w:r>
    </w:p>
    <w:p>
      <w:pPr>
        <w:pStyle w:val="ListParagraph"/>
        <w:numPr>
          <w:ilvl w:val="0"/>
          <w:numId w:val="2"/>
        </w:numPr>
        <w:spacing w:after="40" w:before="40"/>
      </w:pPr>
      <w:r>
        <w:rPr>
          <w:rFonts w:ascii="Arial" w:cs="Arial" w:eastAsia="Arial" w:hAnsi="Arial"/>
          <w:sz w:val="20"/>
          <w:szCs w:val="20"/>
        </w:rPr>
        <w:t xml:space="preserve">FFPE sections (formalin-fixed paraffin-embedded — requires antigen retrieval)</w:t>
      </w:r>
    </w:p>
    <w:p>
      <w:pPr>
        <w:pStyle w:val="ListParagraph"/>
        <w:numPr>
          <w:ilvl w:val="0"/>
          <w:numId w:val="2"/>
        </w:numPr>
        <w:spacing w:after="40" w:before="40"/>
      </w:pPr>
      <w:r>
        <w:rPr>
          <w:rFonts w:ascii="Arial" w:cs="Arial" w:eastAsia="Arial" w:hAnsi="Arial"/>
          <w:sz w:val="20"/>
          <w:szCs w:val="20"/>
        </w:rPr>
        <w:t xml:space="preserve">Organoids and 3D cultures (clearing and whole-mount protocols)</w:t>
      </w:r>
    </w:p>
    <w:p>
      <w:pPr>
        <w:pStyle w:val="ListParagraph"/>
        <w:numPr>
          <w:ilvl w:val="0"/>
          <w:numId w:val="2"/>
        </w:numPr>
        <w:spacing w:after="40" w:before="40"/>
      </w:pPr>
      <w:r>
        <w:rPr>
          <w:rFonts w:ascii="Arial" w:cs="Arial" w:eastAsia="Arial" w:hAnsi="Arial"/>
          <w:sz w:val="20"/>
          <w:szCs w:val="20"/>
        </w:rPr>
        <w:t xml:space="preserve">Whole-mount embryos or small organisms</w:t>
      </w:r>
    </w:p>
    <w:p>
      <w:pPr>
        <w:pStyle w:val="ListParagraph"/>
        <w:numPr>
          <w:ilvl w:val="0"/>
          <w:numId w:val="2"/>
        </w:numPr>
        <w:spacing w:after="40" w:before="40"/>
      </w:pPr>
      <w:r>
        <w:rPr>
          <w:rFonts w:ascii="Arial" w:cs="Arial" w:eastAsia="Arial" w:hAnsi="Arial"/>
          <w:sz w:val="20"/>
          <w:szCs w:val="20"/>
        </w:rPr>
        <w:t xml:space="preserve">Cytospins and blood smears</w:t>
      </w:r>
    </w:p>
    <w:p>
      <w:pPr>
        <w:pStyle w:val="ListParagraph"/>
        <w:numPr>
          <w:ilvl w:val="0"/>
          <w:numId w:val="2"/>
        </w:numPr>
        <w:spacing w:after="40" w:before="40"/>
      </w:pPr>
      <w:r>
        <w:rPr>
          <w:rFonts w:ascii="Arial" w:cs="Arial" w:eastAsia="Arial" w:hAnsi="Arial"/>
          <w:sz w:val="20"/>
          <w:szCs w:val="20"/>
        </w:rPr>
        <w:t xml:space="preserve">Tissue microarrays (TMAs)</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9.4  Antigen Retrieval (FFPE-Specific)</w:t>
      </w:r>
    </w:p>
    <w:p>
      <w:pPr>
        <w:spacing w:after="120" w:before="80"/>
      </w:pPr>
      <w:r>
        <w:rPr>
          <w:rFonts w:ascii="Arial" w:cs="Arial" w:eastAsia="Arial" w:hAnsi="Arial"/>
          <w:sz w:val="20"/>
          <w:szCs w:val="20"/>
        </w:rPr>
        <w:t xml:space="preserve">FFPE samples require antigen retrieval to reverse cross-linking caused by formalin fixation. The software must prompt users to select the correct retrieval method per antibody, as this is antibody-dependent and critical for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Buffer / Solution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Conditions</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Heat-Induced (HIER)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Citrate buffer pH 6.0</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95-100°C, 20 min</w:t>
            </w:r>
          </w:p>
        </w:tc>
        <w:tc>
          <w:tcPr>
            <w:tcW w:type="dxa" w:w="3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Most antibodies; cytoplasmic and nuclear targets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Heat-Induced (HIER)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EDTA/Tris buffer pH 9.0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95-100°C, 20 min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Some nuclear targets; phospho-antibodies</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Enzymatic</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Proteinase 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37°C, 10-20 min</w:t>
            </w:r>
          </w:p>
        </w:tc>
        <w:tc>
          <w:tcPr>
            <w:tcW w:type="dxa" w:w="3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Some extracellular matrix targets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Enzymatic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Trypsin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37°C, 10-20 min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Membrane targets in heavily fixed tissue</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No retrieval</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None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N/A</w:t>
            </w:r>
          </w:p>
        </w:tc>
        <w:tc>
          <w:tcPr>
            <w:tcW w:type="dxa" w:w="3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Some antibodies — check datasheet</w:t>
            </w:r>
          </w:p>
        </w:tc>
      </w:tr>
    </w:tbl>
    <w:p>
      <w:pPr>
        <w:spacing w:after="240" w:before="0"/>
      </w:pPr>
      <w:r>
        <w:t xml:space="preserve"/>
      </w:r>
    </w:p>
    <w:p>
      <w:pPr>
        <w:pStyle w:val="Heading1"/>
        <w:spacing w:after="160" w:before="400"/>
      </w:pPr>
      <w:r>
        <w:rPr>
          <w:rFonts w:ascii="Arial" w:cs="Arial" w:eastAsia="Arial" w:hAnsi="Arial"/>
          <w:b/>
          <w:bCs/>
          <w:color w:val="1E3A5F"/>
          <w:sz w:val="32"/>
          <w:szCs w:val="32"/>
        </w:rPr>
        <w:t xml:space="preserve">10. Alternative Plan Generation</w:t>
      </w:r>
    </w:p>
    <w:p>
      <w:pPr>
        <w:spacing w:after="120" w:before="80"/>
      </w:pPr>
      <w:r>
        <w:rPr>
          <w:rFonts w:ascii="Arial" w:cs="Arial" w:eastAsia="Arial" w:hAnsi="Arial"/>
          <w:sz w:val="20"/>
          <w:szCs w:val="20"/>
        </w:rPr>
        <w:t xml:space="preserve">A key software feature is the ability to generate multiple alternative panel designs (plans A, B, C, etc.) when the preferred configuration is unavailable or suboptimal. The alternative plan engine should systematically vary the following parameters:</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10.1  Variables for Alternative Plans</w:t>
      </w:r>
    </w:p>
    <w:p>
      <w:pPr>
        <w:pStyle w:val="ListParagraph"/>
        <w:numPr>
          <w:ilvl w:val="0"/>
          <w:numId w:val="2"/>
        </w:numPr>
        <w:spacing w:after="40" w:before="40"/>
      </w:pPr>
      <w:r>
        <w:rPr>
          <w:rFonts w:ascii="Arial" w:cs="Arial" w:eastAsia="Arial" w:hAnsi="Arial"/>
          <w:sz w:val="20"/>
          <w:szCs w:val="20"/>
        </w:rPr>
        <w:t xml:space="preserve">Fluorophore assignment — same targets, different channel assignments to reduce spillover</w:t>
      </w:r>
    </w:p>
    <w:p>
      <w:pPr>
        <w:pStyle w:val="ListParagraph"/>
        <w:numPr>
          <w:ilvl w:val="0"/>
          <w:numId w:val="2"/>
        </w:numPr>
        <w:spacing w:after="40" w:before="40"/>
      </w:pPr>
      <w:r>
        <w:rPr>
          <w:rFonts w:ascii="Arial" w:cs="Arial" w:eastAsia="Arial" w:hAnsi="Arial"/>
          <w:sz w:val="20"/>
          <w:szCs w:val="20"/>
        </w:rPr>
        <w:t xml:space="preserve">Direct vs. indirect — switch between directly conjugated and unconjugated+secondary approaches</w:t>
      </w:r>
    </w:p>
    <w:p>
      <w:pPr>
        <w:pStyle w:val="ListParagraph"/>
        <w:numPr>
          <w:ilvl w:val="0"/>
          <w:numId w:val="2"/>
        </w:numPr>
        <w:spacing w:after="40" w:before="40"/>
      </w:pPr>
      <w:r>
        <w:rPr>
          <w:rFonts w:ascii="Arial" w:cs="Arial" w:eastAsia="Arial" w:hAnsi="Arial"/>
          <w:sz w:val="20"/>
          <w:szCs w:val="20"/>
        </w:rPr>
        <w:t xml:space="preserve">Vendor alternatives — same target and validation level but different manufacturer for cost or availability</w:t>
      </w:r>
    </w:p>
    <w:p>
      <w:pPr>
        <w:pStyle w:val="ListParagraph"/>
        <w:numPr>
          <w:ilvl w:val="0"/>
          <w:numId w:val="2"/>
        </w:numPr>
        <w:spacing w:after="40" w:before="40"/>
      </w:pPr>
      <w:r>
        <w:rPr>
          <w:rFonts w:ascii="Arial" w:cs="Arial" w:eastAsia="Arial" w:hAnsi="Arial"/>
          <w:sz w:val="20"/>
          <w:szCs w:val="20"/>
        </w:rPr>
        <w:t xml:space="preserve">Panel splitting — if single panel exceeds channel count, split into two sequential staining panels</w:t>
      </w:r>
    </w:p>
    <w:p>
      <w:pPr>
        <w:pStyle w:val="ListParagraph"/>
        <w:numPr>
          <w:ilvl w:val="0"/>
          <w:numId w:val="2"/>
        </w:numPr>
        <w:spacing w:after="40" w:before="40"/>
      </w:pPr>
      <w:r>
        <w:rPr>
          <w:rFonts w:ascii="Arial" w:cs="Arial" w:eastAsia="Arial" w:hAnsi="Arial"/>
          <w:sz w:val="20"/>
          <w:szCs w:val="20"/>
        </w:rPr>
        <w:t xml:space="preserve">Sequential staining (Opal/Tyramide method) — for highly multiplexed tissue IF (6-10+ channels on 1 slide)</w:t>
      </w:r>
    </w:p>
    <w:p>
      <w:pPr>
        <w:pStyle w:val="ListParagraph"/>
        <w:numPr>
          <w:ilvl w:val="0"/>
          <w:numId w:val="2"/>
        </w:numPr>
        <w:spacing w:after="40" w:before="40"/>
      </w:pPr>
      <w:r>
        <w:rPr>
          <w:rFonts w:ascii="Arial" w:cs="Arial" w:eastAsia="Arial" w:hAnsi="Arial"/>
          <w:sz w:val="20"/>
          <w:szCs w:val="20"/>
        </w:rPr>
        <w:t xml:space="preserve">Primary antibody alternatives — equivalent clone from different vendor at lower price</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10.2  Plan Comparison Output</w:t>
      </w:r>
    </w:p>
    <w:p>
      <w:pPr>
        <w:spacing w:after="120" w:before="80"/>
      </w:pPr>
      <w:r>
        <w:rPr>
          <w:rFonts w:ascii="Arial" w:cs="Arial" w:eastAsia="Arial" w:hAnsi="Arial"/>
          <w:sz w:val="20"/>
          <w:szCs w:val="20"/>
        </w:rPr>
        <w:t xml:space="preserve">The software should present plans side by side, comparing: total cost (in-house vs. to-purchase), validation level score, spectral overlap score (lower is better), estimated time to complete, and number of reagents requiring procurement.</w:t>
      </w:r>
    </w:p>
    <w:p>
      <w:pPr>
        <w:spacing w:after="240" w:before="0"/>
      </w:pPr>
      <w:r>
        <w:t xml:space="preserve"/>
      </w:r>
    </w:p>
    <w:p>
      <w:pPr>
        <w:pStyle w:val="Heading1"/>
        <w:spacing w:after="160" w:before="400"/>
      </w:pPr>
      <w:r>
        <w:rPr>
          <w:rFonts w:ascii="Arial" w:cs="Arial" w:eastAsia="Arial" w:hAnsi="Arial"/>
          <w:b/>
          <w:bCs/>
          <w:color w:val="1E3A5F"/>
          <w:sz w:val="32"/>
          <w:szCs w:val="32"/>
        </w:rPr>
        <w:t xml:space="preserve">11. Cost Calculation &amp; Budget Management</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11.1  Cost Components</w:t>
      </w:r>
    </w:p>
    <w:p>
      <w:pPr>
        <w:pStyle w:val="ListParagraph"/>
        <w:numPr>
          <w:ilvl w:val="0"/>
          <w:numId w:val="2"/>
        </w:numPr>
        <w:spacing w:after="40" w:before="40"/>
      </w:pPr>
      <w:r>
        <w:rPr>
          <w:rFonts w:ascii="Arial" w:cs="Arial" w:eastAsia="Arial" w:hAnsi="Arial"/>
          <w:sz w:val="20"/>
          <w:szCs w:val="20"/>
        </w:rPr>
        <w:t xml:space="preserve">Per-experiment antibody cost: (working volume per sample × number of samples) / (stock concentration × dilution factor) × price per unit</w:t>
      </w:r>
    </w:p>
    <w:p>
      <w:pPr>
        <w:pStyle w:val="ListParagraph"/>
        <w:numPr>
          <w:ilvl w:val="0"/>
          <w:numId w:val="2"/>
        </w:numPr>
        <w:spacing w:after="40" w:before="40"/>
      </w:pPr>
      <w:r>
        <w:rPr>
          <w:rFonts w:ascii="Arial" w:cs="Arial" w:eastAsia="Arial" w:hAnsi="Arial"/>
          <w:sz w:val="20"/>
          <w:szCs w:val="20"/>
        </w:rPr>
        <w:t xml:space="preserve">Amortized cost for in-house antibodies (already purchased — software marks as $0 additional cost)</w:t>
      </w:r>
    </w:p>
    <w:p>
      <w:pPr>
        <w:pStyle w:val="ListParagraph"/>
        <w:numPr>
          <w:ilvl w:val="0"/>
          <w:numId w:val="2"/>
        </w:numPr>
        <w:spacing w:after="40" w:before="40"/>
      </w:pPr>
      <w:r>
        <w:rPr>
          <w:rFonts w:ascii="Arial" w:cs="Arial" w:eastAsia="Arial" w:hAnsi="Arial"/>
          <w:sz w:val="20"/>
          <w:szCs w:val="20"/>
        </w:rPr>
        <w:t xml:space="preserve">Secondary antibody cost (often overlooked in budget planning)</w:t>
      </w:r>
    </w:p>
    <w:p>
      <w:pPr>
        <w:pStyle w:val="ListParagraph"/>
        <w:numPr>
          <w:ilvl w:val="0"/>
          <w:numId w:val="2"/>
        </w:numPr>
        <w:spacing w:after="40" w:before="40"/>
      </w:pPr>
      <w:r>
        <w:rPr>
          <w:rFonts w:ascii="Arial" w:cs="Arial" w:eastAsia="Arial" w:hAnsi="Arial"/>
          <w:sz w:val="20"/>
          <w:szCs w:val="20"/>
        </w:rPr>
        <w:t xml:space="preserve">Consumables estimate: coverslips, mounting media, blocking serum, wash buffers</w:t>
      </w:r>
    </w:p>
    <w:p>
      <w:pPr>
        <w:pStyle w:val="ListParagraph"/>
        <w:numPr>
          <w:ilvl w:val="0"/>
          <w:numId w:val="2"/>
        </w:numPr>
        <w:spacing w:after="40" w:before="40"/>
      </w:pPr>
      <w:r>
        <w:rPr>
          <w:rFonts w:ascii="Arial" w:cs="Arial" w:eastAsia="Arial" w:hAnsi="Arial"/>
          <w:sz w:val="20"/>
          <w:szCs w:val="20"/>
        </w:rPr>
        <w:t xml:space="preserve">Core facility imaging cost (hourly rate × estimated session time)</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11.2  Volume Calculation Formula</w:t>
      </w:r>
    </w:p>
    <w:p>
      <w:pPr>
        <w:spacing w:after="120" w:before="80"/>
      </w:pPr>
      <w:r>
        <w:rPr>
          <w:rFonts w:ascii="Arial" w:cs="Arial" w:eastAsia="Arial" w:hAnsi="Arial"/>
          <w:sz w:val="20"/>
          <w:szCs w:val="20"/>
        </w:rPr>
        <w:t xml:space="preserve">The software should auto-calculate how much antibody to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78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Volume needed (µL) = (µL per sample / dilution factor) × number of samples × 1.2 (20% overage buffer). Then calculate: units needed = volume needed / volume per unit. Round up to nearest integer unit for purchase.</w:t>
            </w:r>
          </w:p>
        </w:tc>
      </w:tr>
    </w:tbl>
    <w:p>
      <w:pPr>
        <w:spacing w:after="240" w:before="0"/>
      </w:pPr>
      <w:r>
        <w:t xml:space="preserve"/>
      </w:r>
    </w:p>
    <w:p>
      <w:pPr>
        <w:pStyle w:val="Heading1"/>
        <w:spacing w:after="160" w:before="400"/>
      </w:pPr>
      <w:r>
        <w:rPr>
          <w:rFonts w:ascii="Arial" w:cs="Arial" w:eastAsia="Arial" w:hAnsi="Arial"/>
          <w:b/>
          <w:bCs/>
          <w:color w:val="1E3A5F"/>
          <w:sz w:val="32"/>
          <w:szCs w:val="32"/>
        </w:rPr>
        <w:t xml:space="preserve">12. Software Architecture Recommendations</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12.1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Recommended Technology</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Language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Python 3.11+</w:t>
            </w:r>
          </w:p>
        </w:tc>
        <w:tc>
          <w:tcPr>
            <w:tcW w:type="dxa" w:w="5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Core logic, scraping, data processing, protocol generation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Frontend / UI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Streamlit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Fast browser-based UI; drag-and-drop panel builder</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Database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SQLite (via SQLAlchemy)</w:t>
            </w:r>
          </w:p>
        </w:tc>
        <w:tc>
          <w:tcPr>
            <w:tcW w:type="dxa" w:w="5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Antibody inventory, fluorophore library, instrument profiles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Scraping (static)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BeautifulSoup4 + Requests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HTML parsing for catalog pages</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Scraping (JS pages)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Selenium or Playwright</w:t>
            </w:r>
          </w:p>
        </w:tc>
        <w:tc>
          <w:tcPr>
            <w:tcW w:type="dxa" w:w="5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JavaScript-rendered catalog sites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Price caching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SQLite + TTL logic</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Avoid excessive scraping; cache prices for 24h</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Data modeling</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Pydantic</w:t>
            </w:r>
          </w:p>
        </w:tc>
        <w:tc>
          <w:tcPr>
            <w:tcW w:type="dxa" w:w="5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Type-safe data models for antibodies, panels, protocols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PDF export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ReportLab or WeasyPrint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Protocol PDF generation</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Excel export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openpyxl</w:t>
            </w:r>
          </w:p>
        </w:tc>
        <w:tc>
          <w:tcPr>
            <w:tcW w:type="dxa" w:w="5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Reagent tables and shopping lists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Spectral data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NumPy + Pandas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Fluorophore spectral overlap calculations</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Visualization</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Plotly</w:t>
            </w:r>
          </w:p>
        </w:tc>
        <w:tc>
          <w:tcPr>
            <w:tcW w:type="dxa" w:w="5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Interactive spectral overlap plots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Testing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pytest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Unit tests for rules engine</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Config management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YAML files</w:t>
            </w:r>
          </w:p>
        </w:tc>
        <w:tc>
          <w:tcPr>
            <w:tcW w:type="dxa" w:w="5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Instrument profiles, fluorophore database</w:t>
            </w:r>
          </w:p>
        </w:tc>
      </w:tr>
    </w:tbl>
    <w:p>
      <w:pPr>
        <w:spacing w:after="240" w:before="0"/>
      </w:pPr>
      <w:r>
        <w:t xml:space="preserve"/>
      </w:r>
    </w:p>
    <w:p>
      <w:pPr>
        <w:pStyle w:val="Heading2"/>
        <w:spacing w:after="120" w:before="320"/>
      </w:pPr>
      <w:r>
        <w:rPr>
          <w:rFonts w:ascii="Arial" w:cs="Arial" w:eastAsia="Arial" w:hAnsi="Arial"/>
          <w:b/>
          <w:bCs/>
          <w:color w:val="2563EB"/>
          <w:sz w:val="26"/>
          <w:szCs w:val="26"/>
        </w:rPr>
        <w:t xml:space="preserve">12.2  Core Data Models (Python Classes)</w:t>
      </w:r>
    </w:p>
    <w:p>
      <w:pPr>
        <w:spacing w:after="120" w:before="80"/>
      </w:pPr>
      <w:r>
        <w:rPr>
          <w:rFonts w:ascii="Arial" w:cs="Arial" w:eastAsia="Arial" w:hAnsi="Arial"/>
          <w:sz w:val="20"/>
          <w:szCs w:val="20"/>
        </w:rPr>
        <w:t xml:space="preserve">The software should define the following core Pydantic models as the foundation of all data flow:</w:t>
      </w:r>
    </w:p>
    <w:p>
      <w:pPr>
        <w:pStyle w:val="ListParagraph"/>
        <w:numPr>
          <w:ilvl w:val="0"/>
          <w:numId w:val="2"/>
        </w:numPr>
        <w:spacing w:after="40" w:before="40"/>
      </w:pPr>
      <w:r>
        <w:rPr>
          <w:rFonts w:ascii="Arial" w:cs="Arial" w:eastAsia="Arial" w:hAnsi="Arial"/>
          <w:sz w:val="20"/>
          <w:szCs w:val="20"/>
        </w:rPr>
        <w:t xml:space="preserve">Fluorophore — excitation peak, emission peak, brightness index, compatible lasers, emission spectrum array, Stokes shift</w:t>
      </w:r>
    </w:p>
    <w:p>
      <w:pPr>
        <w:pStyle w:val="ListParagraph"/>
        <w:numPr>
          <w:ilvl w:val="0"/>
          <w:numId w:val="2"/>
        </w:numPr>
        <w:spacing w:after="40" w:before="40"/>
      </w:pPr>
      <w:r>
        <w:rPr>
          <w:rFonts w:ascii="Arial" w:cs="Arial" w:eastAsia="Arial" w:hAnsi="Arial"/>
          <w:sz w:val="20"/>
          <w:szCs w:val="20"/>
        </w:rPr>
        <w:t xml:space="preserve">Laser — wavelength, power, name, common instrument associations</w:t>
      </w:r>
    </w:p>
    <w:p>
      <w:pPr>
        <w:pStyle w:val="ListParagraph"/>
        <w:numPr>
          <w:ilvl w:val="0"/>
          <w:numId w:val="2"/>
        </w:numPr>
        <w:spacing w:after="40" w:before="40"/>
      </w:pPr>
      <w:r>
        <w:rPr>
          <w:rFonts w:ascii="Arial" w:cs="Arial" w:eastAsia="Arial" w:hAnsi="Arial"/>
          <w:sz w:val="20"/>
          <w:szCs w:val="20"/>
        </w:rPr>
        <w:t xml:space="preserve">Channel — laser reference, filter center, filter bandwidth, common fluorophores captured</w:t>
      </w:r>
    </w:p>
    <w:p>
      <w:pPr>
        <w:pStyle w:val="ListParagraph"/>
        <w:numPr>
          <w:ilvl w:val="0"/>
          <w:numId w:val="2"/>
        </w:numPr>
        <w:spacing w:after="40" w:before="40"/>
      </w:pPr>
      <w:r>
        <w:rPr>
          <w:rFonts w:ascii="Arial" w:cs="Arial" w:eastAsia="Arial" w:hAnsi="Arial"/>
          <w:sz w:val="20"/>
          <w:szCs w:val="20"/>
        </w:rPr>
        <w:t xml:space="preserve">InstrumentProfile — name, list of laser+channel configurations, spectral or conventional mode</w:t>
      </w:r>
    </w:p>
    <w:p>
      <w:pPr>
        <w:pStyle w:val="ListParagraph"/>
        <w:numPr>
          <w:ilvl w:val="0"/>
          <w:numId w:val="2"/>
        </w:numPr>
        <w:spacing w:after="40" w:before="40"/>
      </w:pPr>
      <w:r>
        <w:rPr>
          <w:rFonts w:ascii="Arial" w:cs="Arial" w:eastAsia="Arial" w:hAnsi="Arial"/>
          <w:sz w:val="20"/>
          <w:szCs w:val="20"/>
        </w:rPr>
        <w:t xml:space="preserve">PrimaryAntibody — all fields from Section 2.1</w:t>
      </w:r>
    </w:p>
    <w:p>
      <w:pPr>
        <w:pStyle w:val="ListParagraph"/>
        <w:numPr>
          <w:ilvl w:val="0"/>
          <w:numId w:val="2"/>
        </w:numPr>
        <w:spacing w:after="40" w:before="40"/>
      </w:pPr>
      <w:r>
        <w:rPr>
          <w:rFonts w:ascii="Arial" w:cs="Arial" w:eastAsia="Arial" w:hAnsi="Arial"/>
          <w:sz w:val="20"/>
          <w:szCs w:val="20"/>
        </w:rPr>
        <w:t xml:space="preserve">SecondaryAntibody — all fields from Section 2.2</w:t>
      </w:r>
    </w:p>
    <w:p>
      <w:pPr>
        <w:pStyle w:val="ListParagraph"/>
        <w:numPr>
          <w:ilvl w:val="0"/>
          <w:numId w:val="2"/>
        </w:numPr>
        <w:spacing w:after="40" w:before="40"/>
      </w:pPr>
      <w:r>
        <w:rPr>
          <w:rFonts w:ascii="Arial" w:cs="Arial" w:eastAsia="Arial" w:hAnsi="Arial"/>
          <w:sz w:val="20"/>
          <w:szCs w:val="20"/>
        </w:rPr>
        <w:t xml:space="preserve">InventoryItem — antibody reference + inventory fields from Section 8.1</w:t>
      </w:r>
    </w:p>
    <w:p>
      <w:pPr>
        <w:pStyle w:val="ListParagraph"/>
        <w:numPr>
          <w:ilvl w:val="0"/>
          <w:numId w:val="2"/>
        </w:numPr>
        <w:spacing w:after="40" w:before="40"/>
      </w:pPr>
      <w:r>
        <w:rPr>
          <w:rFonts w:ascii="Arial" w:cs="Arial" w:eastAsia="Arial" w:hAnsi="Arial"/>
          <w:sz w:val="20"/>
          <w:szCs w:val="20"/>
        </w:rPr>
        <w:t xml:space="preserve">PanelTarget — target antigen + assigned primary + assigned secondary + fluorophore + channel + expression level</w:t>
      </w:r>
    </w:p>
    <w:p>
      <w:pPr>
        <w:pStyle w:val="ListParagraph"/>
        <w:numPr>
          <w:ilvl w:val="0"/>
          <w:numId w:val="2"/>
        </w:numPr>
        <w:spacing w:after="40" w:before="40"/>
      </w:pPr>
      <w:r>
        <w:rPr>
          <w:rFonts w:ascii="Arial" w:cs="Arial" w:eastAsia="Arial" w:hAnsi="Arial"/>
          <w:sz w:val="20"/>
          <w:szCs w:val="20"/>
        </w:rPr>
        <w:t xml:space="preserve">Panel — experiment type + sample type + instrument profile + list of PanelTargets + list of controls</w:t>
      </w:r>
    </w:p>
    <w:p>
      <w:pPr>
        <w:pStyle w:val="ListParagraph"/>
        <w:numPr>
          <w:ilvl w:val="0"/>
          <w:numId w:val="2"/>
        </w:numPr>
        <w:spacing w:after="40" w:before="40"/>
      </w:pPr>
      <w:r>
        <w:rPr>
          <w:rFonts w:ascii="Arial" w:cs="Arial" w:eastAsia="Arial" w:hAnsi="Arial"/>
          <w:sz w:val="20"/>
          <w:szCs w:val="20"/>
        </w:rPr>
        <w:t xml:space="preserve">ValidationResult — rule ID + severity + affected targets + suggested fix</w:t>
      </w:r>
    </w:p>
    <w:p>
      <w:pPr>
        <w:pStyle w:val="ListParagraph"/>
        <w:numPr>
          <w:ilvl w:val="0"/>
          <w:numId w:val="2"/>
        </w:numPr>
        <w:spacing w:after="40" w:before="40"/>
      </w:pPr>
      <w:r>
        <w:rPr>
          <w:rFonts w:ascii="Arial" w:cs="Arial" w:eastAsia="Arial" w:hAnsi="Arial"/>
          <w:sz w:val="20"/>
          <w:szCs w:val="20"/>
        </w:rPr>
        <w:t xml:space="preserve">AlternativePlan — panel variant + cost estimate + validation score + spectral overlap score</w:t>
      </w:r>
    </w:p>
    <w:p>
      <w:pPr>
        <w:pStyle w:val="ListParagraph"/>
        <w:numPr>
          <w:ilvl w:val="0"/>
          <w:numId w:val="2"/>
        </w:numPr>
        <w:spacing w:after="40" w:before="40"/>
      </w:pPr>
      <w:r>
        <w:rPr>
          <w:rFonts w:ascii="Arial" w:cs="Arial" w:eastAsia="Arial" w:hAnsi="Arial"/>
          <w:sz w:val="20"/>
          <w:szCs w:val="20"/>
        </w:rPr>
        <w:t xml:space="preserve">Protocol — panel reference + all protocol sections + version + author + date</w:t>
      </w:r>
    </w:p>
    <w:p>
      <w:pPr>
        <w:spacing w:after="240" w:before="0"/>
      </w:pPr>
      <w:r>
        <w:t xml:space="preserve"/>
      </w:r>
    </w:p>
    <w:p>
      <w:pPr>
        <w:pStyle w:val="Heading2"/>
        <w:spacing w:after="120" w:before="320"/>
      </w:pPr>
      <w:r>
        <w:rPr>
          <w:rFonts w:ascii="Arial" w:cs="Arial" w:eastAsia="Arial" w:hAnsi="Arial"/>
          <w:b/>
          <w:bCs/>
          <w:color w:val="2563EB"/>
          <w:sz w:val="26"/>
          <w:szCs w:val="26"/>
        </w:rPr>
        <w:t xml:space="preserve">12.3  Fluorophore Spectral Database</w:t>
      </w:r>
    </w:p>
    <w:p>
      <w:pPr>
        <w:spacing w:after="120" w:before="80"/>
      </w:pPr>
      <w:r>
        <w:rPr>
          <w:rFonts w:ascii="Arial" w:cs="Arial" w:eastAsia="Arial" w:hAnsi="Arial"/>
          <w:sz w:val="20"/>
          <w:szCs w:val="20"/>
        </w:rPr>
        <w:t xml:space="preserve">The software should ship with a built-in YAML or JSON database of all major fluorophores including their full emission spectrum (sampled every 5nm from 400nm to 900nm) as arrays. This enables precise overlap integral calculations. The FPbase (fpbase.org) provides downloadable spectra for most fluorescent proteins and many synthetic fluorophores and should be used as the primary data source for populating this database.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78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FPbase (fpbase.org) is a peer-reviewed, community-curated fluorescent protein database with spectra for 1000+ fluorophores in JSON format. Biocompare also maintains a Fluorescence SpectraViewer. Both can be scraped or downloaded to populate the app's spectral library.</w:t>
            </w:r>
          </w:p>
        </w:tc>
      </w:tr>
    </w:tbl>
    <w:p>
      <w:pPr>
        <w:spacing w:after="240" w:before="0"/>
      </w:pPr>
      <w:r>
        <w:t xml:space="preserve"/>
      </w:r>
    </w:p>
    <w:p>
      <w:pPr>
        <w:pStyle w:val="Heading1"/>
        <w:spacing w:after="160" w:before="400"/>
      </w:pPr>
      <w:r>
        <w:rPr>
          <w:rFonts w:ascii="Arial" w:cs="Arial" w:eastAsia="Arial" w:hAnsi="Arial"/>
          <w:b/>
          <w:bCs/>
          <w:color w:val="1E3A5F"/>
          <w:sz w:val="32"/>
          <w:szCs w:val="32"/>
        </w:rPr>
        <w:t xml:space="preserve">13. Common Troubleshooting Knowledge Base</w:t>
      </w:r>
    </w:p>
    <w:p>
      <w:pPr>
        <w:spacing w:after="120" w:before="80"/>
      </w:pPr>
      <w:r>
        <w:rPr>
          <w:rFonts w:ascii="Arial" w:cs="Arial" w:eastAsia="Arial" w:hAnsi="Arial"/>
          <w:sz w:val="20"/>
          <w:szCs w:val="20"/>
        </w:rPr>
        <w:t xml:space="preserve">The software should include a searchable troubleshooting guide embedded in the protocol output. The following is the core knowledge the software must encode: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Likely Cause(s)</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Solution(s)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No signal</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Wrong dilution; antibody degraded; antigen retrieval failed; wrong secondary species; protein not expressed</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Titrate antibody; check lot; repeat AR; verify secondary compatibility; check positive control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background — all cells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too concentrated; blocking insufficient; secondary cross-reactive; tissue autofluorescence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Increase blocking time/serum %; dilute primary; use pre-adsorbed secondary; add Sudan Black for tissue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Speckled / punctate background</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Antibody aggregation; secondary cross-reacts with endogenous Ig (tissue)</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Filter antibody through 0.22µm; use Fab secondaries; block endogenous Ig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Edge effects / ring staining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Incomplete permeabilization; diffusion artifact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Extend Triton X-100 time; use saponin for gentler permeabilization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Signal in wrong cell type / compartment</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Non-specific binding; cross-reactivity; antigen leakage during fixation</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Titrate down; verify with knockout control; fix faster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Bleed-through into adjacent channel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Spectral spillover; too much antibody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Apply compensation; reduce primary concentration; redesign panel</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Signal lost after antigen retrieval</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Over-retrieval destroys epitope</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Reduce retrieval time or temperature; try lower pH buffer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Weak signal in multiplexed panel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Antibody steric hindrance; epitope competition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Stain most difficult antibodies first; test sequential vs. simultaneous staining</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Tandem dye signal in donor channel</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Incomplete FRET; dye degradation</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8"/>
                <w:szCs w:val="18"/>
              </w:rPr>
              <w:t xml:space="preserve">Check lot integrity; use fresh aliquot; verify storage conditions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cell autofluorescence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Aldehyde fixation; glutaraldehyde; dead cells; mitochondria-rich cells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 sodium borohydride quenching post-fixation; exclude dead cells; use far-red fluorophores</w:t>
            </w:r>
          </w:p>
        </w:tc>
      </w:tr>
    </w:tbl>
    <w:p>
      <w:pPr>
        <w:spacing w:after="240" w:before="0"/>
      </w:pPr>
      <w:r>
        <w:t xml:space="preserve"/>
      </w:r>
    </w:p>
    <w:p>
      <w:pPr>
        <w:pStyle w:val="Heading1"/>
        <w:spacing w:after="160" w:before="400"/>
      </w:pPr>
      <w:r>
        <w:rPr>
          <w:rFonts w:ascii="Arial" w:cs="Arial" w:eastAsia="Arial" w:hAnsi="Arial"/>
          <w:b/>
          <w:bCs/>
          <w:color w:val="1E3A5F"/>
          <w:sz w:val="32"/>
          <w:szCs w:val="32"/>
        </w:rPr>
        <w:t xml:space="preserve">14. Regulatory, Reproducibility &amp; Reporting Standards</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14.1  Minimum Information Standards</w:t>
      </w:r>
    </w:p>
    <w:p>
      <w:pPr>
        <w:spacing w:after="120" w:before="80"/>
      </w:pPr>
      <w:r>
        <w:rPr>
          <w:rFonts w:ascii="Arial" w:cs="Arial" w:eastAsia="Arial" w:hAnsi="Arial"/>
          <w:sz w:val="20"/>
          <w:szCs w:val="20"/>
        </w:rPr>
        <w:t xml:space="preserve">The antibody field is moving toward mandatory minimum reporting. The software should automatically generate protocol sections that comply with:</w:t>
      </w:r>
    </w:p>
    <w:p>
      <w:pPr>
        <w:pStyle w:val="ListParagraph"/>
        <w:numPr>
          <w:ilvl w:val="0"/>
          <w:numId w:val="2"/>
        </w:numPr>
        <w:spacing w:after="40" w:before="40"/>
      </w:pPr>
      <w:r>
        <w:rPr>
          <w:rFonts w:ascii="Arial" w:cs="Arial" w:eastAsia="Arial" w:hAnsi="Arial"/>
          <w:sz w:val="20"/>
          <w:szCs w:val="20"/>
        </w:rPr>
        <w:t xml:space="preserve">MIACME (Minimum Information About a Cellular/Molecular Experiment) standards</w:t>
      </w:r>
    </w:p>
    <w:p>
      <w:pPr>
        <w:pStyle w:val="ListParagraph"/>
        <w:numPr>
          <w:ilvl w:val="0"/>
          <w:numId w:val="2"/>
        </w:numPr>
        <w:spacing w:after="40" w:before="40"/>
      </w:pPr>
      <w:r>
        <w:rPr>
          <w:rFonts w:ascii="Arial" w:cs="Arial" w:eastAsia="Arial" w:hAnsi="Arial"/>
          <w:sz w:val="20"/>
          <w:szCs w:val="20"/>
        </w:rPr>
        <w:t xml:space="preserve">RRID (Research Resource Identifier) — a unique identifier for every antibody, resolvable at scicrunch.org. Every antibody catalog should be cross-referenced with RRID.</w:t>
      </w:r>
    </w:p>
    <w:p>
      <w:pPr>
        <w:pStyle w:val="ListParagraph"/>
        <w:numPr>
          <w:ilvl w:val="0"/>
          <w:numId w:val="2"/>
        </w:numPr>
        <w:spacing w:after="40" w:before="40"/>
      </w:pPr>
      <w:r>
        <w:rPr>
          <w:rFonts w:ascii="Arial" w:cs="Arial" w:eastAsia="Arial" w:hAnsi="Arial"/>
          <w:sz w:val="20"/>
          <w:szCs w:val="20"/>
        </w:rPr>
        <w:t xml:space="preserve">IWGAV (International Working Group for Antibody Validation) validation pillar classification</w:t>
      </w:r>
    </w:p>
    <w:p>
      <w:pPr>
        <w:pStyle w:val="ListParagraph"/>
        <w:numPr>
          <w:ilvl w:val="0"/>
          <w:numId w:val="2"/>
        </w:numPr>
        <w:spacing w:after="40" w:before="40"/>
      </w:pPr>
      <w:r>
        <w:rPr>
          <w:rFonts w:ascii="Arial" w:cs="Arial" w:eastAsia="Arial" w:hAnsi="Arial"/>
          <w:sz w:val="20"/>
          <w:szCs w:val="20"/>
        </w:rPr>
        <w:t xml:space="preserve">Nature journals' antibody reporting guidelines (require catalog #, lot #, dilution, RRID, and validation method)</w:t>
      </w:r>
    </w:p>
    <w:p>
      <w:pPr>
        <w:spacing w:after="120" w:before="0"/>
      </w:pPr>
      <w:r>
        <w:t xml:space="preserve"/>
      </w:r>
    </w:p>
    <w:p>
      <w:pPr>
        <w:pStyle w:val="Heading2"/>
        <w:spacing w:after="120" w:before="320"/>
      </w:pPr>
      <w:r>
        <w:rPr>
          <w:rFonts w:ascii="Arial" w:cs="Arial" w:eastAsia="Arial" w:hAnsi="Arial"/>
          <w:b/>
          <w:bCs/>
          <w:color w:val="2563EB"/>
          <w:sz w:val="26"/>
          <w:szCs w:val="26"/>
        </w:rPr>
        <w:t xml:space="preserve">14.2  The Reproducibility Crisis Context</w:t>
      </w:r>
    </w:p>
    <w:p>
      <w:pPr>
        <w:spacing w:after="120" w:before="80"/>
      </w:pPr>
      <w:r>
        <w:rPr>
          <w:rFonts w:ascii="Arial" w:cs="Arial" w:eastAsia="Arial" w:hAnsi="Arial"/>
          <w:sz w:val="20"/>
          <w:szCs w:val="20"/>
        </w:rPr>
        <w:t xml:space="preserve">It is estimated that over 50% of commercially available antibodies do not perform as claimed. The software should integrate antibody validation metadata (from vendors and community databases like Antibodypedia, AntibodySociety Validation Survey, and Protein Atlas) and display confidence scores alongside search results. Products with published validation in the specific application the user needs should be ranked higher.</w:t>
      </w:r>
    </w:p>
    <w:p>
      <w:pPr>
        <w:spacing w:after="240" w:before="0"/>
      </w:pPr>
      <w:r>
        <w:t xml:space="preserve"/>
      </w:r>
    </w:p>
    <w:p>
      <w:pPr>
        <w:pBdr>
          <w:bottom w:val="single" w:color="2563EB" w:sz="4" w:space="1"/>
        </w:pBdr>
        <w:spacing w:after="160" w:before="160"/>
      </w:pPr>
      <w:r>
        <w:t xml:space="preserve"/>
      </w:r>
    </w:p>
    <w:p>
      <w:pPr>
        <w:spacing w:after="120" w:before="240"/>
        <w:jc w:val="center"/>
      </w:pPr>
      <w:r>
        <w:rPr>
          <w:rFonts w:ascii="Arial" w:cs="Arial" w:eastAsia="Arial" w:hAnsi="Arial"/>
          <w:b/>
          <w:bCs/>
          <w:color w:val="1E3A5F"/>
          <w:sz w:val="22"/>
          <w:szCs w:val="22"/>
        </w:rPr>
        <w:t xml:space="preserve">End of Background Knowledge Document</w:t>
      </w:r>
    </w:p>
    <w:p>
      <w:pPr>
        <w:spacing w:after="0" w:before="0"/>
        <w:jc w:val="center"/>
      </w:pPr>
      <w:r>
        <w:rPr>
          <w:rFonts w:ascii="Arial" w:cs="Arial" w:eastAsia="Arial" w:hAnsi="Arial"/>
          <w:i/>
          <w:iCs/>
          <w:color w:val="6B7280"/>
          <w:sz w:val="18"/>
          <w:szCs w:val="18"/>
        </w:rPr>
        <w:t xml:space="preserve">This document should be version-controlled alongside the software codebase and updated as the biological knowledge base expands.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8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 — Internal Lab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spacing w:after="120"/>
    </w:pPr>
    <w:r>
      <w:rPr>
        <w:rFonts w:ascii="Arial" w:cs="Arial" w:eastAsia="Arial" w:hAnsi="Arial"/>
        <w:color w:val="374151"/>
        <w:sz w:val="18"/>
        <w:szCs w:val="18"/>
      </w:rPr>
      <w:t xml:space="preserve">Immunofluorescence Panel Design Software  |  Background Knowledge &amp;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2026-02-26T00:03:25.184Z</dcterms:created>
  <dcterms:modified xsi:type="dcterms:W3CDTF">2026-02-26T00:03:25.188Z</dcterms:modified>
</cp:coreProperties>
</file>

<file path=docProps/custom.xml><?xml version="1.0" encoding="utf-8"?>
<Properties xmlns="http://schemas.openxmlformats.org/officeDocument/2006/custom-properties" xmlns:vt="http://schemas.openxmlformats.org/officeDocument/2006/docPropsVTypes"/>
</file>