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80"/>
        <w:rPr/>
      </w:pPr>
      <w:bookmarkStart w:id="0" w:name="__DdeLink__2512_959472955"/>
      <w:r>
        <w:rPr>
          <w:rFonts w:ascii="Arial" w:hAnsi="Arial"/>
          <w:color w:val="00000A"/>
          <w:sz w:val="36"/>
          <w:szCs w:val="36"/>
        </w:rPr>
        <w:t>Mclab Variable Naming Conventions</w:t>
      </w:r>
    </w:p>
    <w:p>
      <w:pPr>
        <w:pStyle w:val="Subtitle"/>
        <w:spacing w:before="200" w:after="40"/>
        <w:ind w:left="360" w:first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ubtitle"/>
        <w:spacing w:before="200" w:after="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rFonts w:ascii="Arial" w:hAnsi="Arial"/>
        </w:rPr>
      </w:pPr>
      <w:bookmarkStart w:id="1" w:name="__DdeLink__2512_959472955"/>
      <w:r>
        <w:rPr>
          <w:rFonts w:ascii="Arial" w:hAnsi="Arial"/>
          <w:b/>
        </w:rPr>
        <w:t>All "units" SHOULD NOT use underbars to separate words contained within</w:t>
      </w:r>
      <w:bookmarkEnd w:id="1"/>
      <w:r>
        <w:rPr>
          <w:rFonts w:ascii="Arial" w:hAnsi="Arial"/>
        </w:rPr>
        <w:t xml:space="preserve"> (e.g. "probetype").  It's up to you to decide on what a "unit" is.  When in doubt, use an underbar.  Most importantly, BE CONSISTENT within your code and with respect to code others have written.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rFonts w:ascii="Arial" w:hAnsi="Arial"/>
        </w:rPr>
      </w:pPr>
      <w:r>
        <w:rPr>
          <w:rFonts w:ascii="Arial" w:hAnsi="Arial"/>
          <w:b/>
        </w:rPr>
        <w:t>All other words and all “units” SHOULD be separated by an underbar</w:t>
      </w:r>
      <w:r>
        <w:rPr>
          <w:rFonts w:ascii="Arial" w:hAnsi="Arial"/>
        </w:rPr>
        <w:t xml:space="preserve"> (e.g. "p_logsubs_sex").  This improves readability.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rFonts w:ascii="Arial" w:hAnsi="Arial"/>
        </w:rPr>
      </w:pPr>
      <w:r>
        <w:rPr>
          <w:rFonts w:ascii="Arial" w:hAnsi="Arial"/>
          <w:b/>
        </w:rPr>
        <w:t>If variable length exceeds 32 characters, REMOVE ALL VOWELS from the variable name</w:t>
      </w:r>
      <w:r>
        <w:rPr>
          <w:rFonts w:ascii="Arial" w:hAnsi="Arial"/>
        </w:rPr>
        <w:t xml:space="preserve"> (e.g. "this_is_a_super_very_long_ variable_name" becomes "ths_s_a_spr_vry_lng_vrbl_nm").  Removing vowels from a word does not significantly diminish readability.  If a word becomes unreadable when vowels are removed, leave vowels in at your discretion (e.g. “hawaii”  “hawaii" or “hwi”, but probably not “hw”).   If a word is all vowels, leave the word intact (e.g. “a”).  Never remove vowels from the suffix “id”.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rFonts w:ascii="Arial" w:hAnsi="Arial"/>
        </w:rPr>
      </w:pPr>
      <w:r>
        <w:rPr>
          <w:rFonts w:ascii="Arial" w:hAnsi="Arial"/>
          <w:b/>
        </w:rPr>
        <w:t xml:space="preserve">All characters should be LOWER CASE.  </w:t>
      </w:r>
      <w:r>
        <w:rPr>
          <w:rFonts w:ascii="Arial" w:hAnsi="Arial"/>
        </w:rPr>
        <w:t>(Exception – camelCase allowed for python).  Upper case variables have special purposes in many languages, so avoid those unless they’re being used for that purpose.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>
          <w:rFonts w:ascii="Arial" w:hAnsi="Arial"/>
          <w:b/>
        </w:rPr>
        <w:t>No special punctuation characters</w:t>
      </w:r>
      <w:r>
        <w:rPr>
          <w:rFonts w:ascii="Arial" w:hAnsi="Arial"/>
        </w:rPr>
        <w:t xml:space="preserve"> (except underbar).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>
          <w:rFonts w:ascii="Arial" w:hAnsi="Arial"/>
          <w:b/>
        </w:rPr>
        <w:t>If there are multiple versions of a variable, identify by using the syntax: 2 digit # followed by</w:t>
      </w:r>
      <w:r>
        <w:rPr>
          <w:rFonts w:cs="Consolas" w:ascii="Arial" w:hAnsi="Arial"/>
        </w:rPr>
        <w:t xml:space="preserve"> </w:t>
      </w:r>
      <w:r>
        <w:rPr>
          <w:rFonts w:ascii="Arial" w:hAnsi="Arial"/>
        </w:rPr>
        <w:t>(e.g. "baseread_v1", "baseread_v2", etc).  Differentiation always goes at the END of the variable.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rFonts w:ascii="Arial" w:hAnsi="Arial"/>
        </w:rPr>
      </w:pPr>
      <w:r>
        <w:rPr>
          <w:rFonts w:ascii="Arial" w:hAnsi="Arial"/>
          <w:b/>
        </w:rPr>
        <w:t>IN DATASETS, Boolean ("yes/no", "true/false", etc) data identifiers should include a descriptive word or unit</w:t>
      </w:r>
      <w:r>
        <w:rPr>
          <w:rFonts w:ascii="Arial" w:hAnsi="Arial"/>
        </w:rPr>
        <w:t xml:space="preserve"> (e.g. “constitutive”, “common”, “alternative”, etc).  Do not use “question” prefixes.  The “flag” descriptor must be used as a prefix, if used at all.  Store a value of “0” for false/no and “1” for true/yes in Boolean variables.  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rFonts w:ascii="Arial" w:hAnsi="Arial"/>
        </w:rPr>
      </w:pPr>
      <w:r>
        <w:rPr>
          <w:rFonts w:ascii="Arial" w:hAnsi="Arial"/>
          <w:b/>
        </w:rPr>
        <w:t>INSIDE SCRIPTS AND PROGRAMS, Boolean ("yes/no", "true/false", etc) variables should start with a “question” prefix</w:t>
      </w:r>
      <w:r>
        <w:rPr>
          <w:rFonts w:ascii="Arial" w:hAnsi="Arial"/>
        </w:rPr>
        <w:t xml:space="preserve"> such as "is", "does", “can”, “should”, etc (e.g. "is_valid_read", "does_probetype_match", etc).  Do not use the word “flag” in your Boolean variables—the “question” prefix is easier to read, and helps to avoid situations where two variable names are similar (e.g. “probetype” and “probetype_flag”).  Store a value of “0” for false/no and “1” for true/yes in Boolean variables.  Example flag_female a 1 is female.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rFonts w:ascii="Arial" w:hAnsi="Arial"/>
        </w:rPr>
      </w:pPr>
      <w:r>
        <w:rPr>
          <w:rFonts w:ascii="Arial" w:hAnsi="Arial"/>
          <w:b/>
          <w:bCs/>
        </w:rPr>
        <w:t>IN DATASETS, multivariable data identifiers s</w:t>
      </w:r>
      <w:r>
        <w:rPr>
          <w:rFonts w:ascii="Arial" w:hAnsi="Arial"/>
          <w:b/>
        </w:rPr>
        <w:t>hould include a descriptive word or unit</w:t>
      </w:r>
      <w:r>
        <w:rPr>
          <w:rFonts w:ascii="Arial" w:hAnsi="Arial"/>
        </w:rPr>
        <w:t>.  Do not use “question” prefixes.  The “ind” descriptor must be used as a prefix followed by the # of categories and the descriptive word/unit.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rFonts w:ascii="Arial" w:hAnsi="Arial"/>
        </w:rPr>
      </w:pPr>
      <w:r>
        <w:rPr>
          <w:rFonts w:ascii="Arial" w:hAnsi="Arial"/>
          <w:b/>
        </w:rPr>
        <w:t>Avoid ambiguous variable names</w:t>
      </w:r>
      <w:r>
        <w:rPr>
          <w:rFonts w:ascii="Arial" w:hAnsi="Arial"/>
        </w:rPr>
        <w:t xml:space="preserve"> (e.g. "temp", "array_read", etc).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rFonts w:ascii="Arial" w:hAnsi="Arial"/>
        </w:rPr>
      </w:pPr>
      <w:r>
        <w:rPr>
          <w:rFonts w:ascii="Arial" w:hAnsi="Arial"/>
          <w:b/>
        </w:rPr>
        <w:t>Avoid one character variables EXCEPT as iterators in loops</w:t>
      </w:r>
      <w:r>
        <w:rPr>
          <w:rFonts w:ascii="Arial" w:hAnsi="Arial"/>
        </w:rPr>
        <w:t xml:space="preserve"> (using them as parts of combining units, e.g. “p_logsubs_sex”, is OK). 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rFonts w:ascii="Arial" w:hAnsi="Arial"/>
          <w:b/>
          <w:b/>
        </w:rPr>
      </w:pPr>
      <w:r>
        <w:rPr>
          <w:rFonts w:ascii="Arial" w:hAnsi="Arial"/>
          <w:b/>
        </w:rPr>
        <w:t xml:space="preserve">Variable names should be descriptive, but not verbose.  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rFonts w:ascii="Arial" w:hAnsi="Arial"/>
        </w:rPr>
      </w:pPr>
      <w:r>
        <w:rPr>
          <w:rFonts w:ascii="Arial" w:hAnsi="Arial"/>
          <w:b/>
        </w:rPr>
        <w:t>Avoid using abbreviations.</w:t>
      </w:r>
      <w:r>
        <w:rPr>
          <w:rFonts w:ascii="Arial" w:hAnsi="Arial"/>
        </w:rPr>
        <w:t xml:space="preserve">  Some exceptions: “nucleic acid”  “nacid”, “identifier”  “id”, “background subtracted mean”  “bgsubmean”.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>
          <w:rFonts w:ascii="Arial" w:hAnsi="Arial"/>
          <w:b/>
        </w:rPr>
        <w:t>Do NOT use plurals in variable names.</w:t>
      </w:r>
      <w:r>
        <w:rPr>
          <w:rFonts w:ascii="Arial" w:hAnsi="Arial"/>
        </w:rPr>
        <w:t xml:space="preserve">  Arrays should use the singular form of the items they contain (e.g. “@gene”, not “@genes”).  Exception – lists in python</w:t>
      </w:r>
    </w:p>
    <w:p>
      <w:pPr>
        <w:sectPr>
          <w:type w:val="nextPage"/>
          <w:pgSz w:w="12240" w:h="15840"/>
          <w:pgMar w:left="1080" w:right="1080" w:header="0" w:top="1080" w:footer="0" w:bottom="1080" w:gutter="0"/>
          <w:pgNumType w:fmt="decimal"/>
          <w:formProt w:val="false"/>
          <w:textDirection w:val="lrTb"/>
          <w:docGrid w:type="default" w:linePitch="360" w:charSpace="4294965247"/>
        </w:sectPr>
        <w:pStyle w:val="ListParagraph"/>
        <w:numPr>
          <w:ilvl w:val="0"/>
          <w:numId w:val="2"/>
        </w:numPr>
        <w:spacing w:before="0" w:after="160"/>
        <w:contextualSpacing/>
        <w:rPr>
          <w:b/>
          <w:b/>
          <w:bCs/>
        </w:rPr>
      </w:pPr>
      <w:r>
        <w:rPr>
          <w:rFonts w:ascii="Arial" w:hAnsi="Arial"/>
          <w:b/>
          <w:bCs/>
        </w:rPr>
        <w:t>If a variable requires an unusual name, document it in the code comments</w:t>
      </w:r>
    </w:p>
    <w:p>
      <w:pPr>
        <w:pStyle w:val="Normal"/>
        <w:spacing w:before="0" w:after="80"/>
        <w:contextualSpacing/>
        <w:rPr/>
      </w:pPr>
      <w:r>
        <w:rPr>
          <w:rFonts w:ascii="Arial" w:hAnsi="Arial"/>
          <w:b/>
          <w:u w:val="single"/>
        </w:rPr>
        <w:t>Mclab VARIABLE NAMING CONVENTIONS</w:t>
      </w:r>
      <w:r>
        <w:rPr>
          <w:rFonts w:ascii="Arial" w:hAnsi="Arial"/>
          <w:i/>
        </w:rPr>
        <w:t xml:space="preserve"> </w:t>
        <w:tab/>
        <w:tab/>
        <w:tab/>
        <w:tab/>
        <w:tab/>
      </w:r>
    </w:p>
    <w:p>
      <w:pPr>
        <w:pStyle w:val="Normal"/>
        <w:spacing w:before="0" w:after="8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1"/>
        </w:numPr>
        <w:spacing w:lineRule="exact" w:line="240" w:before="0" w:after="120"/>
        <w:contextualSpacing/>
        <w:rPr>
          <w:rFonts w:ascii="Arial" w:hAnsi="Arial"/>
        </w:rPr>
      </w:pPr>
      <w:r>
        <w:rPr>
          <w:rFonts w:ascii="Arial" w:hAnsi="Arial"/>
        </w:rPr>
        <w:t xml:space="preserve">All "units" </w:t>
      </w:r>
      <w:r>
        <w:rPr>
          <w:rFonts w:ascii="Arial" w:hAnsi="Arial"/>
          <w:b/>
        </w:rPr>
        <w:t>SHOULD NOT</w:t>
      </w:r>
      <w:r>
        <w:rPr>
          <w:rFonts w:ascii="Arial" w:hAnsi="Arial"/>
        </w:rPr>
        <w:t xml:space="preserve"> use underbars to separate words contained within (e.g. "probetype").  </w:t>
      </w:r>
    </w:p>
    <w:p>
      <w:pPr>
        <w:pStyle w:val="ListParagraph"/>
        <w:numPr>
          <w:ilvl w:val="0"/>
          <w:numId w:val="1"/>
        </w:numPr>
        <w:spacing w:lineRule="exact" w:line="240" w:before="0" w:after="120"/>
        <w:contextualSpacing/>
        <w:rPr>
          <w:rFonts w:ascii="Arial" w:hAnsi="Arial"/>
        </w:rPr>
      </w:pPr>
      <w:r>
        <w:rPr>
          <w:rFonts w:ascii="Arial" w:hAnsi="Arial"/>
        </w:rPr>
        <w:t xml:space="preserve">All other words and all “units” </w:t>
      </w:r>
      <w:r>
        <w:rPr>
          <w:rFonts w:ascii="Arial" w:hAnsi="Arial"/>
          <w:b/>
        </w:rPr>
        <w:t>SHOULD</w:t>
      </w:r>
      <w:r>
        <w:rPr>
          <w:rFonts w:ascii="Arial" w:hAnsi="Arial"/>
        </w:rPr>
        <w:t xml:space="preserve"> be separated by an </w:t>
      </w:r>
      <w:r>
        <w:rPr>
          <w:rFonts w:ascii="Arial" w:hAnsi="Arial"/>
          <w:b/>
        </w:rPr>
        <w:t>underbar</w:t>
      </w:r>
      <w:r>
        <w:rPr>
          <w:rFonts w:ascii="Arial" w:hAnsi="Arial"/>
        </w:rPr>
        <w:t xml:space="preserve"> (e.g. "p_logsubs_sex"). </w:t>
      </w:r>
    </w:p>
    <w:p>
      <w:pPr>
        <w:pStyle w:val="ListParagraph"/>
        <w:numPr>
          <w:ilvl w:val="0"/>
          <w:numId w:val="1"/>
        </w:numPr>
        <w:spacing w:lineRule="exact" w:line="240" w:before="0" w:after="120"/>
        <w:contextualSpacing/>
        <w:rPr>
          <w:rFonts w:ascii="Arial" w:hAnsi="Arial"/>
        </w:rPr>
      </w:pPr>
      <w:r>
        <w:rPr>
          <w:rFonts w:ascii="Arial" w:hAnsi="Arial"/>
        </w:rPr>
        <w:t xml:space="preserve">If variable length exceeds 32 characters, </w:t>
      </w:r>
      <w:r>
        <w:rPr>
          <w:rFonts w:ascii="Arial" w:hAnsi="Arial"/>
          <w:b/>
        </w:rPr>
        <w:t>REMOVE ALL VOWELS</w:t>
      </w:r>
      <w:r>
        <w:rPr>
          <w:rFonts w:ascii="Arial" w:hAnsi="Arial"/>
        </w:rPr>
        <w:t xml:space="preserve"> from the variable name.</w:t>
      </w:r>
    </w:p>
    <w:p>
      <w:pPr>
        <w:pStyle w:val="ListParagraph"/>
        <w:numPr>
          <w:ilvl w:val="0"/>
          <w:numId w:val="1"/>
        </w:numPr>
        <w:spacing w:lineRule="exact" w:line="240" w:before="0" w:after="120"/>
        <w:contextualSpacing/>
        <w:rPr/>
      </w:pPr>
      <w:r>
        <w:rPr>
          <w:rFonts w:ascii="Arial" w:hAnsi="Arial"/>
        </w:rPr>
        <w:t xml:space="preserve">All characters should be </w:t>
      </w:r>
      <w:r>
        <w:rPr>
          <w:rFonts w:ascii="Arial" w:hAnsi="Arial"/>
          <w:b/>
        </w:rPr>
        <w:t>LOWER CASE</w:t>
      </w:r>
      <w:r>
        <w:rPr>
          <w:rFonts w:ascii="Arial" w:hAnsi="Arial"/>
          <w:b w:val="false"/>
          <w:bCs w:val="false"/>
        </w:rPr>
        <w:t xml:space="preserve"> </w:t>
      </w:r>
      <w:r>
        <w:rPr>
          <w:rFonts w:ascii="Arial" w:hAnsi="Arial"/>
          <w:b w:val="false"/>
          <w:bCs w:val="false"/>
        </w:rPr>
        <w:t>(except camel case in python)</w:t>
      </w:r>
      <w:r>
        <w:rPr>
          <w:rFonts w:ascii="Arial" w:hAnsi="Arial"/>
        </w:rPr>
        <w:t xml:space="preserve">.  </w:t>
      </w:r>
    </w:p>
    <w:p>
      <w:pPr>
        <w:pStyle w:val="ListParagraph"/>
        <w:numPr>
          <w:ilvl w:val="0"/>
          <w:numId w:val="1"/>
        </w:numPr>
        <w:spacing w:lineRule="exact" w:line="240" w:before="0" w:after="120"/>
        <w:contextualSpacing/>
        <w:rPr>
          <w:rFonts w:ascii="Arial" w:hAnsi="Arial"/>
        </w:rPr>
      </w:pPr>
      <w:r>
        <w:rPr>
          <w:rFonts w:ascii="Arial" w:hAnsi="Arial"/>
        </w:rPr>
        <w:t>No special punctuation characters (except underbar).</w:t>
      </w:r>
    </w:p>
    <w:p>
      <w:pPr>
        <w:pStyle w:val="ListParagraph"/>
        <w:numPr>
          <w:ilvl w:val="0"/>
          <w:numId w:val="1"/>
        </w:numPr>
        <w:spacing w:lineRule="exact" w:line="240" w:before="0" w:after="120"/>
        <w:contextualSpacing/>
        <w:rPr>
          <w:rFonts w:ascii="Arial" w:hAnsi="Arial"/>
        </w:rPr>
      </w:pPr>
      <w:r>
        <w:rPr>
          <w:rFonts w:ascii="Arial" w:hAnsi="Arial"/>
        </w:rPr>
        <w:t xml:space="preserve">If there are multiple versions of a variable, identify by using the syntax </w:t>
      </w:r>
      <w:r>
        <w:rPr>
          <w:rFonts w:cs="Consolas" w:ascii="Arial" w:hAnsi="Arial"/>
          <w:b/>
        </w:rPr>
        <w:t>varname_identifier</w:t>
      </w:r>
      <w:r>
        <w:rPr>
          <w:rFonts w:ascii="Arial" w:hAnsi="Arial"/>
        </w:rPr>
        <w:t>.</w:t>
      </w:r>
    </w:p>
    <w:p>
      <w:pPr>
        <w:pStyle w:val="ListParagraph"/>
        <w:numPr>
          <w:ilvl w:val="0"/>
          <w:numId w:val="1"/>
        </w:numPr>
        <w:spacing w:lineRule="exact" w:line="240" w:before="0" w:after="120"/>
        <w:contextualSpacing/>
        <w:rPr>
          <w:rFonts w:ascii="Arial" w:hAnsi="Arial"/>
        </w:rPr>
      </w:pPr>
      <w:r>
        <w:rPr>
          <w:rFonts w:ascii="Arial" w:hAnsi="Arial"/>
          <w:b/>
        </w:rPr>
        <w:t>IN DATASETS</w:t>
      </w:r>
      <w:r>
        <w:rPr>
          <w:rFonts w:ascii="Arial" w:hAnsi="Arial"/>
        </w:rPr>
        <w:t>, Boolean data identifiers should include a descriptive word or unit (e.g. “constitutive”).</w:t>
      </w:r>
    </w:p>
    <w:p>
      <w:pPr>
        <w:pStyle w:val="ListParagraph"/>
        <w:numPr>
          <w:ilvl w:val="0"/>
          <w:numId w:val="1"/>
        </w:numPr>
        <w:spacing w:lineRule="exact" w:line="240" w:before="0" w:after="120"/>
        <w:contextualSpacing/>
        <w:rPr>
          <w:rFonts w:ascii="Arial" w:hAnsi="Arial"/>
        </w:rPr>
      </w:pPr>
      <w:r>
        <w:rPr>
          <w:rFonts w:ascii="Arial" w:hAnsi="Arial"/>
          <w:b/>
        </w:rPr>
        <w:t>INSIDE SCRIPTS AND PROGRAMS</w:t>
      </w:r>
      <w:r>
        <w:rPr>
          <w:rFonts w:ascii="Arial" w:hAnsi="Arial"/>
        </w:rPr>
        <w:t>, Boolean variables should start with a “question” prefix such as "is", "does", “can”, “should”, etc (e.g. “is_valid_read”).</w:t>
      </w:r>
    </w:p>
    <w:p>
      <w:pPr>
        <w:pStyle w:val="ListParagraph"/>
        <w:numPr>
          <w:ilvl w:val="0"/>
          <w:numId w:val="1"/>
        </w:numPr>
        <w:spacing w:lineRule="exact" w:line="240" w:before="0" w:after="120"/>
        <w:contextualSpacing/>
        <w:rPr>
          <w:rFonts w:ascii="Arial" w:hAnsi="Arial"/>
        </w:rPr>
      </w:pPr>
      <w:r>
        <w:rPr>
          <w:rFonts w:ascii="Arial" w:hAnsi="Arial"/>
        </w:rPr>
        <w:t>Avoid ambiguous variable names (e.g. "temp", "array_read").</w:t>
      </w:r>
    </w:p>
    <w:p>
      <w:pPr>
        <w:pStyle w:val="ListParagraph"/>
        <w:numPr>
          <w:ilvl w:val="0"/>
          <w:numId w:val="1"/>
        </w:numPr>
        <w:spacing w:lineRule="exact" w:line="240" w:before="0" w:after="120"/>
        <w:contextualSpacing/>
        <w:rPr>
          <w:rFonts w:ascii="Arial" w:hAnsi="Arial"/>
        </w:rPr>
      </w:pPr>
      <w:r>
        <w:rPr>
          <w:rFonts w:ascii="Arial" w:hAnsi="Arial"/>
        </w:rPr>
        <w:t xml:space="preserve">Avoid one character variables </w:t>
      </w:r>
      <w:r>
        <w:rPr>
          <w:rFonts w:ascii="Arial" w:hAnsi="Arial"/>
          <w:b/>
        </w:rPr>
        <w:t>EXCEPT</w:t>
      </w:r>
      <w:r>
        <w:rPr>
          <w:rFonts w:ascii="Arial" w:hAnsi="Arial"/>
        </w:rPr>
        <w:t xml:space="preserve"> as iterators in loops (using them as parts of combining units, e.g. “p_logsubs_sex”, is OK). </w:t>
      </w:r>
    </w:p>
    <w:p>
      <w:pPr>
        <w:pStyle w:val="ListParagraph"/>
        <w:numPr>
          <w:ilvl w:val="0"/>
          <w:numId w:val="1"/>
        </w:numPr>
        <w:spacing w:lineRule="exact" w:line="240" w:before="0" w:after="120"/>
        <w:contextualSpacing/>
        <w:rPr>
          <w:rFonts w:ascii="Arial" w:hAnsi="Arial"/>
        </w:rPr>
      </w:pPr>
      <w:r>
        <w:rPr>
          <w:rFonts w:ascii="Arial" w:hAnsi="Arial"/>
        </w:rPr>
        <w:t xml:space="preserve">Variable names should be descriptive, but not verbose.  </w:t>
      </w:r>
    </w:p>
    <w:p>
      <w:pPr>
        <w:pStyle w:val="ListParagraph"/>
        <w:numPr>
          <w:ilvl w:val="0"/>
          <w:numId w:val="1"/>
        </w:numPr>
        <w:spacing w:lineRule="exact" w:line="240" w:before="0" w:after="120"/>
        <w:contextualSpacing/>
        <w:rPr>
          <w:rFonts w:ascii="Arial" w:hAnsi="Arial"/>
        </w:rPr>
      </w:pPr>
      <w:r>
        <w:rPr>
          <w:rFonts w:ascii="Arial" w:hAnsi="Arial"/>
        </w:rPr>
        <w:t>Avoid using abbreviations.</w:t>
      </w:r>
    </w:p>
    <w:p>
      <w:pPr>
        <w:pStyle w:val="ListParagraph"/>
        <w:numPr>
          <w:ilvl w:val="0"/>
          <w:numId w:val="1"/>
        </w:numPr>
        <w:spacing w:lineRule="exact" w:line="240" w:before="0" w:after="120"/>
        <w:contextualSpacing/>
        <w:rPr>
          <w:rFonts w:ascii="Arial" w:hAnsi="Arial"/>
        </w:rPr>
      </w:pPr>
      <w:r>
        <w:rPr>
          <w:rFonts w:ascii="Arial" w:hAnsi="Arial"/>
        </w:rPr>
        <w:t xml:space="preserve">Do </w:t>
      </w:r>
      <w:r>
        <w:rPr>
          <w:rFonts w:ascii="Arial" w:hAnsi="Arial"/>
          <w:b/>
        </w:rPr>
        <w:t>NOT</w:t>
      </w:r>
      <w:r>
        <w:rPr>
          <w:rFonts w:ascii="Arial" w:hAnsi="Arial"/>
        </w:rPr>
        <w:t xml:space="preserve"> use plurals in variable names.</w:t>
      </w:r>
    </w:p>
    <w:p>
      <w:pPr>
        <w:pStyle w:val="ListParagraph"/>
        <w:numPr>
          <w:ilvl w:val="0"/>
          <w:numId w:val="1"/>
        </w:numPr>
        <w:spacing w:lineRule="exact" w:line="240" w:before="0" w:after="120"/>
        <w:contextualSpacing/>
        <w:rPr>
          <w:rFonts w:ascii="Arial" w:hAnsi="Arial"/>
        </w:rPr>
      </w:pPr>
      <w:r>
        <w:rPr>
          <w:rFonts w:ascii="Arial" w:hAnsi="Arial"/>
        </w:rPr>
        <w:t>If a variable requires an unusual name, document it in the code comments.</w:t>
      </w:r>
    </w:p>
    <w:p>
      <w:pPr>
        <w:pStyle w:val="Normal"/>
        <w:spacing w:lineRule="exact" w:line="240" w:before="0" w:after="12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exact" w:line="240" w:before="0" w:after="120"/>
        <w:contextualSpacing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"/>
      <w:lvlJc w:val="right"/>
      <w:pPr>
        <w:ind w:left="2160" w:hanging="18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lowerLetter"/>
      <w:lvlText w:val="%5"/>
      <w:lvlJc w:val="left"/>
      <w:pPr>
        <w:ind w:left="3600" w:hanging="360"/>
      </w:pPr>
    </w:lvl>
    <w:lvl w:ilvl="5">
      <w:start w:val="1"/>
      <w:numFmt w:val="lowerRoman"/>
      <w:lvlText w:val="%6"/>
      <w:lvlJc w:val="right"/>
      <w:pPr>
        <w:ind w:left="4320" w:hanging="18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lowerLetter"/>
      <w:lvlText w:val="%8"/>
      <w:lvlJc w:val="left"/>
      <w:pPr>
        <w:ind w:left="5760" w:hanging="360"/>
      </w:pPr>
    </w:lvl>
    <w:lvl w:ilvl="8">
      <w:start w:val="1"/>
      <w:numFmt w:val="lowerRoman"/>
      <w:lvlText w:val="%9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ind w:firstLine="360"/>
      <w:jc w:val="left"/>
    </w:pPr>
    <w:rPr>
      <w:rFonts w:ascii="Calibri" w:hAnsi="Calibri" w:eastAsia="Droid Sans Fallback" w:cs="DejaVu Sans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pBdr>
        <w:bottom w:val="single" w:sz="12" w:space="1" w:color="365F91"/>
      </w:pBdr>
      <w:spacing w:before="600" w:after="80"/>
      <w:ind w:hanging="0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Heading2">
    <w:name w:val="Heading 2"/>
    <w:basedOn w:val="Normal"/>
    <w:next w:val="Normal"/>
    <w:qFormat/>
    <w:pPr>
      <w:pBdr>
        <w:bottom w:val="single" w:sz="8" w:space="1" w:color="4F81BD"/>
      </w:pBdr>
      <w:spacing w:before="200" w:after="80"/>
      <w:ind w:hanging="0"/>
      <w:outlineLvl w:val="1"/>
    </w:pPr>
    <w:rPr>
      <w:rFonts w:ascii="Cambria" w:hAnsi="Cambria"/>
      <w:color w:val="365F91"/>
      <w:sz w:val="24"/>
      <w:szCs w:val="24"/>
    </w:rPr>
  </w:style>
  <w:style w:type="paragraph" w:styleId="Heading3">
    <w:name w:val="Heading 3"/>
    <w:basedOn w:val="Normal"/>
    <w:next w:val="Normal"/>
    <w:qFormat/>
    <w:pPr>
      <w:pBdr>
        <w:bottom w:val="single" w:sz="4" w:space="1" w:color="95B3D7"/>
      </w:pBdr>
      <w:spacing w:before="200" w:after="80"/>
      <w:ind w:hanging="0"/>
      <w:outlineLvl w:val="2"/>
    </w:pPr>
    <w:rPr>
      <w:rFonts w:ascii="Cambria" w:hAnsi="Cambria"/>
      <w:color w:val="4F81BD"/>
      <w:sz w:val="24"/>
      <w:szCs w:val="24"/>
    </w:rPr>
  </w:style>
  <w:style w:type="paragraph" w:styleId="Heading4">
    <w:name w:val="Heading 4"/>
    <w:basedOn w:val="Normal"/>
    <w:next w:val="Normal"/>
    <w:qFormat/>
    <w:pPr>
      <w:pBdr>
        <w:bottom w:val="single" w:sz="4" w:space="2" w:color="B8CCE4"/>
      </w:pBdr>
      <w:spacing w:before="200" w:after="80"/>
      <w:ind w:hanging="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qFormat/>
    <w:pPr>
      <w:spacing w:before="200" w:after="80"/>
      <w:ind w:hanging="0"/>
      <w:outlineLvl w:val="4"/>
    </w:pPr>
    <w:rPr>
      <w:rFonts w:ascii="Cambria" w:hAnsi="Cambria"/>
      <w:color w:val="4F81BD"/>
    </w:rPr>
  </w:style>
  <w:style w:type="paragraph" w:styleId="Heading6">
    <w:name w:val="Heading 6"/>
    <w:basedOn w:val="Normal"/>
    <w:next w:val="Normal"/>
    <w:qFormat/>
    <w:pPr>
      <w:spacing w:before="280" w:after="100"/>
      <w:ind w:hanging="0"/>
      <w:outlineLvl w:val="5"/>
    </w:pPr>
    <w:rPr>
      <w:rFonts w:ascii="Cambria" w:hAnsi="Cambria"/>
      <w:i/>
      <w:iCs/>
      <w:color w:val="4F81BD"/>
    </w:rPr>
  </w:style>
  <w:style w:type="paragraph" w:styleId="Heading7">
    <w:name w:val="Heading 7"/>
    <w:basedOn w:val="Normal"/>
    <w:next w:val="Normal"/>
    <w:qFormat/>
    <w:pPr>
      <w:spacing w:before="320" w:after="100"/>
      <w:ind w:hanging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qFormat/>
    <w:pPr>
      <w:spacing w:before="320" w:after="100"/>
      <w:ind w:hanging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qFormat/>
    <w:pPr>
      <w:spacing w:before="320" w:after="100"/>
      <w:ind w:hanging="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qFormat/>
    <w:rPr>
      <w:rFonts w:ascii="Cambria" w:hAnsi="Cambria" w:cs="DejaVu Sans"/>
      <w:b/>
      <w:bCs/>
      <w:color w:val="365F91"/>
      <w:sz w:val="24"/>
      <w:szCs w:val="24"/>
    </w:rPr>
  </w:style>
  <w:style w:type="character" w:styleId="Heading2Char" w:customStyle="1">
    <w:name w:val="Heading 2 Char"/>
    <w:basedOn w:val="DefaultParagraphFont"/>
    <w:qFormat/>
    <w:rPr>
      <w:rFonts w:ascii="Cambria" w:hAnsi="Cambria" w:cs="DejaVu Sans"/>
      <w:color w:val="365F91"/>
      <w:sz w:val="24"/>
      <w:szCs w:val="24"/>
    </w:rPr>
  </w:style>
  <w:style w:type="character" w:styleId="Heading3Char" w:customStyle="1">
    <w:name w:val="Heading 3 Char"/>
    <w:basedOn w:val="DefaultParagraphFont"/>
    <w:qFormat/>
    <w:rPr>
      <w:rFonts w:ascii="Cambria" w:hAnsi="Cambria" w:cs="DejaVu Sans"/>
      <w:color w:val="4F81BD"/>
      <w:sz w:val="24"/>
      <w:szCs w:val="24"/>
    </w:rPr>
  </w:style>
  <w:style w:type="character" w:styleId="Heading4Char" w:customStyle="1">
    <w:name w:val="Heading 4 Char"/>
    <w:basedOn w:val="DefaultParagraphFont"/>
    <w:qFormat/>
    <w:rPr>
      <w:rFonts w:ascii="Cambria" w:hAnsi="Cambria" w:cs="DejaVu Sans"/>
      <w:i/>
      <w:iCs/>
      <w:color w:val="4F81BD"/>
      <w:sz w:val="24"/>
      <w:szCs w:val="24"/>
    </w:rPr>
  </w:style>
  <w:style w:type="character" w:styleId="Heading5Char" w:customStyle="1">
    <w:name w:val="Heading 5 Char"/>
    <w:basedOn w:val="DefaultParagraphFont"/>
    <w:qFormat/>
    <w:rPr>
      <w:rFonts w:ascii="Cambria" w:hAnsi="Cambria" w:cs="DejaVu Sans"/>
      <w:color w:val="4F81BD"/>
    </w:rPr>
  </w:style>
  <w:style w:type="character" w:styleId="Heading6Char" w:customStyle="1">
    <w:name w:val="Heading 6 Char"/>
    <w:basedOn w:val="DefaultParagraphFont"/>
    <w:qFormat/>
    <w:rPr>
      <w:rFonts w:ascii="Cambria" w:hAnsi="Cambria" w:cs="DejaVu Sans"/>
      <w:i/>
      <w:iCs/>
      <w:color w:val="4F81BD"/>
    </w:rPr>
  </w:style>
  <w:style w:type="character" w:styleId="Heading7Char" w:customStyle="1">
    <w:name w:val="Heading 7 Char"/>
    <w:basedOn w:val="DefaultParagraphFont"/>
    <w:qFormat/>
    <w:rPr>
      <w:rFonts w:ascii="Cambria" w:hAnsi="Cambria" w:cs="DejaVu Sans"/>
      <w:b/>
      <w:bCs/>
      <w:color w:val="9BBB59"/>
      <w:sz w:val="20"/>
      <w:szCs w:val="20"/>
    </w:rPr>
  </w:style>
  <w:style w:type="character" w:styleId="Heading8Char" w:customStyle="1">
    <w:name w:val="Heading 8 Char"/>
    <w:basedOn w:val="DefaultParagraphFont"/>
    <w:qFormat/>
    <w:rPr>
      <w:rFonts w:ascii="Cambria" w:hAnsi="Cambria" w:cs="DejaVu Sans"/>
      <w:b/>
      <w:bCs/>
      <w:i/>
      <w:iCs/>
      <w:color w:val="9BBB59"/>
      <w:sz w:val="20"/>
      <w:szCs w:val="20"/>
    </w:rPr>
  </w:style>
  <w:style w:type="character" w:styleId="Heading9Char" w:customStyle="1">
    <w:name w:val="Heading 9 Char"/>
    <w:basedOn w:val="DefaultParagraphFont"/>
    <w:qFormat/>
    <w:rPr>
      <w:rFonts w:ascii="Cambria" w:hAnsi="Cambria" w:cs="DejaVu Sans"/>
      <w:i/>
      <w:iCs/>
      <w:color w:val="9BBB59"/>
      <w:sz w:val="20"/>
      <w:szCs w:val="20"/>
    </w:rPr>
  </w:style>
  <w:style w:type="character" w:styleId="TitleChar" w:customStyle="1">
    <w:name w:val="Title Char"/>
    <w:basedOn w:val="DefaultParagraphFont"/>
    <w:qFormat/>
    <w:rPr>
      <w:rFonts w:ascii="Cambria" w:hAnsi="Cambria" w:cs="DejaVu Sans"/>
      <w:i/>
      <w:iCs/>
      <w:color w:val="243F60"/>
      <w:sz w:val="60"/>
      <w:szCs w:val="60"/>
    </w:rPr>
  </w:style>
  <w:style w:type="character" w:styleId="SubtitleChar" w:customStyle="1">
    <w:name w:val="Subtitle Char"/>
    <w:basedOn w:val="DefaultParagraphFont"/>
    <w:qFormat/>
    <w:rPr>
      <w:i/>
      <w:iCs/>
      <w:sz w:val="24"/>
      <w:szCs w:val="24"/>
    </w:rPr>
  </w:style>
  <w:style w:type="character" w:styleId="Strong">
    <w:name w:val="Strong"/>
    <w:basedOn w:val="DefaultParagraphFont"/>
    <w:qFormat/>
    <w:rPr>
      <w:b/>
      <w:bCs/>
      <w:spacing w:val="0"/>
    </w:rPr>
  </w:style>
  <w:style w:type="character" w:styleId="Emphasis">
    <w:name w:val="Emphasis"/>
    <w:qFormat/>
    <w:rPr>
      <w:b/>
      <w:bCs/>
      <w:i/>
      <w:iCs/>
      <w:color w:val="5A5A5A"/>
    </w:rPr>
  </w:style>
  <w:style w:type="character" w:styleId="QuoteChar" w:customStyle="1">
    <w:name w:val="Quote Char"/>
    <w:basedOn w:val="DefaultParagraphFont"/>
    <w:qFormat/>
    <w:rPr>
      <w:rFonts w:ascii="Cambria" w:hAnsi="Cambria" w:cs="DejaVu Sans"/>
      <w:i/>
      <w:iCs/>
      <w:color w:val="5A5A5A"/>
    </w:rPr>
  </w:style>
  <w:style w:type="character" w:styleId="IntenseQuoteChar" w:customStyle="1">
    <w:name w:val="Intense Quote Char"/>
    <w:basedOn w:val="DefaultParagraphFont"/>
    <w:qFormat/>
    <w:rPr>
      <w:rFonts w:ascii="Cambria" w:hAnsi="Cambria" w:cs="DejaVu Sans"/>
      <w:i/>
      <w:iCs/>
      <w:color w:val="FFFFFF"/>
      <w:sz w:val="24"/>
      <w:szCs w:val="24"/>
      <w:shd w:fill="4F81BD" w:val="clear"/>
    </w:rPr>
  </w:style>
  <w:style w:type="character" w:styleId="SubtleEmphasis">
    <w:name w:val="Subtle Emphasis"/>
    <w:qFormat/>
    <w:rPr>
      <w:i/>
      <w:iCs/>
      <w:color w:val="5A5A5A"/>
    </w:rPr>
  </w:style>
  <w:style w:type="character" w:styleId="IntenseEmphasis">
    <w:name w:val="Intense Emphasis"/>
    <w:qFormat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qFormat/>
    <w:rPr>
      <w:color w:val="00000A"/>
      <w:u w:val="single" w:color="9BBB59"/>
    </w:rPr>
  </w:style>
  <w:style w:type="character" w:styleId="IntenseReference">
    <w:name w:val="Intense Reference"/>
    <w:basedOn w:val="DefaultParagraphFont"/>
    <w:qFormat/>
    <w:rPr>
      <w:b/>
      <w:bCs/>
      <w:color w:val="76923C"/>
      <w:u w:val="single" w:color="9BBB59"/>
    </w:rPr>
  </w:style>
  <w:style w:type="character" w:styleId="BookTitle">
    <w:name w:val="Book Title"/>
    <w:basedOn w:val="DefaultParagraphFont"/>
    <w:qFormat/>
    <w:rPr>
      <w:rFonts w:ascii="Cambria" w:hAnsi="Cambria" w:cs="DejaVu Sans"/>
      <w:b/>
      <w:bCs/>
      <w:i/>
      <w:iCs/>
      <w:color w:val="00000A"/>
    </w:rPr>
  </w:style>
  <w:style w:type="character" w:styleId="NoSpacingChar" w:customStyle="1">
    <w:name w:val="No Spacing Char"/>
    <w:basedOn w:val="DefaultParagraphFont"/>
    <w:qFormat/>
    <w:rPr/>
  </w:style>
  <w:style w:type="character" w:styleId="ListLabel1" w:customStyle="1">
    <w:name w:val="ListLabel 1"/>
    <w:qFormat/>
    <w:rPr>
      <w:b w:val="false"/>
    </w:rPr>
  </w:style>
  <w:style w:type="character" w:styleId="ListLabel2" w:customStyle="1">
    <w:name w:val="ListLabel 2"/>
    <w:qFormat/>
    <w:rPr>
      <w:b/>
    </w:rPr>
  </w:style>
  <w:style w:type="character" w:styleId="ListLabel3" w:customStyle="1">
    <w:name w:val="ListLabel 3"/>
    <w:qFormat/>
    <w:rPr>
      <w:b w:val="false"/>
    </w:rPr>
  </w:style>
  <w:style w:type="character" w:styleId="ListLabel4" w:customStyle="1">
    <w:name w:val="ListLabel 4"/>
    <w:qFormat/>
    <w:rPr>
      <w:b/>
    </w:rPr>
  </w:style>
  <w:style w:type="character" w:styleId="ListLabel5" w:customStyle="1">
    <w:name w:val="ListLabel 5"/>
    <w:qFormat/>
    <w:rPr>
      <w:rFonts w:ascii="Arial" w:hAnsi="Arial"/>
      <w:b/>
    </w:rPr>
  </w:style>
  <w:style w:type="character" w:styleId="ListLabel6" w:customStyle="1">
    <w:name w:val="ListLabel 6"/>
    <w:qFormat/>
    <w:rPr>
      <w:rFonts w:ascii="Arial" w:hAnsi="Arial"/>
      <w:b/>
    </w:rPr>
  </w:style>
  <w:style w:type="character" w:styleId="ListLabel7">
    <w:name w:val="ListLabel 7"/>
    <w:qFormat/>
    <w:rPr>
      <w:rFonts w:ascii="Arial" w:hAnsi="Arial"/>
      <w:b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qFormat/>
    <w:pPr/>
    <w:rPr>
      <w:b/>
      <w:bCs/>
      <w:sz w:val="18"/>
      <w:szCs w:val="18"/>
    </w:rPr>
  </w:style>
  <w:style w:type="paragraph" w:styleId="ListParagraph">
    <w:name w:val="List Paragraph"/>
    <w:basedOn w:val="Normal"/>
    <w:qFormat/>
    <w:pPr>
      <w:spacing w:before="0" w:after="0"/>
      <w:ind w:left="720" w:firstLine="360"/>
      <w:contextualSpacing/>
    </w:pPr>
    <w:rPr/>
  </w:style>
  <w:style w:type="paragraph" w:styleId="Title">
    <w:name w:val="Title"/>
    <w:basedOn w:val="Normal"/>
    <w:next w:val="Normal"/>
    <w:qFormat/>
    <w:pPr>
      <w:pBdr>
        <w:top w:val="single" w:sz="8" w:space="10" w:color="A7BFDE"/>
        <w:bottom w:val="single" w:sz="24" w:space="15" w:color="9BBB59"/>
      </w:pBdr>
      <w:ind w:hanging="0"/>
      <w:jc w:val="center"/>
    </w:pPr>
    <w:rPr>
      <w:rFonts w:ascii="Cambria" w:hAnsi="Cambria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qFormat/>
    <w:pPr>
      <w:spacing w:before="200" w:after="900"/>
      <w:ind w:hanging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qFormat/>
    <w:pPr>
      <w:ind w:hanging="0"/>
    </w:pPr>
    <w:rPr/>
  </w:style>
  <w:style w:type="paragraph" w:styleId="Quote">
    <w:name w:val="Quote"/>
    <w:basedOn w:val="Normal"/>
    <w:next w:val="Normal"/>
    <w:qFormat/>
    <w:pPr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qFormat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lineRule="auto" w:line="300" w:before="320" w:after="320"/>
      <w:ind w:left="1440" w:right="1440" w:firstLine="360"/>
    </w:pPr>
    <w:rPr>
      <w:rFonts w:ascii="Cambria" w:hAnsi="Cambria"/>
      <w:i/>
      <w:iCs/>
      <w:color w:val="FFFFFF"/>
      <w:sz w:val="24"/>
      <w:szCs w:val="24"/>
    </w:rPr>
  </w:style>
  <w:style w:type="paragraph" w:styleId="ContentsHeading" w:customStyle="1">
    <w:name w:val="Contents Heading"/>
    <w:basedOn w:val="Heading1"/>
    <w:next w:val="Normal"/>
    <w:pPr/>
    <w:rPr>
      <w:lang w:bidi="en-US"/>
    </w:rPr>
  </w:style>
  <w:style w:type="paragraph" w:styleId="Quotations" w:customStyle="1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LibreOffice/4.4.3.2$Linux_X86_64 LibreOffice_project/40m0$Build-2</Application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2018-01-09T16:47:00Z</dcterms:created>
  <dc:creator>McCrory, Martin L</dc:creator>
  <dc:language>en-US</dc:language>
  <cp:lastModifiedBy>alison </cp:lastModifiedBy>
  <cp:lastPrinted>2017-03-23T12:54:00Z</cp:lastPrinted>
  <dcterms:modified xsi:type="dcterms:W3CDTF">2020-03-31T11:52:20Z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