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Report Sections 1–3 — Outline, Content Checklist, and References</w:t>
      </w:r>
    </w:p>
    <w:p>
      <w:pPr>
        <w:spacing w:after="300"/>
      </w:pPr>
      <w:r>
        <w:rPr>
          <w:i/>
          <w:iCs/>
          <w:color w:val="444444"/>
          <w:sz w:val="24"/>
          <w:szCs w:val="24"/>
        </w:rPr>
        <w:t xml:space="preserve">Cora GNN Oversmoothing Study — SEP 740 / CSE 705, Summer 2026. Internal planning document for the section drafts; not report prose.</w:t>
      </w:r>
    </w:p>
    <w:p>
      <w:pPr>
        <w:pStyle w:val="Heading1"/>
        <w:spacing w:after="140" w:before="360"/>
      </w:pPr>
      <w:r>
        <w:t xml:space="preserve">How to use this document</w:t>
      </w:r>
    </w:p>
    <w:p>
      <w:pPr>
        <w:spacing w:after="120"/>
      </w:pPr>
      <w:r>
        <w:t xml:space="preserve">This covers Sections 1–3 of the detailed report only. Each section lists its subsections, and each subsection lists the content that must appear in it. Items tagged LOAD-BEARING are not optional: Sections 4–7 quote quantities or rest on distinctions that are defined nowhere else in the report. If a load-bearing item is missing, the later sections either become unreadable or have to define their own instruments mid-results, which a grader will notice.</w:t>
      </w:r>
    </w:p>
    <w:p>
      <w:pPr>
        <w:spacing w:after="120"/>
      </w:pPr>
      <w:r>
        <w:t xml:space="preserve">Work from the sources, not from memory of them. The primary sources for these three sections are: the submitted proposal, project_description.md (the course requirements), DECISIONS.md and FINDINGS.md (for what the study actually settled and found), and the papers themselves. Every claim attributed to a paper should be checked against that paper.</w:t>
      </w:r>
    </w:p>
    <w:p>
      <w:pPr>
        <w:pStyle w:val="Heading2"/>
        <w:spacing w:after="100" w:before="240"/>
      </w:pPr>
      <w:r>
        <w:t xml:space="preserve">Two content rules that apply throughout Sections 1–3</w:t>
      </w:r>
    </w:p>
    <w:p>
      <w:pPr>
        <w:pStyle w:val="ListParagraph"/>
        <w:numPr>
          <w:ilvl w:val="0"/>
          <w:numId w:val="2"/>
        </w:numPr>
        <w:spacing w:after="60"/>
      </w:pPr>
      <w:r>
        <w:rPr>
          <w:b/>
          <w:bCs/>
        </w:rPr>
        <w:t xml:space="preserve">No results. </w:t>
      </w:r>
      <w:r>
        <w:t xml:space="preserve">Sections 1–3 set up the question and define the instruments. Every measured number belongs in Section 6. The one exception is Section 1’s statement of what the study found, which is a one-paragraph summary of the thesis, not a presentation of data.</w:t>
      </w:r>
    </w:p>
    <w:p>
      <w:pPr>
        <w:pStyle w:val="ListParagraph"/>
        <w:numPr>
          <w:ilvl w:val="0"/>
          <w:numId w:val="2"/>
        </w:numPr>
        <w:spacing w:after="60"/>
      </w:pPr>
      <w:r>
        <w:rPr>
          <w:b/>
          <w:bCs/>
        </w:rPr>
        <w:t xml:space="preserve">Two different “Chen et al. 2020” papers. </w:t>
      </w:r>
      <w:r>
        <w:t xml:space="preserve">MAD comes from Deli Chen et al. (arXiv:1909.03211, AAAI 2020). GCNII comes from Ming Chen et al. (arXiv:2007.02133, ICML 2020). These are different authors and different papers. Crossing them is a citation error a reviewer catches immediately, and it was already caught and corrected once during the proposal stage.</w:t>
      </w:r>
    </w:p>
    <w:p>
      <w:pPr>
        <w:pBdr>
          <w:bottom w:val="single" w:color="BBBBBB" w:sz="6" w:space="1"/>
        </w:pBdr>
        <w:spacing w:after="200" w:before="200"/>
      </w:pPr>
      <w:r>
        <w:t xml:space="preserve"/>
      </w:r>
    </w:p>
    <w:p>
      <w:pPr>
        <w:pStyle w:val="Heading1"/>
        <w:spacing w:after="140" w:before="360"/>
      </w:pPr>
      <w:r>
        <w:t xml:space="preserve">Section 1 — Introduction</w:t>
      </w:r>
    </w:p>
    <w:p>
      <w:pPr>
        <w:spacing w:after="120"/>
      </w:pPr>
      <w:r>
        <w:t xml:space="preserve">Purpose: establish why the problem matters, state what the study set out to do, and state what it found. The introduction is where the reader learns which claim the rest of the report defends.</w:t>
      </w:r>
    </w:p>
    <w:p>
      <w:pPr>
        <w:pStyle w:val="Heading2"/>
        <w:spacing w:after="100" w:before="240"/>
      </w:pPr>
      <w:r>
        <w:t xml:space="preserve">1.1 Motivation and problem domain</w:t>
      </w:r>
    </w:p>
    <w:p>
      <w:pPr>
        <w:pStyle w:val="ListParagraph"/>
        <w:numPr>
          <w:ilvl w:val="0"/>
          <w:numId w:val="2"/>
        </w:numPr>
        <w:spacing w:after="60"/>
      </w:pPr>
      <w:r>
        <w:t xml:space="preserve">Graph-structured data as a class of problem; why learning vector representations of nodes is a core problem in modern deep learning.</w:t>
      </w:r>
    </w:p>
    <w:p>
      <w:pPr>
        <w:pStyle w:val="ListParagraph"/>
        <w:numPr>
          <w:ilvl w:val="0"/>
          <w:numId w:val="2"/>
        </w:numPr>
        <w:spacing w:after="60"/>
      </w:pPr>
      <w:r>
        <w:t xml:space="preserve">Real-world applications named explicitly: recommendation systems (user–item graphs), social-network analysis (community and role detection), and drug discovery (molecular property prediction). The project description requires these three be addressed.</w:t>
      </w:r>
    </w:p>
    <w:p>
      <w:pPr>
        <w:pStyle w:val="ListParagraph"/>
        <w:numPr>
          <w:ilvl w:val="0"/>
          <w:numId w:val="2"/>
        </w:numPr>
        <w:spacing w:after="60"/>
      </w:pPr>
      <w:r>
        <w:t xml:space="preserve">One sentence connecting each application back to node or subgraph representation learning, so the applications are not a decorative list.</w:t>
      </w:r>
    </w:p>
    <w:p>
      <w:pPr>
        <w:pStyle w:val="Heading2"/>
        <w:spacing w:after="100" w:before="240"/>
      </w:pPr>
      <w:r>
        <w:t xml:space="preserve">1.2 The task: semi-supervised node classification</w:t>
      </w:r>
    </w:p>
    <w:p>
      <w:pPr>
        <w:pStyle w:val="ListParagraph"/>
        <w:numPr>
          <w:ilvl w:val="0"/>
          <w:numId w:val="2"/>
        </w:numPr>
        <w:spacing w:after="60"/>
      </w:pPr>
      <w:r>
        <w:t xml:space="preserve">The task defined: papers as nodes, citation links as edges, one topic label per node, only a small labeled fraction available.</w:t>
      </w:r>
    </w:p>
    <w:p>
      <w:pPr>
        <w:pStyle w:val="ListParagraph"/>
        <w:numPr>
          <w:ilvl w:val="0"/>
          <w:numId w:val="2"/>
        </w:numPr>
        <w:spacing w:after="60"/>
      </w:pPr>
      <w:r>
        <w:t xml:space="preserve">Why the semi-supervised setting makes graph structure essential — label information has to propagate across the graph.</w:t>
      </w:r>
    </w:p>
    <w:p>
      <w:pPr>
        <w:pStyle w:val="ListParagraph"/>
        <w:numPr>
          <w:ilvl w:val="0"/>
          <w:numId w:val="2"/>
        </w:numPr>
        <w:spacing w:after="60"/>
      </w:pPr>
      <w:r>
        <w:t xml:space="preserve">Forward reference to Section 3 for the dataset specifics; do not duplicate the numbers here.</w:t>
      </w:r>
    </w:p>
    <w:p>
      <w:pPr>
        <w:pStyle w:val="Heading2"/>
        <w:spacing w:after="100" w:before="240"/>
      </w:pPr>
      <w:r>
        <w:t xml:space="preserve">1.3 Why depth is the axis of study</w:t>
      </w:r>
    </w:p>
    <w:p>
      <w:pPr>
        <w:pStyle w:val="ListParagraph"/>
        <w:numPr>
          <w:ilvl w:val="0"/>
          <w:numId w:val="2"/>
        </w:numPr>
        <w:spacing w:after="60"/>
      </w:pPr>
      <w:r>
        <w:t xml:space="preserve">Depth controls the receptive field: one layer reaches direct neighbors, two reach neighbors-of-neighbors, and so on.</w:t>
      </w:r>
    </w:p>
    <w:p>
      <w:pPr>
        <w:pStyle w:val="ListParagraph"/>
        <w:numPr>
          <w:ilvl w:val="0"/>
          <w:numId w:val="2"/>
        </w:numPr>
        <w:spacing w:after="60"/>
      </w:pPr>
      <w:r>
        <w:t xml:space="preserve">Depth is therefore not a nuisance parameter — it determines how far across the graph a node can draw information from.</w:t>
      </w:r>
    </w:p>
    <w:p>
      <w:pPr>
        <w:pStyle w:val="ListParagraph"/>
        <w:numPr>
          <w:ilvl w:val="0"/>
          <w:numId w:val="2"/>
        </w:numPr>
        <w:spacing w:after="60"/>
      </w:pPr>
      <w:r>
        <w:t xml:space="preserve">Statement of the puzzle: deeper message-passing GNNs frequently perform worse, and understanding why is a central question in graph representation learning.</w:t>
      </w:r>
    </w:p>
    <w:p>
      <w:pPr>
        <w:pStyle w:val="ListParagraph"/>
        <w:numPr>
          <w:ilvl w:val="0"/>
          <w:numId w:val="2"/>
        </w:numPr>
        <w:spacing w:after="60"/>
      </w:pPr>
      <w:r>
        <w:t xml:space="preserve">The physics-informed GNN motivation (from the proposal): domains where depth is not optional because information must cross a discretized domain. Keep the proposal’s honest framing — what transfers is the diagnostic methodology, not the specific numbers.</w:t>
      </w:r>
    </w:p>
    <w:p>
      <w:pPr>
        <w:pStyle w:val="Heading2"/>
        <w:spacing w:after="100" w:before="240"/>
      </w:pPr>
      <w:r>
        <w:t xml:space="preserve">1.4 Thesis and scope</w:t>
      </w:r>
    </w:p>
    <w:p>
      <w:pPr>
        <w:pStyle w:val="ListParagraph"/>
        <w:numPr>
          <w:ilvl w:val="0"/>
          <w:numId w:val="2"/>
        </w:numPr>
        <w:spacing w:after="60"/>
      </w:pPr>
      <w:r>
        <w:rPr>
          <w:b/>
          <w:bCs/>
        </w:rPr>
        <w:t xml:space="preserve">[LOAD-BEARING] </w:t>
      </w:r>
      <w:r>
        <w:t xml:space="preserve">State plainly what the study set out to measure: representational collapse (oversmoothing) as network depth increases, across GCN, GraphSAGE, GAT and GCNII, using Dirichlet energy and MAD.</w:t>
      </w:r>
    </w:p>
    <w:p>
      <w:pPr>
        <w:pStyle w:val="ListParagraph"/>
        <w:numPr>
          <w:ilvl w:val="0"/>
          <w:numId w:val="2"/>
        </w:numPr>
        <w:spacing w:after="60"/>
      </w:pPr>
      <w:r>
        <w:rPr>
          <w:b/>
          <w:bCs/>
        </w:rPr>
        <w:t xml:space="preserve">[LOAD-BEARING] </w:t>
      </w:r>
      <w:r>
        <w:t xml:space="preserve">State what the study actually found, and state it as a finding rather than allowing it to look like drift: the proposal anticipated progressive representational collapse with depth; the measured result is that structural oversmoothing is visible cleanly at initialization but does not survive training under this study’s hyperparameters, and that the depth-32 failure mode is architecture-dependent. A grader will read the proposal and the report side by side, so this shift must be owned in the introduction rather than discovered by the reader in Section 6.</w:t>
      </w:r>
    </w:p>
    <w:p>
      <w:pPr>
        <w:pStyle w:val="ListParagraph"/>
        <w:numPr>
          <w:ilvl w:val="0"/>
          <w:numId w:val="2"/>
        </w:numPr>
        <w:spacing w:after="60"/>
      </w:pPr>
      <w:r>
        <w:t xml:space="preserve">Scope boundaries: one dataset (Cora), one split, five depths, ten seeds, the mitigation set actually run. What the study does not claim.</w:t>
      </w:r>
    </w:p>
    <w:p>
      <w:pPr>
        <w:pStyle w:val="Heading2"/>
        <w:spacing w:after="100" w:before="240"/>
      </w:pPr>
      <w:r>
        <w:t xml:space="preserve">1.5 Contributions</w:t>
      </w:r>
    </w:p>
    <w:p>
      <w:pPr>
        <w:pStyle w:val="ListParagraph"/>
        <w:numPr>
          <w:ilvl w:val="0"/>
          <w:numId w:val="2"/>
        </w:numPr>
        <w:spacing w:after="60"/>
      </w:pPr>
      <w:r>
        <w:t xml:space="preserve">Contributions listed explicitly and numbered, each one traceable to a finding in FINDINGS.md rather than aspirational.</w:t>
      </w:r>
    </w:p>
    <w:p>
      <w:pPr>
        <w:pStyle w:val="ListParagraph"/>
        <w:numPr>
          <w:ilvl w:val="0"/>
          <w:numId w:val="2"/>
        </w:numPr>
        <w:spacing w:after="60"/>
      </w:pPr>
      <w:r>
        <w:t xml:space="preserve">Suggested set, to be confirmed against FINDINGS.md before drafting: (a) a comparative depth study across four architectures; (b) the separation of representational collapse from optimization failure, which accuracy alone cannot distinguish; (c) three distinct depth-failure modes identified across the conventional architectures; (d) a mitigation ablation identifying which mechanism restores deep performance; (e) a reusable per-layer diagnostic apparatus.</w:t>
      </w:r>
    </w:p>
    <w:p>
      <w:pPr>
        <w:pStyle w:val="Heading2"/>
        <w:spacing w:after="100" w:before="240"/>
      </w:pPr>
      <w:r>
        <w:t xml:space="preserve">1.6 Report roadmap</w:t>
      </w:r>
    </w:p>
    <w:p>
      <w:pPr>
        <w:pStyle w:val="ListParagraph"/>
        <w:numPr>
          <w:ilvl w:val="0"/>
          <w:numId w:val="2"/>
        </w:numPr>
        <w:spacing w:after="60"/>
      </w:pPr>
      <w:r>
        <w:t xml:space="preserve">One short paragraph mapping the remaining sections, so the reader knows where the theory, the implementation, the results and the discussion live.</w:t>
      </w:r>
    </w:p>
    <w:p>
      <w:pPr>
        <w:pBdr>
          <w:bottom w:val="single" w:color="BBBBBB" w:sz="6" w:space="1"/>
        </w:pBdr>
        <w:spacing w:after="200" w:before="200"/>
      </w:pPr>
      <w:r>
        <w:t xml:space="preserve"/>
      </w:r>
    </w:p>
    <w:p>
      <w:pPr>
        <w:pStyle w:val="Heading1"/>
        <w:spacing w:after="140" w:before="360"/>
      </w:pPr>
      <w:r>
        <w:t xml:space="preserve">Section 2 — Problem Statement, Review, and Background</w:t>
      </w:r>
    </w:p>
    <w:p>
      <w:pPr>
        <w:spacing w:after="120"/>
      </w:pPr>
      <w:r>
        <w:t xml:space="preserve">Purpose: state the problem precisely, review what is already known, and identify the gap this study addresses. This is the section that positions the work against prior art.</w:t>
      </w:r>
    </w:p>
    <w:p>
      <w:pPr>
        <w:pStyle w:val="Heading2"/>
        <w:spacing w:after="100" w:before="240"/>
      </w:pPr>
      <w:r>
        <w:t xml:space="preserve">2.1 Problem statement</w:t>
      </w:r>
    </w:p>
    <w:p>
      <w:pPr>
        <w:pStyle w:val="ListParagraph"/>
        <w:numPr>
          <w:ilvl w:val="0"/>
          <w:numId w:val="2"/>
        </w:numPr>
        <w:spacing w:after="60"/>
      </w:pPr>
      <w:r>
        <w:t xml:space="preserve">The problem stated formally enough to be unambiguous: given a graph, node features, and labels on a small subset of nodes, predict the labels of the remaining nodes.</w:t>
      </w:r>
    </w:p>
    <w:p>
      <w:pPr>
        <w:pStyle w:val="ListParagraph"/>
        <w:numPr>
          <w:ilvl w:val="0"/>
          <w:numId w:val="2"/>
        </w:numPr>
        <w:spacing w:after="60"/>
      </w:pPr>
      <w:r>
        <w:t xml:space="preserve">The specific question this study asks, distinguished from the general task: how does increasing depth affect both classification performance and the distinctness of learned representations, and which mechanisms restore performance at depth.</w:t>
      </w:r>
    </w:p>
    <w:p>
      <w:pPr>
        <w:pStyle w:val="Heading2"/>
        <w:spacing w:after="100" w:before="240"/>
      </w:pPr>
      <w:r>
        <w:t xml:space="preserve">2.2 Oversmoothing in the literature</w:t>
      </w:r>
    </w:p>
    <w:p>
      <w:pPr>
        <w:pStyle w:val="ListParagraph"/>
        <w:numPr>
          <w:ilvl w:val="0"/>
          <w:numId w:val="2"/>
        </w:numPr>
        <w:spacing w:after="60"/>
      </w:pPr>
      <w:r>
        <w:t xml:space="preserve">Oversmoothing defined as the literature defines it: repeated neighborhood aggregation drives node representations toward an indistinguishable fixed point as depth grows.</w:t>
      </w:r>
    </w:p>
    <w:p>
      <w:pPr>
        <w:pStyle w:val="ListParagraph"/>
        <w:numPr>
          <w:ilvl w:val="0"/>
          <w:numId w:val="2"/>
        </w:numPr>
        <w:spacing w:after="60"/>
      </w:pPr>
      <w:r>
        <w:t xml:space="preserve">Li, Han &amp; Wu (2018) — the paper that framed repeated graph convolution as a smoothing operation and connected it to the degradation of deep GCNs.</w:t>
      </w:r>
    </w:p>
    <w:p>
      <w:pPr>
        <w:pStyle w:val="ListParagraph"/>
        <w:numPr>
          <w:ilvl w:val="0"/>
          <w:numId w:val="2"/>
        </w:numPr>
        <w:spacing w:after="60"/>
      </w:pPr>
      <w:r>
        <w:t xml:space="preserve">Cai &amp; Wang (2020) — the Dirichlet-energy formulation and the contraction bound. Cite as the source of the energy view; the bound itself is stated in Section 3, not here.</w:t>
      </w:r>
    </w:p>
    <w:p>
      <w:pPr>
        <w:pStyle w:val="ListParagraph"/>
        <w:numPr>
          <w:ilvl w:val="0"/>
          <w:numId w:val="2"/>
        </w:numPr>
        <w:spacing w:after="60"/>
      </w:pPr>
      <w:r>
        <w:t xml:space="preserve">Deli Chen et al. (2020) — the MAD metric and the topological view of oversmoothing. Note that this paper validates MADGap as a performance predictor, which this study deliberately does not use (the reasoning belongs in Section 3 or 4).</w:t>
      </w:r>
    </w:p>
    <w:p>
      <w:pPr>
        <w:pStyle w:val="ListParagraph"/>
        <w:numPr>
          <w:ilvl w:val="0"/>
          <w:numId w:val="2"/>
        </w:numPr>
        <w:spacing w:after="60"/>
      </w:pPr>
      <w:r>
        <w:rPr>
          <w:b/>
          <w:bCs/>
        </w:rPr>
        <w:t xml:space="preserve">[LOAD-BEARING] </w:t>
      </w:r>
      <w:r>
        <w:t xml:space="preserve">Make clear that oversmoothing in the literature is a claim about representations, not directly about accuracy — the two are separate quantities and the study is built on keeping them apart.</w:t>
      </w:r>
    </w:p>
    <w:p>
      <w:pPr>
        <w:pStyle w:val="Heading2"/>
        <w:spacing w:after="100" w:before="240"/>
      </w:pPr>
      <w:r>
        <w:t xml:space="preserve">2.3 Trainability at depth: the optimization view</w:t>
      </w:r>
    </w:p>
    <w:p>
      <w:pPr>
        <w:pStyle w:val="ListParagraph"/>
        <w:numPr>
          <w:ilvl w:val="0"/>
          <w:numId w:val="2"/>
        </w:numPr>
        <w:spacing w:after="60"/>
      </w:pPr>
      <w:r>
        <w:rPr>
          <w:b/>
          <w:bCs/>
        </w:rPr>
        <w:t xml:space="preserve">[LOAD-BEARING] </w:t>
      </w:r>
      <w:r>
        <w:t xml:space="preserve">Kipf &amp; Welling report in their Appendix B that training becomes difficult past roughly seven layers without residual connections on citation networks. This is an optimization statement, not a smoothing statement, and it is the prior art the study’s central finding builds on. It is easy to miss because it sits in an appendix rather than the main text.</w:t>
      </w:r>
    </w:p>
    <w:p>
      <w:pPr>
        <w:pStyle w:val="ListParagraph"/>
        <w:numPr>
          <w:ilvl w:val="0"/>
          <w:numId w:val="2"/>
        </w:numPr>
        <w:spacing w:after="60"/>
      </w:pPr>
      <w:r>
        <w:t xml:space="preserve">Note the comparability caveat recorded in DECISIONS.md: that appendix uses five-fold cross-validation with all labels, not the 140-label standard split, so it is qualitative precedent only and its numbers are not directly comparable.</w:t>
      </w:r>
    </w:p>
    <w:p>
      <w:pPr>
        <w:pStyle w:val="ListParagraph"/>
        <w:numPr>
          <w:ilvl w:val="0"/>
          <w:numId w:val="2"/>
        </w:numPr>
        <w:spacing w:after="60"/>
      </w:pPr>
      <w:r>
        <w:rPr>
          <w:b/>
          <w:bCs/>
        </w:rPr>
        <w:t xml:space="preserve">[LOAD-BEARING] </w:t>
      </w:r>
      <w:r>
        <w:t xml:space="preserve">Establish the distinction the report depends on: a deep network that performs badly may have oversmoothed, or may simply have failed to train. Prior work does not always separate these.</w:t>
      </w:r>
    </w:p>
    <w:p>
      <w:pPr>
        <w:pStyle w:val="Heading2"/>
        <w:spacing w:after="100" w:before="240"/>
      </w:pPr>
      <w:r>
        <w:t xml:space="preserve">2.4 Mitigation approaches</w:t>
      </w:r>
    </w:p>
    <w:p>
      <w:pPr>
        <w:pStyle w:val="ListParagraph"/>
        <w:numPr>
          <w:ilvl w:val="0"/>
          <w:numId w:val="2"/>
        </w:numPr>
        <w:spacing w:after="60"/>
      </w:pPr>
      <w:r>
        <w:t xml:space="preserve">Residual and skip connections — the mechanism and the prior art it comes from.</w:t>
      </w:r>
    </w:p>
    <w:p>
      <w:pPr>
        <w:pStyle w:val="ListParagraph"/>
        <w:numPr>
          <w:ilvl w:val="0"/>
          <w:numId w:val="2"/>
        </w:numPr>
        <w:spacing w:after="60"/>
      </w:pPr>
      <w:r>
        <w:t xml:space="preserve">PairNorm (Zhao &amp; Akoglu, 2020) — what it normalizes and what invariant it preserves.</w:t>
      </w:r>
    </w:p>
    <w:p>
      <w:pPr>
        <w:pStyle w:val="ListParagraph"/>
        <w:numPr>
          <w:ilvl w:val="0"/>
          <w:numId w:val="2"/>
        </w:numPr>
        <w:spacing w:after="60"/>
      </w:pPr>
      <w:r>
        <w:t xml:space="preserve">Jumping Knowledge (Xu et al., 2018) — aggregating representations across layers rather than using only the last.</w:t>
      </w:r>
    </w:p>
    <w:p>
      <w:pPr>
        <w:pStyle w:val="ListParagraph"/>
        <w:numPr>
          <w:ilvl w:val="0"/>
          <w:numId w:val="2"/>
        </w:numPr>
        <w:spacing w:after="60"/>
      </w:pPr>
      <w:r>
        <w:t xml:space="preserve">GCNII (Ming Chen et al., 2020) — initial residual and identity mapping. Flag here that GCNII is an architecture rather than a wrapper, which is why it is treated differently in the experiments.</w:t>
      </w:r>
    </w:p>
    <w:p>
      <w:pPr>
        <w:pStyle w:val="ListParagraph"/>
        <w:numPr>
          <w:ilvl w:val="0"/>
          <w:numId w:val="2"/>
        </w:numPr>
        <w:spacing w:after="60"/>
      </w:pPr>
      <w:r>
        <w:t xml:space="preserve">For each: what problem it was introduced to solve, so Section 6 can report whether it did.</w:t>
      </w:r>
    </w:p>
    <w:p>
      <w:pPr>
        <w:pStyle w:val="Heading2"/>
        <w:spacing w:after="100" w:before="240"/>
      </w:pPr>
      <w:r>
        <w:t xml:space="preserve">2.5 Large-scale and noisy graphs</w:t>
      </w:r>
    </w:p>
    <w:p>
      <w:pPr>
        <w:pStyle w:val="ListParagraph"/>
        <w:numPr>
          <w:ilvl w:val="0"/>
          <w:numId w:val="2"/>
        </w:numPr>
        <w:spacing w:after="60"/>
      </w:pPr>
      <w:r>
        <w:t xml:space="preserve">Required by the project description; assigned to Yiheng in the proposal’s role split.</w:t>
      </w:r>
    </w:p>
    <w:p>
      <w:pPr>
        <w:pStyle w:val="ListParagraph"/>
        <w:numPr>
          <w:ilvl w:val="0"/>
          <w:numId w:val="2"/>
        </w:numPr>
        <w:spacing w:after="60"/>
      </w:pPr>
      <w:r>
        <w:t xml:space="preserve">Scale: why full-batch computation on the whole graph does not extend to large graphs; GraphSAGE’s neighbor sampling as the standard response.</w:t>
      </w:r>
    </w:p>
    <w:p>
      <w:pPr>
        <w:pStyle w:val="ListParagraph"/>
        <w:numPr>
          <w:ilvl w:val="0"/>
          <w:numId w:val="2"/>
        </w:numPr>
        <w:spacing w:after="60"/>
      </w:pPr>
      <w:r>
        <w:t xml:space="preserve">Noise: structural (edge) noise and its effect on aggregation.</w:t>
      </w:r>
    </w:p>
    <w:p>
      <w:pPr>
        <w:pStyle w:val="ListParagraph"/>
        <w:numPr>
          <w:ilvl w:val="0"/>
          <w:numId w:val="2"/>
        </w:numPr>
        <w:spacing w:after="60"/>
      </w:pPr>
      <w:r>
        <w:t xml:space="preserve">The improvement proposal the project description asks for — depth-aware architecture design with normalization — introduced here and picked up again in Section 7.</w:t>
      </w:r>
    </w:p>
    <w:p>
      <w:pPr>
        <w:pStyle w:val="Heading2"/>
        <w:spacing w:after="100" w:before="240"/>
      </w:pPr>
      <w:r>
        <w:t xml:space="preserve">2.6 The gap this study addresses</w:t>
      </w:r>
    </w:p>
    <w:p>
      <w:pPr>
        <w:pStyle w:val="ListParagraph"/>
        <w:numPr>
          <w:ilvl w:val="0"/>
          <w:numId w:val="2"/>
        </w:numPr>
        <w:spacing w:after="60"/>
      </w:pPr>
      <w:r>
        <w:t xml:space="preserve">What is missing from the prior art: per-layer measurement across depth, run across multiple architectures under one fixed protocol, with the collapse measured rather than inferred from accuracy.</w:t>
      </w:r>
    </w:p>
    <w:p>
      <w:pPr>
        <w:pStyle w:val="ListParagraph"/>
        <w:numPr>
          <w:ilvl w:val="0"/>
          <w:numId w:val="2"/>
        </w:numPr>
        <w:spacing w:after="60"/>
      </w:pPr>
      <w:r>
        <w:t xml:space="preserve">Statement of what having two metrics buys that one does not — introduced here at a high level, defined properly in Section 3.</w:t>
      </w:r>
    </w:p>
    <w:p>
      <w:pPr>
        <w:pBdr>
          <w:bottom w:val="single" w:color="BBBBBB" w:sz="6" w:space="1"/>
        </w:pBdr>
        <w:spacing w:after="200" w:before="200"/>
      </w:pPr>
      <w:r>
        <w:t xml:space="preserve"/>
      </w:r>
    </w:p>
    <w:p>
      <w:pPr>
        <w:pStyle w:val="Heading1"/>
        <w:spacing w:after="140" w:before="360"/>
      </w:pPr>
      <w:r>
        <w:t xml:space="preserve">Section 3 — Theory and Datasets</w:t>
      </w:r>
    </w:p>
    <w:p>
      <w:pPr>
        <w:spacing w:after="120"/>
      </w:pPr>
      <w:r>
        <w:t xml:space="preserve">Purpose: define every symbol, operator, metric and dataset property that Sections 4–7 use. The test for this section is mechanical: read Section 6 and confirm that every quantity it names has been defined here.</w:t>
      </w:r>
    </w:p>
    <w:p>
      <w:pPr>
        <w:pStyle w:val="Heading2"/>
        <w:spacing w:after="100" w:before="240"/>
      </w:pPr>
      <w:r>
        <w:t xml:space="preserve">3.1 Notation and graph foundations</w:t>
      </w:r>
    </w:p>
    <w:p>
      <w:pPr>
        <w:pStyle w:val="ListParagraph"/>
        <w:numPr>
          <w:ilvl w:val="0"/>
          <w:numId w:val="2"/>
        </w:numPr>
        <w:spacing w:after="60"/>
      </w:pPr>
      <w:r>
        <w:t xml:space="preserve">Notation table or list: the graph, the node set and its size, the adjacency matrix, the degree matrix, the feature matrix, the per-layer representation, the number of classes.</w:t>
      </w:r>
    </w:p>
    <w:p>
      <w:pPr>
        <w:pStyle w:val="ListParagraph"/>
        <w:numPr>
          <w:ilvl w:val="0"/>
          <w:numId w:val="2"/>
        </w:numPr>
        <w:spacing w:after="60"/>
      </w:pPr>
      <w:r>
        <w:t xml:space="preserve">Cora is treated as undirected; symmetrization is a deliberate modeling choice rather than a loss of information, and should be stated as such.</w:t>
      </w:r>
    </w:p>
    <w:p>
      <w:pPr>
        <w:pStyle w:val="ListParagraph"/>
        <w:numPr>
          <w:ilvl w:val="0"/>
          <w:numId w:val="2"/>
        </w:numPr>
        <w:spacing w:after="60"/>
      </w:pPr>
      <w:r>
        <w:t xml:space="preserve">Node features as a bag-of-words vector; the feature dimension.</w:t>
      </w:r>
    </w:p>
    <w:p>
      <w:pPr>
        <w:pStyle w:val="Heading2"/>
        <w:spacing w:after="100" w:before="240"/>
      </w:pPr>
      <w:r>
        <w:t xml:space="preserve">3.2 The normalized Laplacian and its null space</w:t>
      </w:r>
    </w:p>
    <w:p>
      <w:pPr>
        <w:pStyle w:val="ListParagraph"/>
        <w:numPr>
          <w:ilvl w:val="0"/>
          <w:numId w:val="2"/>
        </w:numPr>
        <w:spacing w:after="60"/>
      </w:pPr>
      <w:r>
        <w:t xml:space="preserve">The augmented adjacency (adjacency plus self-loops) and the symmetric normalization used throughout.</w:t>
      </w:r>
    </w:p>
    <w:p>
      <w:pPr>
        <w:pStyle w:val="ListParagraph"/>
        <w:numPr>
          <w:ilvl w:val="0"/>
          <w:numId w:val="2"/>
        </w:numPr>
        <w:spacing w:after="60"/>
      </w:pPr>
      <w:r>
        <w:t xml:space="preserve">The symmetric normalized Laplacian defined from it.</w:t>
      </w:r>
    </w:p>
    <w:p>
      <w:pPr>
        <w:pStyle w:val="ListParagraph"/>
        <w:numPr>
          <w:ilvl w:val="0"/>
          <w:numId w:val="2"/>
        </w:numPr>
        <w:spacing w:after="60"/>
      </w:pPr>
      <w:r>
        <w:t xml:space="preserve">The Dirichlet energy quadratic form built on that Laplacian.</w:t>
      </w:r>
    </w:p>
    <w:p>
      <w:pPr>
        <w:pStyle w:val="ListParagraph"/>
        <w:numPr>
          <w:ilvl w:val="0"/>
          <w:numId w:val="2"/>
        </w:numPr>
        <w:spacing w:after="60"/>
      </w:pPr>
      <w:r>
        <w:rPr>
          <w:b/>
          <w:bCs/>
        </w:rPr>
        <w:t xml:space="preserve">[LOAD-BEARING] </w:t>
      </w:r>
      <w:r>
        <w:t xml:space="preserve">The null space of the symmetric normalized Laplacian is spanned by the square root of the augmented degree, not by the constant vector. The random-walk normalized Laplacian is the one whose null space is literally constant. On a regular graph the two coincide; Cora is far from regular, so on this graph identical node representations do not give zero Dirichlet energy. Section 6 relies on this distinction directly — it is what explains why one architecture can collapse completely in direction while its energy stays large. See DECISIONS.md D-036.</w:t>
      </w:r>
    </w:p>
    <w:p>
      <w:pPr>
        <w:pStyle w:val="ListParagraph"/>
        <w:numPr>
          <w:ilvl w:val="0"/>
          <w:numId w:val="2"/>
        </w:numPr>
        <w:spacing w:after="60"/>
      </w:pPr>
      <w:r>
        <w:rPr>
          <w:b/>
          <w:bCs/>
        </w:rPr>
        <w:t xml:space="preserve">[LOAD-BEARING] </w:t>
      </w:r>
      <w:r>
        <w:t xml:space="preserve">Consequence worth stating for the reader: a model that fully collapses under this metric is converging toward a representation proportional to the square root of degree, so high-degree nodes retain larger-magnitude representations even at total collapse.</w:t>
      </w:r>
    </w:p>
    <w:p>
      <w:pPr>
        <w:pStyle w:val="Heading2"/>
        <w:spacing w:after="100" w:before="240"/>
      </w:pPr>
      <w:r>
        <w:t xml:space="preserve">3.3 Message passing as a general framework</w:t>
      </w:r>
    </w:p>
    <w:p>
      <w:pPr>
        <w:pStyle w:val="ListParagraph"/>
        <w:numPr>
          <w:ilvl w:val="0"/>
          <w:numId w:val="2"/>
        </w:numPr>
        <w:spacing w:after="60"/>
      </w:pPr>
      <w:r>
        <w:t xml:space="preserve">The general message-passing update: gather from neighbors, combine with the node’s own representation, transform, activate.</w:t>
      </w:r>
    </w:p>
    <w:p>
      <w:pPr>
        <w:pStyle w:val="ListParagraph"/>
        <w:numPr>
          <w:ilvl w:val="0"/>
          <w:numId w:val="2"/>
        </w:numPr>
        <w:spacing w:after="60"/>
      </w:pPr>
      <w:r>
        <w:t xml:space="preserve">Stacking layers extends the receptive field by one hop per layer — ties back to Section 1.3.</w:t>
      </w:r>
    </w:p>
    <w:p>
      <w:pPr>
        <w:pStyle w:val="ListParagraph"/>
        <w:numPr>
          <w:ilvl w:val="0"/>
          <w:numId w:val="2"/>
        </w:numPr>
        <w:spacing w:after="60"/>
      </w:pPr>
      <w:r>
        <w:t xml:space="preserve">Position all four architectures as instances of this one framework, differing in how they gather and weight neighbor information.</w:t>
      </w:r>
    </w:p>
    <w:p>
      <w:pPr>
        <w:pStyle w:val="Heading2"/>
        <w:spacing w:after="100" w:before="240"/>
      </w:pPr>
      <w:r>
        <w:t xml:space="preserve">3.4 Architectures</w:t>
      </w:r>
    </w:p>
    <w:p>
      <w:pPr>
        <w:pStyle w:val="ListParagraph"/>
        <w:numPr>
          <w:ilvl w:val="0"/>
          <w:numId w:val="2"/>
        </w:numPr>
        <w:spacing w:after="60"/>
      </w:pPr>
      <w:r>
        <w:t xml:space="preserve">GCN (Kipf &amp; Welling, 2017): fixed, structure-determined symmetric normalization; all neighbors treated symmetrically.</w:t>
      </w:r>
    </w:p>
    <w:p>
      <w:pPr>
        <w:pStyle w:val="ListParagraph"/>
        <w:numPr>
          <w:ilvl w:val="0"/>
          <w:numId w:val="2"/>
        </w:numPr>
        <w:spacing w:after="60"/>
      </w:pPr>
      <w:r>
        <w:rPr>
          <w:b/>
          <w:bCs/>
        </w:rPr>
        <w:t xml:space="preserve">[LOAD-BEARING] </w:t>
      </w:r>
      <w:r>
        <w:t xml:space="preserve">GraphSAGE (Hamilton et al., 2017): the root/self term kept as a separate weight from the neighbor aggregation; the mean aggregator; the inductive motivation. The separate root term matters later, so define it explicitly.</w:t>
      </w:r>
    </w:p>
    <w:p>
      <w:pPr>
        <w:pStyle w:val="ListParagraph"/>
        <w:numPr>
          <w:ilvl w:val="0"/>
          <w:numId w:val="2"/>
        </w:numPr>
        <w:spacing w:after="60"/>
      </w:pPr>
      <w:r>
        <w:t xml:space="preserve">GAT (Veličković et al., 2018): learned attention weights over neighbors; multi-head attention.</w:t>
      </w:r>
    </w:p>
    <w:p>
      <w:pPr>
        <w:pStyle w:val="ListParagraph"/>
        <w:numPr>
          <w:ilvl w:val="0"/>
          <w:numId w:val="2"/>
        </w:numPr>
        <w:spacing w:after="60"/>
      </w:pPr>
      <w:r>
        <w:t xml:space="preserve">GCNII (Ming Chen et al., 2020): initial residual to the first representation, plus identity mapping on the weight, and what each of the two terms is intended to prevent.</w:t>
      </w:r>
    </w:p>
    <w:p>
      <w:pPr>
        <w:pStyle w:val="ListParagraph"/>
        <w:numPr>
          <w:ilvl w:val="0"/>
          <w:numId w:val="2"/>
        </w:numPr>
        <w:spacing w:after="60"/>
      </w:pPr>
      <w:r>
        <w:rPr>
          <w:b/>
          <w:bCs/>
        </w:rPr>
        <w:t xml:space="preserve">[LOAD-BEARING] </w:t>
      </w:r>
      <w:r>
        <w:t xml:space="preserve">State that GCNII is an architecture in the code but appears in the experimental comparison alongside the mitigations. If this is not stated explicitly it reads as an inconsistency in Section 6. See DECISIONS.md D-008.</w:t>
      </w:r>
    </w:p>
    <w:p>
      <w:pPr>
        <w:pStyle w:val="Heading2"/>
        <w:spacing w:after="100" w:before="240"/>
      </w:pPr>
      <w:r>
        <w:t xml:space="preserve">3.5 Mitigation mechanisms</w:t>
      </w:r>
    </w:p>
    <w:p>
      <w:pPr>
        <w:pStyle w:val="ListParagraph"/>
        <w:numPr>
          <w:ilvl w:val="0"/>
          <w:numId w:val="2"/>
        </w:numPr>
        <w:spacing w:after="60"/>
      </w:pPr>
      <w:r>
        <w:t xml:space="preserve">Residual / skip connection: identity addition, and the constraint that it can only fire where input and output widths match.</w:t>
      </w:r>
    </w:p>
    <w:p>
      <w:pPr>
        <w:pStyle w:val="ListParagraph"/>
        <w:numPr>
          <w:ilvl w:val="0"/>
          <w:numId w:val="2"/>
        </w:numPr>
        <w:spacing w:after="60"/>
      </w:pPr>
      <w:r>
        <w:t xml:space="preserve">PairNorm (Zhao &amp; Akoglu, 2020): centering and rescaling; the invariant it maintains; note that the scale-individual variant is the one used and why the choice arises with a symmetrically normalized adjacency.</w:t>
      </w:r>
    </w:p>
    <w:p>
      <w:pPr>
        <w:pStyle w:val="ListParagraph"/>
        <w:numPr>
          <w:ilvl w:val="0"/>
          <w:numId w:val="2"/>
        </w:numPr>
        <w:spacing w:after="60"/>
      </w:pPr>
      <w:r>
        <w:t xml:space="preserve">Jumping Knowledge (Xu et al., 2018): aggregation across all layer representations rather than the last; note that max-pooling is the aggregator used and that this keeps the parameter count independent of depth.</w:t>
      </w:r>
    </w:p>
    <w:p>
      <w:pPr>
        <w:pStyle w:val="ListParagraph"/>
        <w:numPr>
          <w:ilvl w:val="0"/>
          <w:numId w:val="2"/>
        </w:numPr>
        <w:spacing w:after="60"/>
      </w:pPr>
      <w:r>
        <w:t xml:space="preserve">For each mechanism, describe it generally here; the specific configuration choices belong in Section 4.</w:t>
      </w:r>
    </w:p>
    <w:p>
      <w:pPr>
        <w:pStyle w:val="Heading2"/>
        <w:spacing w:after="100" w:before="240"/>
      </w:pPr>
      <w:r>
        <w:t xml:space="preserve">3.6 Measuring oversmoothing: Dirichlet energy</w:t>
      </w:r>
    </w:p>
    <w:p>
      <w:pPr>
        <w:pStyle w:val="ListParagraph"/>
        <w:numPr>
          <w:ilvl w:val="0"/>
          <w:numId w:val="2"/>
        </w:numPr>
        <w:spacing w:after="60"/>
      </w:pPr>
      <w:r>
        <w:t xml:space="preserve">Definition via the quadratic form on the normalized Laplacian; the intuition that it measures how much neighboring nodes’ representations still differ.</w:t>
      </w:r>
    </w:p>
    <w:p>
      <w:pPr>
        <w:pStyle w:val="ListParagraph"/>
        <w:numPr>
          <w:ilvl w:val="0"/>
          <w:numId w:val="2"/>
        </w:numPr>
        <w:spacing w:after="60"/>
      </w:pPr>
      <w:r>
        <w:t xml:space="preserve">Per-dimension normalization, and why it is needed — energy sums over feature dimensions, so representations of different widths are not otherwise on a common footing.</w:t>
      </w:r>
    </w:p>
    <w:p>
      <w:pPr>
        <w:pStyle w:val="ListParagraph"/>
        <w:numPr>
          <w:ilvl w:val="0"/>
          <w:numId w:val="2"/>
        </w:numPr>
        <w:spacing w:after="60"/>
      </w:pPr>
      <w:r>
        <w:rPr>
          <w:b/>
          <w:bCs/>
        </w:rPr>
        <w:t xml:space="preserve">[LOAD-BEARING] </w:t>
      </w:r>
      <w:r>
        <w:t xml:space="preserve">The reported quantity is the per-dimension energy at each layer normalized by the value at layer one, over the comparable band of layers. Section 6 quotes these ratios throughout and they are meaningless without this definition.</w:t>
      </w:r>
    </w:p>
    <w:p>
      <w:pPr>
        <w:pStyle w:val="ListParagraph"/>
        <w:numPr>
          <w:ilvl w:val="0"/>
          <w:numId w:val="2"/>
        </w:numPr>
        <w:spacing w:after="60"/>
      </w:pPr>
      <w:r>
        <w:rPr>
          <w:b/>
          <w:bCs/>
        </w:rPr>
        <w:t xml:space="preserve">[LOAD-BEARING] </w:t>
      </w:r>
      <w:r>
        <w:t xml:space="preserve">Why layer zero is rejected as the reference point: the input is a sparse, high-dimensional, row-normalized bag-of-words while every hidden layer is dense and post-projection, so a ratio against layer zero mixes aggregation smoothing with the arbitrary scale of the first projection. See DECISIONS.md D-002 and D-003.</w:t>
      </w:r>
    </w:p>
    <w:p>
      <w:pPr>
        <w:pStyle w:val="ListParagraph"/>
        <w:numPr>
          <w:ilvl w:val="0"/>
          <w:numId w:val="2"/>
        </w:numPr>
        <w:spacing w:after="60"/>
      </w:pPr>
      <w:r>
        <w:rPr>
          <w:b/>
          <w:bCs/>
        </w:rPr>
        <w:t xml:space="preserve">[LOAD-BEARING] </w:t>
      </w:r>
      <w:r>
        <w:t xml:space="preserve">Cai &amp; Wang’s contraction bound, stated as the theoretical motivation for expecting exponential decay in depth and therefore for a logarithmic energy axis. State it as motivating the shape only — this study did not compute the spectral gap or the weight norms and so makes no claim of numerical agreement with the bound.</w:t>
      </w:r>
    </w:p>
    <w:p>
      <w:pPr>
        <w:pStyle w:val="Heading2"/>
        <w:spacing w:after="100" w:before="240"/>
      </w:pPr>
      <w:r>
        <w:t xml:space="preserve">3.7 Measuring oversmoothing: mean average distance (MAD)</w:t>
      </w:r>
    </w:p>
    <w:p>
      <w:pPr>
        <w:pStyle w:val="ListParagraph"/>
        <w:numPr>
          <w:ilvl w:val="0"/>
          <w:numId w:val="2"/>
        </w:numPr>
        <w:spacing w:after="60"/>
      </w:pPr>
      <w:r>
        <w:t xml:space="preserve">Definition: pairwise cosine distance between node representations, reduced to a single number.</w:t>
      </w:r>
    </w:p>
    <w:p>
      <w:pPr>
        <w:pStyle w:val="ListParagraph"/>
        <w:numPr>
          <w:ilvl w:val="0"/>
          <w:numId w:val="2"/>
        </w:numPr>
        <w:spacing w:after="60"/>
      </w:pPr>
      <w:r>
        <w:t xml:space="preserve">The reduction convention as specified by Deli Chen et al. — averaging over non-zero entries at both the row stage and the final stage. Read this off the paper rather than assuming.</w:t>
      </w:r>
    </w:p>
    <w:p>
      <w:pPr>
        <w:pStyle w:val="ListParagraph"/>
        <w:numPr>
          <w:ilvl w:val="0"/>
          <w:numId w:val="2"/>
        </w:numPr>
        <w:spacing w:after="60"/>
      </w:pPr>
      <w:r>
        <w:t xml:space="preserve">State that MADGap is not used in this study and that MAD alone is what is reported.</w:t>
      </w:r>
    </w:p>
    <w:p>
      <w:pPr>
        <w:pStyle w:val="Heading2"/>
        <w:spacing w:after="100" w:before="240"/>
      </w:pPr>
      <w:r>
        <w:t xml:space="preserve">3.8 Why both metrics, and what each is blind to</w:t>
      </w:r>
    </w:p>
    <w:p>
      <w:pPr>
        <w:pStyle w:val="ListParagraph"/>
        <w:numPr>
          <w:ilvl w:val="0"/>
          <w:numId w:val="2"/>
        </w:numPr>
        <w:spacing w:after="60"/>
      </w:pPr>
      <w:r>
        <w:rPr>
          <w:b/>
          <w:bCs/>
        </w:rPr>
        <w:t xml:space="preserve">[LOAD-BEARING] </w:t>
      </w:r>
      <w:r>
        <w:t xml:space="preserve">MAD is built on cosine distance and is therefore invariant to per-node positive rescaling: it sees direction only. Dirichlet energy is a quadratic form and is not scale-invariant: it sees both direction and magnitude.</w:t>
      </w:r>
    </w:p>
    <w:p>
      <w:pPr>
        <w:pStyle w:val="ListParagraph"/>
        <w:numPr>
          <w:ilvl w:val="0"/>
          <w:numId w:val="2"/>
        </w:numPr>
        <w:spacing w:after="60"/>
      </w:pPr>
      <w:r>
        <w:rPr>
          <w:b/>
          <w:bCs/>
        </w:rPr>
        <w:t xml:space="preserve">[LOAD-BEARING] </w:t>
      </w:r>
      <w:r>
        <w:t xml:space="preserve">The consequence: the two metrics can disagree, and when they do, the disagreement is informative rather than a defect. A representation can collapse completely in direction while its energy stays large, and only carrying both metrics makes that visible.</w:t>
      </w:r>
    </w:p>
    <w:p>
      <w:pPr>
        <w:pStyle w:val="ListParagraph"/>
        <w:numPr>
          <w:ilvl w:val="0"/>
          <w:numId w:val="2"/>
        </w:numPr>
        <w:spacing w:after="60"/>
      </w:pPr>
      <w:r>
        <w:rPr>
          <w:b/>
          <w:bCs/>
        </w:rPr>
        <w:t xml:space="preserve">[LOAD-BEARING] </w:t>
      </w:r>
      <w:r>
        <w:t xml:space="preserve">This is the single most important conceptual point in Section 3. Section 6’s central distinction between directional collapse and magnitude behavior is incomprehensible to a reader who does not already hold it.</w:t>
      </w:r>
    </w:p>
    <w:p>
      <w:pPr>
        <w:pStyle w:val="Heading2"/>
        <w:spacing w:after="100" w:before="240"/>
      </w:pPr>
      <w:r>
        <w:t xml:space="preserve">3.9 Classification metrics and baselines</w:t>
      </w:r>
    </w:p>
    <w:p>
      <w:pPr>
        <w:pStyle w:val="ListParagraph"/>
        <w:numPr>
          <w:ilvl w:val="0"/>
          <w:numId w:val="2"/>
        </w:numPr>
        <w:spacing w:after="60"/>
      </w:pPr>
      <w:r>
        <w:t xml:space="preserve">Accuracy, defined on the test split.</w:t>
      </w:r>
    </w:p>
    <w:p>
      <w:pPr>
        <w:pStyle w:val="ListParagraph"/>
        <w:numPr>
          <w:ilvl w:val="0"/>
          <w:numId w:val="2"/>
        </w:numPr>
        <w:spacing w:after="60"/>
      </w:pPr>
      <w:r>
        <w:t xml:space="preserve">Macro-F1 and why it is reported: it captures per-class performance under class imbalance.</w:t>
      </w:r>
    </w:p>
    <w:p>
      <w:pPr>
        <w:pStyle w:val="ListParagraph"/>
        <w:numPr>
          <w:ilvl w:val="0"/>
          <w:numId w:val="2"/>
        </w:numPr>
        <w:spacing w:after="60"/>
      </w:pPr>
      <w:r>
        <w:t xml:space="preserve">Why micro-F1 is not reported: for single-label multiclass classification it is mathematically equal to accuracy, so reporting it would be redundant. The proposal named it, so the omission should be stated rather than silent.</w:t>
      </w:r>
    </w:p>
    <w:p>
      <w:pPr>
        <w:pStyle w:val="ListParagraph"/>
        <w:numPr>
          <w:ilvl w:val="0"/>
          <w:numId w:val="2"/>
        </w:numPr>
        <w:spacing w:after="60"/>
      </w:pPr>
      <w:r>
        <w:rPr>
          <w:b/>
          <w:bCs/>
        </w:rPr>
        <w:t xml:space="preserve">[LOAD-BEARING] </w:t>
      </w:r>
      <w:r>
        <w:t xml:space="preserve">The two reference baselines a reader needs in order to interpret Section 6: the uniform-random rate over seven classes, and the majority-class rate on the actual test split. Section 6’s sharpest result is that a trained deep model falls below the majority-class rate, and that lands flat unless the reader already knows what that rate is and why it is the relevant floor.</w:t>
      </w:r>
    </w:p>
    <w:p>
      <w:pPr>
        <w:pStyle w:val="Heading2"/>
        <w:spacing w:after="100" w:before="240"/>
      </w:pPr>
      <w:r>
        <w:t xml:space="preserve">3.10 The Cora dataset and the standard split</w:t>
      </w:r>
    </w:p>
    <w:p>
      <w:pPr>
        <w:pStyle w:val="ListParagraph"/>
        <w:numPr>
          <w:ilvl w:val="0"/>
          <w:numId w:val="2"/>
        </w:numPr>
        <w:spacing w:after="60"/>
      </w:pPr>
      <w:r>
        <w:t xml:space="preserve">Node count, feature dimension, number of classes, edge semantics.</w:t>
      </w:r>
    </w:p>
    <w:p>
      <w:pPr>
        <w:pStyle w:val="ListParagraph"/>
        <w:numPr>
          <w:ilvl w:val="0"/>
          <w:numId w:val="2"/>
        </w:numPr>
        <w:spacing w:after="60"/>
      </w:pPr>
      <w:r>
        <w:t xml:space="preserve">The Planetoid standard split: the sizes of the training, validation and test sets, cited to Yang et al. (2016).</w:t>
      </w:r>
    </w:p>
    <w:p>
      <w:pPr>
        <w:pStyle w:val="ListParagraph"/>
        <w:numPr>
          <w:ilvl w:val="0"/>
          <w:numId w:val="2"/>
        </w:numPr>
        <w:spacing w:after="60"/>
      </w:pPr>
      <w:r>
        <w:t xml:space="preserve">The dataset’s original source (Sen et al., 2008) distinguished from the split convention.</w:t>
      </w:r>
    </w:p>
    <w:p>
      <w:pPr>
        <w:pStyle w:val="ListParagraph"/>
        <w:numPr>
          <w:ilvl w:val="0"/>
          <w:numId w:val="2"/>
        </w:numPr>
        <w:spacing w:after="60"/>
      </w:pPr>
      <w:r>
        <w:rPr>
          <w:b/>
          <w:bCs/>
        </w:rPr>
        <w:t xml:space="preserve">[LOAD-BEARING] </w:t>
      </w:r>
      <w:r>
        <w:t xml:space="preserve">The degree distribution is highly skewed — minimum, maximum and mean degree. This is not a decorative statistic: it is precisely why the two candidate collapse directions in 3.2 differ on this graph, and Section 6 depends on it.</w:t>
      </w:r>
    </w:p>
    <w:p>
      <w:pPr>
        <w:pStyle w:val="ListParagraph"/>
        <w:numPr>
          <w:ilvl w:val="0"/>
          <w:numId w:val="2"/>
        </w:numPr>
        <w:spacing w:after="60"/>
      </w:pPr>
      <w:r>
        <w:t xml:space="preserve">Row normalization of node features, with the reason: it matches the published GCN setup, which the study’s baseline reproduction claim depends on. See DECISIONS.md D-002.</w:t>
      </w:r>
    </w:p>
    <w:p>
      <w:pPr>
        <w:pStyle w:val="ListParagraph"/>
        <w:numPr>
          <w:ilvl w:val="0"/>
          <w:numId w:val="2"/>
        </w:numPr>
        <w:spacing w:after="60"/>
      </w:pPr>
      <w:r>
        <w:t xml:space="preserve">Homophily: citations tend to link papers of the same topic, which is what makes neighborhood aggregation informative in the first place.</w:t>
      </w:r>
    </w:p>
    <w:p>
      <w:pPr>
        <w:pStyle w:val="Heading2"/>
        <w:spacing w:after="100" w:before="240"/>
      </w:pPr>
      <w:r>
        <w:t xml:space="preserve">3.11 Open question to settle before drafting</w:t>
      </w:r>
    </w:p>
    <w:p>
      <w:pPr>
        <w:spacing w:after="120"/>
      </w:pPr>
      <w:r>
        <w:t xml:space="preserve">One structural decision is not yet made, and it affects whether Yiheng writes these items or not. The diagnostic apparatus — the three capture points (initialization, selected checkpoint, final epoch), the comparable band of layers over which the metrics are computed, and the fitted contraction slope — can be defined either at the end of Section 3 as part of the measurement theory, or in Section 4 as part of the implementation.</w:t>
      </w:r>
    </w:p>
    <w:p>
      <w:pPr>
        <w:spacing w:after="120"/>
      </w:pPr>
      <w:r>
        <w:t xml:space="preserve">Either placement is defensible. What is not acceptable is neither section claiming them, because Section 6 references all three and would otherwise have to define its own instruments in the middle of reporting results. Decide this before the Section 3 draft begins, and tell Yiheng which way it went.</w:t>
      </w:r>
    </w:p>
    <w:p>
      <w:pPr>
        <w:pBdr>
          <w:bottom w:val="single" w:color="BBBBBB" w:sz="6" w:space="1"/>
        </w:pBdr>
        <w:spacing w:after="200" w:before="200"/>
      </w:pPr>
      <w:r>
        <w:t xml:space="preserve"/>
      </w:r>
    </w:p>
    <w:p>
      <w:pPr>
        <w:pStyle w:val="Heading1"/>
        <w:spacing w:after="140" w:before="360"/>
      </w:pPr>
      <w:r>
        <w:t xml:space="preserve">References used in the study so far</w:t>
      </w:r>
    </w:p>
    <w:p>
      <w:pPr>
        <w:spacing w:after="120"/>
      </w:pPr>
      <w:r>
        <w:t xml:space="preserve">This is the set of sources the study has actually drawn on, as recorded in the proposal and in DECISIONS.md. It is the starting bibliography for Sections 1–3, not a required citation list — a section that does not need a given reference should not cite it. Where an entry notes that a specific part was verified by fetching the paper, that verification is recorded in DECISIONS.md and the corresponding claim should be cited to that specific location.</w:t>
      </w:r>
    </w:p>
    <w:p>
      <w:pPr>
        <w:pStyle w:val="Heading2"/>
        <w:spacing w:after="100" w:before="240"/>
      </w:pPr>
      <w:r>
        <w:t xml:space="preserve">Architectures</w:t>
      </w:r>
    </w:p>
    <w:p>
      <w:pPr>
        <w:pStyle w:val="ListParagraph"/>
        <w:numPr>
          <w:ilvl w:val="0"/>
          <w:numId w:val="2"/>
        </w:numPr>
        <w:spacing w:after="60"/>
      </w:pPr>
      <w:r>
        <w:t xml:space="preserve">Kipf, T. N., &amp; Welling, M. (2017). Semi-Supervised Classification with Graph Convolutional Networks. ICLR. arXiv:1609.02907. </w:t>
      </w:r>
      <w:r>
        <w:rPr>
          <w:i/>
          <w:iCs/>
        </w:rPr>
        <w:t xml:space="preserve">Sections 5.2 and Appendix B were fetched and verified during the study — 5.2 for feature normalization and the training protocol, Appendix B for the depth study and the trainability-at-depth statement.</w:t>
      </w:r>
    </w:p>
    <w:p>
      <w:pPr>
        <w:pStyle w:val="ListParagraph"/>
        <w:numPr>
          <w:ilvl w:val="0"/>
          <w:numId w:val="2"/>
        </w:numPr>
        <w:spacing w:after="60"/>
      </w:pPr>
      <w:r>
        <w:t xml:space="preserve">Hamilton, W. L., Ying, R., &amp; Leskovec, J. (2017). Inductive Representation Learning on Large Graphs (GraphSAGE). NeurIPS.</w:t>
      </w:r>
    </w:p>
    <w:p>
      <w:pPr>
        <w:pStyle w:val="ListParagraph"/>
        <w:numPr>
          <w:ilvl w:val="0"/>
          <w:numId w:val="2"/>
        </w:numPr>
        <w:spacing w:after="60"/>
      </w:pPr>
      <w:r>
        <w:t xml:space="preserve">Veličković, P., Cucurull, G., Casanova, A., Romero, A., Liò, P., &amp; Bengio, Y. (2018). Graph Attention Networks. ICLR. arXiv:1710.10903. </w:t>
      </w:r>
      <w:r>
        <w:rPr>
          <w:i/>
          <w:iCs/>
        </w:rPr>
        <w:t xml:space="preserve">Section 3.3 was fetched and verified for the multi-head configuration.</w:t>
      </w:r>
    </w:p>
    <w:p>
      <w:pPr>
        <w:pStyle w:val="ListParagraph"/>
        <w:numPr>
          <w:ilvl w:val="0"/>
          <w:numId w:val="2"/>
        </w:numPr>
        <w:spacing w:after="60"/>
      </w:pPr>
      <w:r>
        <w:t xml:space="preserve">Chen, M., Wei, Z., Huang, Z., Ding, B., &amp; Li, Y. (2020). Simple and Deep Graph Convolutional Networks (GCNII). ICML. arXiv:2007.02133. </w:t>
      </w:r>
      <w:r>
        <w:rPr>
          <w:i/>
          <w:iCs/>
        </w:rPr>
        <w:t xml:space="preserve">Table 6 was fetched and verified for the published citation-network configuration. Note: this is Ming Chen et al., not the MAD paper.</w:t>
      </w:r>
    </w:p>
    <w:p>
      <w:pPr>
        <w:pStyle w:val="Heading2"/>
        <w:spacing w:after="100" w:before="240"/>
      </w:pPr>
      <w:r>
        <w:t xml:space="preserve">Oversmoothing: phenomenon and measurement</w:t>
      </w:r>
    </w:p>
    <w:p>
      <w:pPr>
        <w:pStyle w:val="ListParagraph"/>
        <w:numPr>
          <w:ilvl w:val="0"/>
          <w:numId w:val="2"/>
        </w:numPr>
        <w:spacing w:after="60"/>
      </w:pPr>
      <w:r>
        <w:t xml:space="preserve">Li, Q., Han, Z., &amp; Wu, X.-M. (2018). Deeper Insights into Graph Convolutional Networks for Semi-Supervised Learning. AAAI.</w:t>
      </w:r>
    </w:p>
    <w:p>
      <w:pPr>
        <w:pStyle w:val="ListParagraph"/>
        <w:numPr>
          <w:ilvl w:val="0"/>
          <w:numId w:val="2"/>
        </w:numPr>
        <w:spacing w:after="60"/>
      </w:pPr>
      <w:r>
        <w:t xml:space="preserve">Cai, C., &amp; Wang, Y. (2020). A Note on Over-Smoothing for Graph Neural Networks. arXiv:2006.13318. </w:t>
      </w:r>
      <w:r>
        <w:rPr>
          <w:i/>
          <w:iCs/>
        </w:rPr>
        <w:t xml:space="preserve">Section 2 was used for the contraction bound and for the choice of the augmented normalized Laplacian as the metric graph. Source of the Dirichlet-energy formulation used in this study.</w:t>
      </w:r>
    </w:p>
    <w:p>
      <w:pPr>
        <w:pStyle w:val="ListParagraph"/>
        <w:numPr>
          <w:ilvl w:val="0"/>
          <w:numId w:val="2"/>
        </w:numPr>
        <w:spacing w:after="60"/>
      </w:pPr>
      <w:r>
        <w:t xml:space="preserve">Chen, D., Lin, Y., Li, W., Li, P., Zhou, J., &amp; Sun, X. (2020). Measuring and Relieving the Over-smoothing Problem for Graph Neural Networks from the Topological View. AAAI. arXiv:1909.03211. </w:t>
      </w:r>
      <w:r>
        <w:rPr>
          <w:i/>
          <w:iCs/>
        </w:rPr>
        <w:t xml:space="preserve">Equations 1–4 were fetched and verified for the MAD reduction convention. Note: this is Deli Chen et al., not the GCNII paper.</w:t>
      </w:r>
    </w:p>
    <w:p>
      <w:pPr>
        <w:pStyle w:val="Heading2"/>
        <w:spacing w:after="100" w:before="240"/>
      </w:pPr>
      <w:r>
        <w:t xml:space="preserve">Mitigations</w:t>
      </w:r>
    </w:p>
    <w:p>
      <w:pPr>
        <w:pStyle w:val="ListParagraph"/>
        <w:numPr>
          <w:ilvl w:val="0"/>
          <w:numId w:val="2"/>
        </w:numPr>
        <w:spacing w:after="60"/>
      </w:pPr>
      <w:r>
        <w:t xml:space="preserve">Xu, K., Li, C., Tian, Y., Sonobe, T., Kawarabayashi, K., &amp; Jegelka, S. (2018). Representation Learning on Graphs with Jumping Knowledge Networks. ICML.</w:t>
      </w:r>
    </w:p>
    <w:p>
      <w:pPr>
        <w:pStyle w:val="ListParagraph"/>
        <w:numPr>
          <w:ilvl w:val="0"/>
          <w:numId w:val="2"/>
        </w:numPr>
        <w:spacing w:after="60"/>
      </w:pPr>
      <w:r>
        <w:t xml:space="preserve">Zhao, L., &amp; Akoglu, L. (2020). PairNorm: Tackling Oversmoothing in GNNs. ICLR. </w:t>
      </w:r>
      <w:r>
        <w:rPr>
          <w:i/>
          <w:iCs/>
        </w:rPr>
        <w:t xml:space="preserve">The authors’ reference implementation was also consulted for the guidance on which variant to use with a symmetrically normalized adjacency.</w:t>
      </w:r>
    </w:p>
    <w:p>
      <w:pPr>
        <w:pStyle w:val="Heading2"/>
        <w:spacing w:after="100" w:before="240"/>
      </w:pPr>
      <w:r>
        <w:t xml:space="preserve">Dataset and split</w:t>
      </w:r>
    </w:p>
    <w:p>
      <w:pPr>
        <w:pStyle w:val="ListParagraph"/>
        <w:numPr>
          <w:ilvl w:val="0"/>
          <w:numId w:val="2"/>
        </w:numPr>
        <w:spacing w:after="60"/>
      </w:pPr>
      <w:r>
        <w:t xml:space="preserve">Yang, Z., Cohen, W. W., &amp; Salakhutdinov, R. (2016). Revisiting Semi-Supervised Learning with Graph Embeddings (Planetoid). ICML. </w:t>
      </w:r>
      <w:r>
        <w:rPr>
          <w:i/>
          <w:iCs/>
        </w:rPr>
        <w:t xml:space="preserve">Source of the standard split.</w:t>
      </w:r>
    </w:p>
    <w:p>
      <w:pPr>
        <w:pStyle w:val="ListParagraph"/>
        <w:numPr>
          <w:ilvl w:val="0"/>
          <w:numId w:val="2"/>
        </w:numPr>
        <w:spacing w:after="60"/>
      </w:pPr>
      <w:r>
        <w:t xml:space="preserve">Sen, P., Namata, G., Bilgic, M., Getoor, L., Gallagher, B., &amp; Eliassi-Rad, T. (2008). Collective Classification in Network Data. AI Magazine, 29(3). </w:t>
      </w:r>
      <w:r>
        <w:rPr>
          <w:i/>
          <w:iCs/>
        </w:rPr>
        <w:t xml:space="preserve">Original source of the Cora dataset.</w:t>
      </w:r>
    </w:p>
    <w:p>
      <w:pPr>
        <w:pStyle w:val="Heading2"/>
        <w:spacing w:after="100" w:before="240"/>
      </w:pPr>
      <w:r>
        <w:t xml:space="preserve">Software</w:t>
      </w:r>
    </w:p>
    <w:p>
      <w:pPr>
        <w:pStyle w:val="ListParagraph"/>
        <w:numPr>
          <w:ilvl w:val="0"/>
          <w:numId w:val="2"/>
        </w:numPr>
        <w:spacing w:after="60"/>
      </w:pPr>
      <w:r>
        <w:t xml:space="preserve">Fey, M., &amp; Lenssen, J. E. (2019). Fast Graph Representation Learning with PyTorch Geometric. ICLR Workshop on Representation Learning on Graphs and Manifolds.</w:t>
      </w:r>
    </w:p>
    <w:p>
      <w:pPr>
        <w:pStyle w:val="ListParagraph"/>
        <w:numPr>
          <w:ilvl w:val="0"/>
          <w:numId w:val="2"/>
        </w:numPr>
        <w:spacing w:after="60"/>
      </w:pPr>
      <w:r>
        <w:rPr>
          <w:i/>
          <w:iCs/>
        </w:rPr>
        <w:t xml:space="preserve">PyTorch Geometric source was read directly during the study for several implementation details — the convolution layers’ internal normalization, weight initialization, and the GCNII layer’s channel handling. Where a claim in the report rests on library behavior rather than on a paper, it should be attributed to the library version recorded in the results records, not to the paper.</w:t>
      </w:r>
    </w:p>
    <w:p>
      <w:pPr>
        <w:pStyle w:val="Heading2"/>
        <w:spacing w:after="100" w:before="240"/>
      </w:pPr>
      <w:r>
        <w:t xml:space="preserve">Note on additions</w:t>
      </w:r>
    </w:p>
    <w:p>
      <w:pPr>
        <w:spacing w:after="120"/>
      </w:pPr>
      <w:r>
        <w:t xml:space="preserve">If a section needs a source not on this list, add it — but fetch and read it rather than citing from memory, and record it so the bibliography stays in one place. Two reference errors were already caught and corrected during the proposal stage by checking against arXiv, and both were of exactly this kind.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2026-07-23T16:02:33.912Z</dcterms:created>
  <dcterms:modified xsi:type="dcterms:W3CDTF">2026-07-23T16:02:33.941Z</dcterms:modified>
</cp:coreProperties>
</file>

<file path=docProps/custom.xml><?xml version="1.0" encoding="utf-8"?>
<Properties xmlns="http://schemas.openxmlformats.org/officeDocument/2006/custom-properties" xmlns:vt="http://schemas.openxmlformats.org/officeDocument/2006/docPropsVTypes"/>
</file>