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00080"/>
        </w:rPr>
        <w:t>Amendment Change Analysis</w:t>
      </w:r>
    </w:p>
    <w:p>
      <w:r>
        <w:rPr>
          <w:color w:val="800080"/>
        </w:rPr>
        <w:t>Amending source: /home/swm35/eu_legislative_consolidations/inputs/260706_EUPR_SecondAmendment.html | Generated: 2026-07-16T13:32:47.407929+00:00</w:t>
      </w:r>
    </w:p>
    <w:p>
      <w:r>
        <w:rPr>
          <w:b/>
          <w:color w:val="800080"/>
        </w:rPr>
        <w:t>Article 46 | match=0.272 | +22 -0 ~13-&gt;18</w:t>
      </w:r>
    </w:p>
    <w:p>
      <w:r>
        <w:t>Closest previous text: (i) remuneration reports as referred to in Article 9b of Directive 2007/36/EC of the European Parliament and of the Council;</w:t>
      </w:r>
    </w:p>
    <w:p>
      <w:r>
        <w:t xml:space="preserve">Amendment text: </w:t>
      </w:r>
      <w:r>
        <w:rPr>
          <w:b/>
          <w:color w:val="800080"/>
        </w:rPr>
        <w:t>k an offer of securities</w:t>
      </w:r>
      <w:r>
        <w:t xml:space="preserve"> </w:t>
      </w:r>
      <w:r>
        <w:t>to</w:t>
      </w:r>
      <w:r>
        <w:t xml:space="preserve"> </w:t>
      </w:r>
      <w:r>
        <w:rPr>
          <w:b/>
          <w:color w:val="800080"/>
        </w:rPr>
        <w:t>the public from a crowdfunding service provider authorised under regulation eu 2020 1503</w:t>
      </w:r>
      <w:r>
        <w:t xml:space="preserve"> </w:t>
      </w:r>
      <w:r>
        <w:t>of the european parliament and of the council</w:t>
      </w:r>
      <w:r>
        <w:t xml:space="preserve"> </w:t>
      </w:r>
      <w:r>
        <w:rPr>
          <w:b/>
          <w:color w:val="800080"/>
        </w:rPr>
        <w:t>fn 3 provided that it does not exceed the threshold laid down in point c of article 1 2 of that regulation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