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ind w:left="0"/>
        <w:jc w:val="center"/>
      </w:pPr>
      <w:r>
        <w:rPr>
          <w:b/>
          <w:color w:val="E67800"/>
          <w:u w:val="double" w:color="E67800"/>
        </w:rPr>
        <w:t>REGULATION (EU) 2019/2115 OF THE EUROPEAN PARLIAMENT AND OF THE COUNCIL</w:t>
        <w:br/>
      </w:r>
      <w:r>
        <w:rPr>
          <w:b/>
          <w:color w:val="E67800"/>
          <w:u w:val="double" w:color="E67800"/>
        </w:rPr>
        <w:t>of 27 November 2019</w:t>
        <w:br/>
      </w:r>
      <w:r>
        <w:rPr>
          <w:b/>
          <w:color w:val="E67800"/>
          <w:u w:val="double" w:color="E67800"/>
        </w:rPr>
        <w:t>amending Directive 2014/65/EU and Regulations (EU) No 596/2014 and (EU) 2017/1129 as regards the promotion of the use of SME growth markets</w:t>
        <w:br/>
      </w:r>
      <w:r>
        <w:rPr>
          <w:b/>
          <w:color w:val="E67800"/>
          <w:u w:val="double" w:color="E67800"/>
        </w:rPr>
        <w:t>(Text with EEA relevance)</w:t>
      </w:r>
    </w:p>
    <w:p>
      <w:pPr>
        <w:ind w:left="0"/>
        <w:jc w:val="center"/>
      </w:pPr>
      <w:r>
        <w:rPr>
          <w:b/>
          <w:color w:val="800080"/>
          <w:u w:val="double" w:color="800080"/>
        </w:rPr>
        <w:t>REGULATION (EU) 2020/1503 OF THE EUROPEAN PARLIAMENT AND OF THE COUNCIL</w:t>
        <w:br/>
      </w:r>
      <w:r>
        <w:rPr>
          <w:b/>
          <w:color w:val="800080"/>
          <w:u w:val="double" w:color="800080"/>
        </w:rPr>
        <w:t>of 7 October 2020</w:t>
        <w:br/>
      </w:r>
      <w:r>
        <w:rPr>
          <w:b/>
          <w:color w:val="800080"/>
          <w:u w:val="double" w:color="800080"/>
        </w:rPr>
        <w:t>on European crowdfunding service providers for business, and amending Regulation (EU) 2017/1129 and Directive (EU) 2019/1937</w:t>
        <w:br/>
      </w:r>
      <w:r>
        <w:rPr>
          <w:b/>
          <w:color w:val="800080"/>
          <w:u w:val="double" w:color="800080"/>
        </w:rPr>
        <w:t>(Text with EEA relevance)</w:t>
      </w:r>
    </w:p>
    <w:p>
      <w:pPr>
        <w:ind w:left="0"/>
        <w:jc w:val="center"/>
      </w:pPr>
      <w:r>
        <w:rPr>
          <w:b/>
          <w:color w:val="0066CC"/>
          <w:u w:val="double" w:color="0066CC"/>
        </w:rPr>
        <w:t>REGULATION (EU) 2021/337 OF THE EUROPEAN PARLIAMENT AND OF THE COUNCIL</w:t>
        <w:br/>
      </w:r>
      <w:r>
        <w:rPr>
          <w:b/>
          <w:color w:val="0066CC"/>
          <w:u w:val="double" w:color="0066CC"/>
        </w:rPr>
        <w:t>of 16 February 2021</w:t>
        <w:br/>
      </w:r>
      <w:r>
        <w:rPr>
          <w:b/>
          <w:color w:val="0066CC"/>
          <w:u w:val="double" w:color="0066CC"/>
        </w:rPr>
        <w:t>amending Regulation (EU) 2017/1129 as regards the EU Recovery prospectus and targeted adjustments for financial intermediaries and Directive 2004/109/EC as regards the use of the single electronic reporting format for annual financial reports, to support the recovery from the COVID-19 crisis</w:t>
        <w:br/>
      </w:r>
      <w:r>
        <w:rPr>
          <w:b/>
          <w:color w:val="0066CC"/>
          <w:u w:val="double" w:color="0066CC"/>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ind w:left="567" w:hanging="567"/>
        <w:jc w:val="both"/>
      </w:pPr>
      <w:r>
        <w:rPr>
          <w:b w:val="0"/>
          <w:strike w:val="0"/>
          <w:color w:val="E67800"/>
          <w:u w:val="double" w:color="E67800"/>
        </w:rPr>
        <w:t>(1)</w:t>
        <w:tab/>
        <w:t>The Capital Markets Union initiative seeks to reduce dependence on bank lending, diversify market-based sources of financing for all small and medium-sized enterprises (‘SMEs’) and promote the issuance of bonds and shares by SMEs on public markets. Companies established in the Union that seek to raise capital on trading venues face high one-off and ongoing disclosure and compliance costs which can deter them from ever seeking admission to trading on Union trading venues. In addition, shares issued by SMEs on Union trading venues tend to suffer from lower levels of liquidity and higher volatility, thereby increasing the cost of capital and making that source of funding too onerous. A horizontal Union policy for SMEs in that regard is therefore essential. Such policy needs to be inclusive, coherent and effective, and take into account the variety of SMEs and their different needs.</w:t>
      </w:r>
    </w:p>
    <w:p>
      <w:pPr>
        <w:ind w:left="567" w:hanging="567"/>
        <w:jc w:val="both"/>
      </w:pPr>
      <w:r>
        <w:rPr>
          <w:b w:val="0"/>
          <w:strike w:val="0"/>
          <w:color w:val="E67800"/>
          <w:u w:val="double" w:color="E67800"/>
        </w:rPr>
        <w:t>(2)</w:t>
      </w:r>
      <w:r>
        <w:rPr>
          <w:b w:val="0"/>
          <w:strike w:val="0"/>
          <w:color w:val="E67800"/>
          <w:u w:val="double" w:color="E67800"/>
        </w:rPr>
        <w:tab/>
      </w:r>
      <w:r>
        <w:rPr>
          <w:b w:val="0"/>
          <w:strike w:val="0"/>
          <w:color w:val="E67800"/>
          <w:u w:val="double" w:color="E67800"/>
        </w:rPr>
        <w:t>Directive 2014/65/EU of the European Parliament and of the Council</w:t>
      </w:r>
      <w:r>
        <w:rPr>
          <w:rStyle w:val="FootnoteReference"/>
          <w:rFonts w:ascii="Arial" w:hAnsi="Arial"/>
          <w:color w:val="E67800"/>
          <w:u w:val="double" w:color="E67800"/>
          <w:sz w:val="22"/>
          <w:szCs w:val="22"/>
          <w:vertAlign w:val="superscript"/>
        </w:rPr>
        <w:footnoteReference w:id="17"/>
      </w:r>
      <w:r>
        <w:rPr>
          <w:b w:val="0"/>
          <w:strike w:val="0"/>
          <w:color w:val="E67800"/>
          <w:u w:val="double" w:color="E67800"/>
        </w:rPr>
        <w:t xml:space="preserve"> created a new type of trading venue, the SME growth market, a subcategory of multilateral trading facilities (‘MTFs’), in order to facilitate access to capital for SMEs and enable them to grow, and also to facilitate the further development of specialist markets catering for the needs of SME issuers that have growth potential. Directive 2014/65/EU also anticipated that ‘[a]ttention should be focused on how future regulation should further foster and promote the use of that market so as to make it attractive for investors, and provide a lessening of administrative burdens and further incentives for SMEs to access capital markets through SME growth markets’. In its opinion on the Commission proposal for this amending Regulation, the European Economic and Social Committee reiterated that the low level of communication and bureaucratic approaches are significant barriers and that much more effort must be put into overcoming those obstacles. In addition, it stated that the bottom of the chain, SMEs themselves, should be targeted by involving, among others, SME associations, social partners, and chambers of commerce.</w:t>
      </w:r>
    </w:p>
    <w:p>
      <w:pPr>
        <w:ind w:left="567" w:hanging="567"/>
        <w:jc w:val="both"/>
      </w:pPr>
      <w:r>
        <w:rPr>
          <w:b w:val="0"/>
          <w:strike w:val="0"/>
          <w:color w:val="E67800"/>
          <w:u w:val="double" w:color="E67800"/>
        </w:rPr>
        <w:t>(3)</w:t>
      </w:r>
      <w:r>
        <w:rPr>
          <w:b w:val="0"/>
          <w:strike w:val="0"/>
          <w:color w:val="E67800"/>
          <w:u w:val="double" w:color="E67800"/>
        </w:rPr>
        <w:tab/>
      </w:r>
      <w:r>
        <w:rPr>
          <w:b w:val="0"/>
          <w:strike w:val="0"/>
          <w:color w:val="E67800"/>
          <w:u w:val="double" w:color="E67800"/>
        </w:rPr>
        <w:t>It has, however, been noted that issuers of financial instruments admitted to trading on an SME growth market benefit from relatively few regulatory alleviations compared to issuers of financial instruments admitted to trading on other MTFs or regulated markets. Most of the obligations set out in Regulation (EU) No 596/2014 of the European Parliament and of the Council</w:t>
      </w:r>
      <w:r>
        <w:rPr>
          <w:rStyle w:val="FootnoteReference"/>
          <w:rFonts w:ascii="Arial" w:hAnsi="Arial"/>
          <w:color w:val="E67800"/>
          <w:u w:val="double" w:color="E67800"/>
          <w:sz w:val="22"/>
          <w:szCs w:val="22"/>
          <w:vertAlign w:val="superscript"/>
        </w:rPr>
        <w:footnoteReference w:id="18"/>
      </w:r>
      <w:r>
        <w:rPr>
          <w:b w:val="0"/>
          <w:strike w:val="0"/>
          <w:color w:val="E67800"/>
          <w:u w:val="double" w:color="E67800"/>
        </w:rPr>
        <w:t xml:space="preserve"> apply in the same manner to all issuers, irrespective of their size or the trading venue where their financial instruments are admitted to trading. That low level of differentiation between issuers of financial instruments admitted to trading on SME growth markets and those on other MTFs acts as a disincentive for MTFs to seek registration as an SME growth market, which is illustrated by the low uptake of the SME growth market status to date. It is therefore necessary to introduce additional proportionate alleviations to adequately foster the use of SME growth markets. The use of SME growth markets should be actively promoted. Many SMEs are still not aware of the existence of SME growth markets as a new type of trading venue.</w:t>
      </w:r>
    </w:p>
    <w:p>
      <w:pPr>
        <w:ind w:left="567" w:hanging="567"/>
        <w:jc w:val="both"/>
      </w:pPr>
      <w:r>
        <w:rPr>
          <w:b w:val="0"/>
          <w:strike w:val="0"/>
          <w:color w:val="E67800"/>
          <w:u w:val="double" w:color="E67800"/>
        </w:rPr>
        <w:t>(4)</w:t>
        <w:tab/>
        <w:t>The attractiveness of SME growth markets should be reinforced by further reducing the compliance costs and administrative burdens faced by issuers of financial instruments admitted to trading on SME growth markets. To maintain the highest standards of compliance on regulated markets, the measures provided for in this Regulation should be limited to companies listed on SME growth markets, irrespective of the fact that not all SMEs are listed on SME growth markets and not all companies listed on SME growth markets are SMEs. Pursuant to Directive 2014/65/EU, up to 50 % of the issuers of financial instruments admitted to trading on SME growth markets can be non-SMEs, in order to maintain the profitability of the SME growth markets’ business model through, inter alia, liquidity in non-SMEs securities. In view of the risks involved in applying different sets of rules to issuers listed on the same category of venue, namely SME growth markets, the measures provided for in this Regulation should not be limited only to SME issuers. For the sake of consistency for issuers and clarity for investors, the reduction in compliance costs and administrative burdens should apply to all issuers of financial instruments admitted to trading on SME growth markets, irrespective of their market capitalisation.</w:t>
      </w:r>
    </w:p>
    <w:p>
      <w:pPr>
        <w:ind w:left="567" w:hanging="567"/>
        <w:jc w:val="both"/>
      </w:pPr>
      <w:r>
        <w:rPr>
          <w:b w:val="0"/>
          <w:strike w:val="0"/>
          <w:color w:val="E67800"/>
          <w:u w:val="double" w:color="E67800"/>
        </w:rPr>
        <w:t>(5)</w:t>
        <w:tab/>
        <w:t>The success of an SME growth market should not be measured simply by the number of companies listed thereon, but rather by the rate of growth achieved by those companies. There is a need for a sharper focus on SMEs — the ultimate beneficiaries of this Regulation — and their needs. Cutting red tape is a vital part of that process, but other steps also need to be taken. Efforts need to be made to improve the information that is directly available to SMEs about the financing options open to them, in order to foster their development. Regulatory alleviation should be for the benefit of smaller companies that have growth potential.</w:t>
      </w:r>
    </w:p>
    <w:p>
      <w:pPr>
        <w:ind w:left="567" w:hanging="567"/>
        <w:jc w:val="both"/>
      </w:pPr>
      <w:r>
        <w:rPr>
          <w:b w:val="0"/>
          <w:strike w:val="0"/>
          <w:color w:val="E67800"/>
          <w:u w:val="double" w:color="E67800"/>
        </w:rPr>
        <w:t>(6)</w:t>
      </w:r>
      <w:r>
        <w:rPr>
          <w:b w:val="0"/>
          <w:strike w:val="0"/>
          <w:color w:val="E67800"/>
          <w:u w:val="double" w:color="E67800"/>
        </w:rPr>
        <w:tab/>
      </w:r>
      <w:r>
        <w:rPr>
          <w:b w:val="0"/>
          <w:strike w:val="0"/>
          <w:color w:val="E67800"/>
          <w:u w:val="double" w:color="E67800"/>
        </w:rPr>
        <w:t>According to Article 10(1) of Regulation (EU) No 596/2014, unlawful disclosure of inside information arises where a person possesses inside information and discloses that information to any other person, except where the disclosure is made in the normal exercise of an employment, a profession or duties. Pursuant to Article 11(4) of that Regulation, disclosure of inside information in the course of a market sounding is deemed to be made in the normal exercise of a person’s employment, profession or duties, provided there is compliance with certain procedures established by the market sounding regime.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During the negotiation phase of an offer of securities to qualified investors (private placement), issuers enter into discussions with a limited number of potential qualified investors, as defined in Regulation (EU) 2017/1129 of the European Parliament and of the Council</w:t>
      </w:r>
      <w:r>
        <w:rPr>
          <w:rStyle w:val="FootnoteReference"/>
          <w:rFonts w:ascii="Arial" w:hAnsi="Arial"/>
          <w:color w:val="E67800"/>
          <w:u w:val="double" w:color="E67800"/>
          <w:sz w:val="22"/>
          <w:szCs w:val="22"/>
          <w:vertAlign w:val="superscript"/>
        </w:rPr>
        <w:footnoteReference w:id="19"/>
      </w:r>
      <w:r>
        <w:rPr>
          <w:b w:val="0"/>
          <w:strike w:val="0"/>
          <w:color w:val="E67800"/>
          <w:u w:val="double" w:color="E67800"/>
        </w:rPr>
        <w:t>, and negotiate all the contractual terms and conditions of the transaction with those qualified investors. The aim of the communication of information in that negotiation phase is to structure and complete the transaction as a whole, and not to gauge the interest of potential investors as regards a pre-defined transaction. The market sounding regime in respect of private placements of bonds can sometimes be burdensome and act as a disincentive to entering into discussions for such transactions for both issuers and investors. In order to increase the attraction of private placements of bonds, the disclosure of inside information to qualified investors for the purpose of such transactions should be deemed to be made in the normal exercise of a person’s employment, profession or duties and should be excluded from the scope of the market sounding regime, provided that an adequate non-disclosure agreement is in place.</w:t>
      </w:r>
    </w:p>
    <w:p>
      <w:pPr>
        <w:ind w:left="567" w:hanging="567"/>
        <w:jc w:val="both"/>
      </w:pPr>
      <w:r>
        <w:rPr>
          <w:b w:val="0"/>
          <w:strike w:val="0"/>
          <w:color w:val="E67800"/>
          <w:u w:val="double" w:color="E67800"/>
        </w:rPr>
        <w:t>(7)</w:t>
        <w:tab/>
        <w:t>Some liquidity in an issuer’s shares can be achieved through liquidity mechanisms such as market-making arrangements or liquidity contracts. A market-making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providing liquidity in the shares of the issuer, and on its behalf. To ensure that market integrity is fully preserved, liquidity contracts should be available to all issuers of financial instruments admitted to trading on SME growth markets across the Union, subject to a number of conditions. Not all competent authorities have established accepted market practices in accordance with Regulation (EU) No 596/2014 in relation to liquidity contracts, which means that not all issuers of financial instruments admitted to trading on SME growth markets currently have access to liquidity schemes across the Union. That absence of liquidity schemes can be an impediment to the effective development of SME growth markets. It is therefore necessary to create a Union framework that will enable issuers of financial instruments admitted to trading on SME growth markets to enter into a liquidity contract with a liquidity provider in the absence of an accepted market practice established at national level. Under such a Union framework, a person entering into a liquidity contract with a liquidity provider would not be deemed to be engaging in market manipulation. It is, however, essential that the proposed Union framework on liquidity contracts for SME growth markets does not replace, but rather complements, existing or future accepted national market practices. It is also essential that competent authorities retain the possibility of establishing accepted market practices in respect of liquidity contracts in order to tailor their conditions to local specificities or to extend such agreements to illiquid securities other than shares admitted to trading on trading venues.</w:t>
      </w:r>
    </w:p>
    <w:p>
      <w:pPr>
        <w:ind w:left="567" w:hanging="567"/>
        <w:jc w:val="both"/>
      </w:pPr>
      <w:r>
        <w:rPr>
          <w:b w:val="0"/>
          <w:strike w:val="0"/>
          <w:color w:val="E67800"/>
          <w:u w:val="double" w:color="E67800"/>
        </w:rPr>
        <w:t>(8)</w:t>
      </w:r>
      <w:r>
        <w:rPr>
          <w:b w:val="0"/>
          <w:strike w:val="0"/>
          <w:color w:val="E67800"/>
          <w:u w:val="double" w:color="E67800"/>
        </w:rPr>
        <w:tab/>
      </w:r>
      <w:r>
        <w:rPr>
          <w:b w:val="0"/>
          <w:strike w:val="0"/>
          <w:color w:val="E67800"/>
          <w:u w:val="double" w:color="E67800"/>
        </w:rPr>
        <w:t>In order to ensure consistent harmonisation of the proposed Union framework for liquidity contracts, the Commission should adopt regulatory technical standards, setting out a template to be used for the purposes of such contracts, developed by the European Supervisory Authority (European Securities and Markets Authority) (ESMA), established by Regulation (EU) No 1095/2010 of the European Parliament and of the Council</w:t>
      </w:r>
      <w:r>
        <w:rPr>
          <w:rStyle w:val="FootnoteReference"/>
          <w:rFonts w:ascii="Arial" w:hAnsi="Arial"/>
          <w:color w:val="E67800"/>
          <w:u w:val="double" w:color="E67800"/>
          <w:sz w:val="22"/>
          <w:szCs w:val="22"/>
          <w:vertAlign w:val="superscript"/>
        </w:rPr>
        <w:footnoteReference w:id="20"/>
      </w:r>
      <w:r>
        <w:rPr>
          <w:b w:val="0"/>
          <w:strike w:val="0"/>
          <w:color w:val="E67800"/>
          <w:u w:val="double" w:color="E67800"/>
        </w:rPr>
        <w:t>, by means of delegated acts pursuant to Article 290 of the Treaty on the Functioning of the European Union and in accordance with Articles 10 to 14 of Regulation (EU) No 1095/2010.</w:t>
      </w:r>
    </w:p>
    <w:p>
      <w:pPr>
        <w:ind w:left="567" w:hanging="567"/>
        <w:jc w:val="both"/>
      </w:pPr>
      <w:r>
        <w:rPr>
          <w:b w:val="0"/>
          <w:strike w:val="0"/>
          <w:color w:val="E67800"/>
          <w:u w:val="double" w:color="E67800"/>
        </w:rPr>
        <w:t>(9)</w:t>
        <w:tab/>
        <w:t>According to Article 17(4) of Regulation (EU) No 596/2014, issuers can decide to delay disclosure of inside information to the public if issuers’ legitimate interests are likely to be prejudiced, if the delay is not likely to mislead the public, and if issuers are able to ensure the confidentiality of the information. Issuers are, however, required to notify the competent authority thereof and to provide a written explanation of the rationale supporting the decision. That notification obligation, when imposed on issuers whose financial instruments are admitted to trading only on an SME growth market, can be burdensome. A lighter requirement for such issuers, whereby they are required to provide an explanation of the reasons for the delay only upon request by the competent authority, would reduce the administrative burden for issuers without having any significant impact on the ability of the competent authority to monitor the disclosure of inside information, provided that the competent authority is still notified of the decision to delay and is able to open an investigation if it has doubts as regards that decision.</w:t>
      </w:r>
    </w:p>
    <w:p>
      <w:pPr>
        <w:ind w:left="567" w:hanging="567"/>
        <w:jc w:val="both"/>
      </w:pPr>
      <w:r>
        <w:rPr>
          <w:b w:val="0"/>
          <w:strike w:val="0"/>
          <w:color w:val="E67800"/>
          <w:u w:val="double" w:color="E67800"/>
        </w:rPr>
        <w:t>(10)</w:t>
      </w:r>
      <w:r>
        <w:rPr>
          <w:b w:val="0"/>
          <w:strike w:val="0"/>
          <w:color w:val="E67800"/>
          <w:u w:val="double" w:color="E67800"/>
        </w:rPr>
        <w:tab/>
      </w:r>
      <w:r>
        <w:rPr>
          <w:b w:val="0"/>
          <w:strike w:val="0"/>
          <w:color w:val="E67800"/>
          <w:u w:val="double" w:color="E67800"/>
        </w:rPr>
        <w:t>The current less stringent requirement for issuers whose financial instruments are admitted to trading on an SME growth market to produce, in accordance with Article 18(6) of Regulation (EU) No 596/2014, an insider list only upon the request of the competent authority is of limited practical effect because those issuers remain subject to requirements concerning ongoing monitoring of the persons who qualify as insiders in the context of ongoing projects. The existing requirement should therefore be replaced by the possibility for issuers whose financial instruments are admitted to trading on an SME growth market to maintain only a list of persons who, in the normal exercise of their duties, have regular access to inside information, such as directors, members of management bodies or in-house counsel. It would also be burdensome for issuers whose financial instruments are admitted to trading on an SME growth market to promptly update full insider lists in the manner provided for in Commission Implementing Regulation (EU) 2016/347</w:t>
      </w:r>
      <w:r>
        <w:rPr>
          <w:rStyle w:val="FootnoteReference"/>
          <w:rFonts w:ascii="Arial" w:hAnsi="Arial"/>
          <w:color w:val="E67800"/>
          <w:u w:val="double" w:color="E67800"/>
          <w:sz w:val="22"/>
          <w:szCs w:val="22"/>
          <w:vertAlign w:val="superscript"/>
        </w:rPr>
        <w:footnoteReference w:id="21"/>
      </w:r>
      <w:r>
        <w:rPr>
          <w:b w:val="0"/>
          <w:strike w:val="0"/>
          <w:color w:val="E67800"/>
          <w:u w:val="double" w:color="E67800"/>
        </w:rPr>
        <w:t>. However, since some Member States consider insider lists to be important for ensuring a higher level of market integrity, Member States should be given the option of introducing a requirement for issuers whose financial instruments are admitted to trading on an SME growth market to provide more extensive insider lists that include all persons who have access to inside information. Taking into account the need to ensure a proportionate administrative burden for SMEs, those more extensive lists should nevertheless represent a lighter administrative burden as compared to full insider lists.</w:t>
      </w:r>
    </w:p>
    <w:p>
      <w:pPr>
        <w:ind w:left="567" w:hanging="567"/>
        <w:jc w:val="both"/>
      </w:pPr>
      <w:r>
        <w:rPr>
          <w:b w:val="0"/>
          <w:strike w:val="0"/>
          <w:color w:val="E67800"/>
          <w:u w:val="double" w:color="E67800"/>
        </w:rPr>
        <w:t>(11)</w:t>
        <w:tab/>
        <w:t>It is essential to clarify that the obligation of drawing up insider lists rests both with issuers and any person acting on their behalf or on their account. The responsibilities of any person acting on behalf or on account of an issuer with regard to the drawing up of insider lists should be clarified in order to avoid divergent interpretations and practices across the Union. The relevant provisions of Regulation (EU) No 596/2014 should be amended accordingly.</w:t>
      </w:r>
    </w:p>
    <w:p>
      <w:pPr>
        <w:ind w:left="567" w:hanging="567"/>
        <w:jc w:val="both"/>
      </w:pPr>
      <w:r>
        <w:rPr>
          <w:b w:val="0"/>
          <w:strike w:val="0"/>
          <w:color w:val="E67800"/>
          <w:u w:val="double" w:color="E67800"/>
        </w:rPr>
        <w:t>(12)</w:t>
        <w:tab/>
        <w:t>Pursuant to Article 19(3) of Regulation (EU) No 596/2014, issuers and emission allowance market participants are required to make public information on transactions carried out by persons discharging managerial responsibilities (‘PDMRs’) and persons closely associated with them (‘PCAs’) within three business days after the transaction. The same deadline applies to PDMRs and PCAs as regards their duty to report their transactions to the issuer or to the emission allowance market participant. Where issuers or emission allowance market participants are notified late by PDMRs and PCAs of their transactions, it is technically challenging for those issuers or emission allowance market participants to comply with the three-day deadline, which may give rise to liability issues. Issuers and emission allowance market participants should therefore be allowed to disclose transactions within two business days of receipt of notification of those transactions by the PDMRs or the PCAs.</w:t>
      </w:r>
    </w:p>
    <w:p>
      <w:pPr>
        <w:ind w:left="567" w:hanging="567"/>
        <w:jc w:val="both"/>
      </w:pPr>
      <w:r>
        <w:rPr>
          <w:b w:val="0"/>
          <w:strike w:val="0"/>
          <w:color w:val="E67800"/>
          <w:u w:val="double" w:color="E67800"/>
        </w:rPr>
        <w:t>(13)</w:t>
        <w:tab/>
        <w:t>Under Regulation (EU) 2017/1129, an issuer is, under certain conditions, not required to publish a prospectus in the case of securities offered in connection with a takeover by means of an exchange offer and in the case of securities offered, allotted or to be allotted in connection with a merger or division. Instead, a document containing minimum information describing the transaction and its impact on the issuer is to be made available to the public. There is no requirement under Union law for a national competent authority to review or approve such a document before its publication, and its content is lighter compared to a prospectus. An unintended consequence of such an exemption is that, in some circumstances, an unlisted company can carry out an initial admission of its shares to trading on a regulated market without producing a prospectus. That deprives investors of the useful information contained in a prospectus, while avoiding any review by a national competent authority of the information provided to the market. It is therefore appropriate to introduce a requirement to publish a prospectus for an unlisted company which seeks admission to trading on a regulated market following an exchange offer, a merger or a division.</w:t>
      </w:r>
    </w:p>
    <w:p>
      <w:pPr>
        <w:ind w:left="567" w:hanging="567"/>
        <w:jc w:val="both"/>
      </w:pPr>
      <w:r>
        <w:rPr>
          <w:b w:val="0"/>
          <w:strike w:val="0"/>
          <w:color w:val="E67800"/>
          <w:u w:val="double" w:color="E67800"/>
        </w:rPr>
        <w:t>(14)</w:t>
        <w:tab/>
        <w:t>Article 14 of Regulation (EU) 2017/1129 does not currently allow the use of a simplified prospectus for issuers whose equity securities have been admitted to trading on either a regulated market or an SME growth market continuously for at least the last 18 months and that would seek to issue securities giving access to equity securities fungible with equity securities previously issued. Therefore, Article 14 of that Regulation should be amended to allow such issuers to use the simplified prospectus.</w:t>
      </w:r>
    </w:p>
    <w:p>
      <w:pPr>
        <w:ind w:left="567" w:hanging="567"/>
        <w:jc w:val="both"/>
      </w:pPr>
      <w:r>
        <w:rPr>
          <w:b w:val="0"/>
          <w:strike w:val="0"/>
          <w:color w:val="E67800"/>
          <w:u w:val="double" w:color="E67800"/>
        </w:rPr>
        <w:t>(15)</w:t>
        <w:tab/>
        <w:t>SME growth markets should not be perceived as a final step in the scaling up of issuers and should enable successful companies to grow and move one day to regulated markets, in order to benefit from greater liquidity and a larger investors’ pool. To facilitate the transition from an SME growth market to a regulated market, growing companies should be able to use the simplified disclosure regime set out in Article 14 of Regulation (EU) 2017/1129, for the admission to trading on a regulated market of securities fungible with securities which have been previously issued, provided that those companies have offered securities to the public that have been continuously admitted to trading on an SME growth market for at least two years and have fully complied with reporting and disclosure obligations throughout that period. A two-year period should enable issuers to have a sufficient track record and to provide the market with information on their financial performance and reporting requirements under Directive 2014/65/EU.</w:t>
      </w:r>
    </w:p>
    <w:p>
      <w:pPr>
        <w:ind w:left="567" w:hanging="567"/>
        <w:jc w:val="both"/>
      </w:pPr>
      <w:r>
        <w:rPr>
          <w:b w:val="0"/>
          <w:strike w:val="0"/>
          <w:color w:val="E67800"/>
          <w:u w:val="double" w:color="E67800"/>
        </w:rPr>
        <w:t>(16)</w:t>
      </w:r>
      <w:r>
        <w:rPr>
          <w:b w:val="0"/>
          <w:strike w:val="0"/>
          <w:color w:val="E67800"/>
          <w:u w:val="double" w:color="E67800"/>
        </w:rPr>
        <w:tab/>
      </w:r>
      <w:r>
        <w:rPr>
          <w:b w:val="0"/>
          <w:strike w:val="0"/>
          <w:color w:val="E67800"/>
          <w:u w:val="double" w:color="E67800"/>
        </w:rPr>
        <w:t>Regulation (EC) No 1606/2002 of the European Parliament and of the Council</w:t>
      </w:r>
      <w:r>
        <w:rPr>
          <w:rStyle w:val="FootnoteReference"/>
          <w:rFonts w:ascii="Arial" w:hAnsi="Arial"/>
          <w:color w:val="E67800"/>
          <w:u w:val="double" w:color="E67800"/>
          <w:sz w:val="22"/>
          <w:szCs w:val="22"/>
          <w:vertAlign w:val="superscript"/>
        </w:rPr>
        <w:footnoteReference w:id="22"/>
      </w:r>
      <w:r>
        <w:rPr>
          <w:b w:val="0"/>
          <w:strike w:val="0"/>
          <w:color w:val="E67800"/>
          <w:u w:val="double" w:color="E67800"/>
        </w:rPr>
        <w:t xml:space="preserve"> does not require issuers of financial instruments admitted to trading on SME growth markets to publish their financial statements in conformity with International Financial Reporting Standards. However, in order to avoid diverging from regulated market standards, issuers of financial instruments admitted to trading on SME growth markets that wish to use the simplified disclosure regime set out in Article 14 of Regulation (EU) 2017/1129 for the admission of their securities to trading on a regulated market should nevertheless prepare their most recent financial statements in accordance with Regulation (EC) No 1606/2002, including comparative information for the previous year, provided that they would be required to prepare consolidated accounts as a result of the application of Directive 2013/34/EU of the European Parliament and of the Council</w:t>
      </w:r>
      <w:r>
        <w:rPr>
          <w:rStyle w:val="FootnoteReference"/>
          <w:rFonts w:ascii="Arial" w:hAnsi="Arial"/>
          <w:color w:val="E67800"/>
          <w:u w:val="double" w:color="E67800"/>
          <w:sz w:val="22"/>
          <w:szCs w:val="22"/>
          <w:vertAlign w:val="superscript"/>
        </w:rPr>
        <w:footnoteReference w:id="23"/>
      </w:r>
      <w:r>
        <w:rPr>
          <w:b w:val="0"/>
          <w:strike w:val="0"/>
          <w:color w:val="E67800"/>
          <w:u w:val="double" w:color="E67800"/>
        </w:rPr>
        <w:t xml:space="preserve"> after the admission of their financial instruments to trading on a regulated market. Where the application of that Directive would not require issuers to prepare such accounts, they should comply with the national law of the Member State in which they are incorporated.</w:t>
      </w:r>
    </w:p>
    <w:p>
      <w:pPr>
        <w:ind w:left="567" w:hanging="567"/>
        <w:jc w:val="both"/>
      </w:pPr>
      <w:r>
        <w:rPr>
          <w:b w:val="0"/>
          <w:strike w:val="0"/>
          <w:color w:val="E67800"/>
          <w:u w:val="double" w:color="E67800"/>
        </w:rPr>
        <w:t>(17)</w:t>
        <w:tab/>
        <w:t>The purpose of this Regulation is consistent with the objectives of the EU Growth prospectus, as set out in Article 15 of Regulation (EU) 2017/1129. The EU Growth prospectus is short and therefore economical to produce, reducing costs for SMEs. SMEs should be able to choose to use the EU Growth prospectus. The current definition of SMEs in Regulation (EU) 2017/1129 can be too restrictive, in particular for those issuers seeking admission to trading on an SME growth market that tend to be larger than traditional SMEs. As a result, as regards public offers, immediately followed by an initial admission to trading on an SME growth market, smaller issuers would not be able to use the EU Growth prospectus, even if their market capitalisation after their initial admission to trading were lower than EUR 200 000 000. Therefore, Regulation (EU) 2017/1129 should be amended to allow issuers seeking an initial public offer with a tentative market capitalisation below EUR 200 000 000 to draw up an EU Growth prospectus.</w:t>
      </w:r>
    </w:p>
    <w:p>
      <w:pPr>
        <w:ind w:left="567" w:hanging="567"/>
        <w:jc w:val="both"/>
      </w:pPr>
      <w:r>
        <w:rPr>
          <w:b w:val="0"/>
          <w:strike w:val="0"/>
          <w:color w:val="E67800"/>
          <w:u w:val="double" w:color="E67800"/>
        </w:rPr>
        <w:t>(18)</w:t>
        <w:tab/>
        <w:t>Given the importance of SMEs for the functioning of the Union’s economy, special attention should be paid to the impact of Union law relating to financial services on the financing of SMEs. To that end, the Commission should, when undertaking the review of legal acts affecting the financing of listed and unlisted SMEs, analyse regulatory and administrative barriers, including in relation to research, that limit or prevent investment in SMEs. In doing so, the Commission should assess the evolution of capital flows to SMEs and strive to create a favourable regulatory environment to foster the financing of SMEs.</w:t>
      </w:r>
    </w:p>
    <w:p>
      <w:pPr>
        <w:ind w:left="567" w:hanging="567"/>
        <w:jc w:val="both"/>
      </w:pPr>
      <w:r>
        <w:rPr>
          <w:b w:val="0"/>
          <w:strike w:val="0"/>
          <w:color w:val="E67800"/>
          <w:u w:val="double" w:color="E67800"/>
        </w:rPr>
        <w:t>(19)</w:t>
        <w:tab/>
        <w:t>Directive 2014/65/EU and Regulations (EU) No 596/2014 and (EU) 2017/1129 should therefore be amended accordingly.</w:t>
      </w:r>
    </w:p>
    <w:p>
      <w:pPr>
        <w:ind w:left="567" w:hanging="567"/>
        <w:jc w:val="both"/>
      </w:pPr>
      <w:r>
        <w:rPr>
          <w:b w:val="0"/>
          <w:strike w:val="0"/>
          <w:color w:val="E67800"/>
          <w:u w:val="double" w:color="E67800"/>
        </w:rPr>
        <w:t>(20)</w:t>
        <w:tab/>
        <w:t>This Regulation should apply from 31 December 2019. However, Article 1 should apply from 1 January 2021,</w:t>
      </w:r>
    </w:p>
    <w:p>
      <w:pPr>
        <w:ind w:left="567" w:hanging="567"/>
        <w:jc w:val="both"/>
      </w:pPr>
      <w:r>
        <w:rPr>
          <w:b w:val="0"/>
          <w:strike w:val="0"/>
          <w:color w:val="800080"/>
          <w:u w:val="double" w:color="800080"/>
        </w:rPr>
        <w:t>(1)</w:t>
        <w:tab/>
        <w:t>Crowdfunding is increasingly an established form of alternative finance for start-ups and small and medium-sized enterprises (SMEs), typically relying on small investments. Crowdfunding represents an increasingly important type of intermediation where a crowdfunding service provider, without taking on own risk, operates a digital platform open to the public in order to match or facilitate the matching of prospective investors or lenders with businesses that seek funding. Such funding could take the form of loans or the acquisition of transferable securities or of other admitted instruments for crowdfunding purposes. It is therefore appropriate to include within the scope of this Regulation both lending-based crowdfunding and investment-based crowdfunding, since those types of crowdfunding can be structured as comparable funding alternatives.</w:t>
      </w:r>
    </w:p>
    <w:p>
      <w:pPr>
        <w:ind w:left="567" w:hanging="567"/>
        <w:jc w:val="both"/>
      </w:pPr>
      <w:r>
        <w:rPr>
          <w:b w:val="0"/>
          <w:strike w:val="0"/>
          <w:color w:val="800080"/>
          <w:u w:val="double" w:color="800080"/>
        </w:rPr>
        <w:t>(2)</w:t>
        <w:tab/>
        <w:t>The provision of crowdfunding services generally involves three types of actors: the project owner that proposes the project to be funded, investors who fund the proposed project, and an intermediating organisation in the form of a crowdfunding service provider that brings together project owners and investors through an online platform.</w:t>
      </w:r>
    </w:p>
    <w:p>
      <w:pPr>
        <w:ind w:left="567" w:hanging="567"/>
        <w:jc w:val="both"/>
      </w:pPr>
      <w:r>
        <w:rPr>
          <w:b w:val="0"/>
          <w:strike w:val="0"/>
          <w:color w:val="800080"/>
          <w:u w:val="double" w:color="800080"/>
        </w:rPr>
        <w:t>(3)</w:t>
        <w:tab/>
        <w:t>Crowdfunding can contribute to providing access to finance for SMEs and completing the Capital Markets Union (CMU). Lack of access to finance for SMEs constitutes a problem even in those Member States where access to bank finance has remained stable throughout the financial crisis. Crowdfunding has emerged and become an established practice of funding business activities of natural and legal persons. Such funding takes place through online platforms; the business activities are typically funded by a large number of people or organisations; and the businesses, including business start-ups, raise relatively small amounts of money.</w:t>
      </w:r>
    </w:p>
    <w:p>
      <w:pPr>
        <w:ind w:left="567" w:hanging="567"/>
        <w:jc w:val="both"/>
      </w:pPr>
      <w:r>
        <w:rPr>
          <w:b w:val="0"/>
          <w:strike w:val="0"/>
          <w:color w:val="800080"/>
          <w:u w:val="double" w:color="800080"/>
        </w:rPr>
        <w:t>(4)</w:t>
        <w:tab/>
        <w:t>In addition to providing an alternative source of financing, including venture capital, crowdfunding can offer other benefits to businesses. It can validate a business idea, give entrepreneurs access to a large number of people providing insights and information, and be a marketing tool.</w:t>
      </w:r>
    </w:p>
    <w:p>
      <w:pPr>
        <w:ind w:left="567" w:hanging="567"/>
        <w:jc w:val="both"/>
      </w:pPr>
      <w:r>
        <w:rPr>
          <w:b w:val="0"/>
          <w:strike w:val="0"/>
          <w:color w:val="800080"/>
          <w:u w:val="double" w:color="800080"/>
        </w:rPr>
        <w:t>(5)</w:t>
        <w:tab/>
        <w:t>Several Member States have already introduced domestic bespoke regimes on crowdfunding. Those regimes are tailored to the characteristics and needs of local markets and investors. As a result, the existing national rules diverge across the Union as regards the conditions of operation of crowdfunding platforms, the scope of permitted activities and the authorisation requirements.</w:t>
      </w:r>
    </w:p>
    <w:p>
      <w:pPr>
        <w:ind w:left="567" w:hanging="567"/>
        <w:jc w:val="both"/>
      </w:pPr>
      <w:r>
        <w:rPr>
          <w:b w:val="0"/>
          <w:strike w:val="0"/>
          <w:color w:val="800080"/>
          <w:u w:val="double" w:color="800080"/>
        </w:rPr>
        <w:t>(6)</w:t>
        <w:tab/>
        <w:t>The differences between the existing national rules are such that they obstruct the cross-border provision of crowdfunding services and thus have a direct effect on the functioning of the internal market in such services. In particular, the fact that the legal framework is fragmented along national borders creates substantial legal costs for retail investors who often face difficulties in determining the rules applicable to cross-border crowdfunding services. Therefore, such investors are often discouraged from investing cross-border by means of crowdfunding platforms. For the same reasons, crowdfunding service providers operating such platforms are discouraged from offering their services in Member States other than the one in which they are established. As a result, crowdfunding services have remained hitherto largely national, to the detriment of a Union-wide crowdfunding market, thus depriving businesses of access to crowdfunding services, especially in cases where those businesses operate in smaller national markets.</w:t>
      </w:r>
    </w:p>
    <w:p>
      <w:pPr>
        <w:ind w:left="567" w:hanging="567"/>
        <w:jc w:val="both"/>
      </w:pPr>
      <w:r>
        <w:rPr>
          <w:b w:val="0"/>
          <w:strike w:val="0"/>
          <w:color w:val="800080"/>
          <w:u w:val="double" w:color="800080"/>
        </w:rPr>
        <w:t>(7)</w:t>
        <w:tab/>
        <w:t>In order to foster cross-border crowdfunding services and to facilitate the exercise of the freedom to provide and receive such services in the internal market, it is necessary to address the existing obstacles to the proper functioning of the internal market in crowdfunding services, and to ensure a high level of investor protection by laying down a regulatory framework at Union level.</w:t>
      </w:r>
    </w:p>
    <w:p>
      <w:pPr>
        <w:ind w:left="567" w:hanging="567"/>
        <w:jc w:val="both"/>
      </w:pPr>
      <w:r>
        <w:rPr>
          <w:b w:val="0"/>
          <w:strike w:val="0"/>
          <w:color w:val="800080"/>
          <w:u w:val="double" w:color="800080"/>
        </w:rPr>
        <w:t>(8)</w:t>
      </w:r>
      <w:r>
        <w:rPr>
          <w:b w:val="0"/>
          <w:strike w:val="0"/>
          <w:color w:val="800080"/>
          <w:u w:val="double" w:color="800080"/>
        </w:rPr>
        <w:tab/>
      </w:r>
      <w:r>
        <w:rPr>
          <w:b w:val="0"/>
          <w:strike w:val="0"/>
          <w:color w:val="800080"/>
          <w:u w:val="double" w:color="800080"/>
        </w:rPr>
        <w:t>By addressing the obstacles to the functioning of the internal market in crowdfunding services, this Regulation aims to foster cross-border funding of businesses. Crowdfunding services in relation to lending to consumers, as defined in point (a) of Article 3 of Directive 2008/48/EC of the European Parliament and of the Council</w:t>
      </w:r>
      <w:r>
        <w:rPr>
          <w:rStyle w:val="FootnoteReference"/>
          <w:rFonts w:ascii="Arial" w:hAnsi="Arial"/>
          <w:color w:val="800080"/>
          <w:u w:val="double" w:color="800080"/>
          <w:sz w:val="22"/>
          <w:szCs w:val="22"/>
          <w:vertAlign w:val="superscript"/>
        </w:rPr>
        <w:footnoteReference w:id="24"/>
      </w:r>
      <w:r>
        <w:rPr>
          <w:b w:val="0"/>
          <w:strike w:val="0"/>
          <w:color w:val="800080"/>
          <w:u w:val="double" w:color="800080"/>
        </w:rPr>
        <w:t>, should therefore not fall within the scope of this Regulation.</w:t>
      </w:r>
    </w:p>
    <w:p>
      <w:pPr>
        <w:ind w:left="567" w:hanging="567"/>
        <w:jc w:val="both"/>
      </w:pPr>
      <w:r>
        <w:rPr>
          <w:b w:val="0"/>
          <w:strike w:val="0"/>
          <w:color w:val="800080"/>
          <w:u w:val="double" w:color="800080"/>
        </w:rPr>
        <w:t>(9)</w:t>
      </w:r>
      <w:r>
        <w:rPr>
          <w:b w:val="0"/>
          <w:strike w:val="0"/>
          <w:color w:val="800080"/>
          <w:u w:val="double" w:color="800080"/>
        </w:rPr>
        <w:tab/>
      </w:r>
      <w:r>
        <w:rPr>
          <w:b w:val="0"/>
          <w:strike w:val="0"/>
          <w:color w:val="800080"/>
          <w:u w:val="double" w:color="800080"/>
        </w:rPr>
        <w:t>To avoid regulatory arbitrage and to ensure their effective supervision, crowdfunding service providers should be prohibited from taking deposits or other repayable funds from the public, unless they are also authorised as a credit institution in accordance with Article 8 of Directive 2013/36/EU of the European Parliament and of the Council</w:t>
      </w:r>
      <w:r>
        <w:rPr>
          <w:rStyle w:val="FootnoteReference"/>
          <w:rFonts w:ascii="Arial" w:hAnsi="Arial"/>
          <w:color w:val="800080"/>
          <w:u w:val="double" w:color="800080"/>
          <w:sz w:val="22"/>
          <w:szCs w:val="22"/>
          <w:vertAlign w:val="superscript"/>
        </w:rPr>
        <w:footnoteReference w:id="25"/>
      </w:r>
      <w:r>
        <w:rPr>
          <w:b w:val="0"/>
          <w:strike w:val="0"/>
          <w:color w:val="800080"/>
          <w:u w:val="double" w:color="800080"/>
        </w:rPr>
        <w:t>. However, Member States should ensure that national law does not require an authorisation as a credit institution or any other individual authorisation, exemption or dispensation for project owners or investors where they accept funds or grant loans for the purposes of offering or investing in crowdfunding projects.</w:t>
      </w:r>
    </w:p>
    <w:p>
      <w:pPr>
        <w:ind w:left="567" w:hanging="567"/>
        <w:jc w:val="both"/>
      </w:pPr>
      <w:r>
        <w:rPr>
          <w:b w:val="0"/>
          <w:strike w:val="0"/>
          <w:color w:val="800080"/>
          <w:u w:val="double" w:color="800080"/>
        </w:rPr>
        <w:t>(10)</w:t>
      </w:r>
      <w:r>
        <w:rPr>
          <w:b w:val="0"/>
          <w:strike w:val="0"/>
          <w:color w:val="800080"/>
          <w:u w:val="double" w:color="800080"/>
        </w:rPr>
        <w:tab/>
      </w:r>
      <w:r>
        <w:rPr>
          <w:b w:val="0"/>
          <w:strike w:val="0"/>
          <w:color w:val="800080"/>
          <w:u w:val="double" w:color="800080"/>
        </w:rPr>
        <w:t>The provision of crowdfunding services aims to facilitate the funding of a project by raising capital from a large number of people who each contribute relatively small investment amounts through a publicly accessible internet-based information system. Crowdfunding services are thus open to an unrestricted pool of investors who receive investment propositions at the same time and involve the raising of funds predominantly from natural persons, including those that are not high-net worth individuals. This Regulation should apply to crowdfunding services that consist of the joint provision of reception and transmission of client orders and the placement of transferable securities or admitted instruments for crowdfunding purposes without a firm commitment basis on a public platform that provides unrestricted access to investors. The joint provision of those services is the key feature of crowdfunding services compared to certain investment services provided under Directive 2014/65/EU of the European Parliament and of the Council</w:t>
      </w:r>
      <w:r>
        <w:rPr>
          <w:rStyle w:val="FootnoteReference"/>
          <w:rFonts w:ascii="Arial" w:hAnsi="Arial"/>
          <w:color w:val="800080"/>
          <w:u w:val="double" w:color="800080"/>
          <w:sz w:val="22"/>
          <w:szCs w:val="22"/>
          <w:vertAlign w:val="superscript"/>
        </w:rPr>
        <w:footnoteReference w:id="26"/>
      </w:r>
      <w:r>
        <w:rPr>
          <w:b w:val="0"/>
          <w:strike w:val="0"/>
          <w:color w:val="800080"/>
          <w:u w:val="double" w:color="800080"/>
        </w:rPr>
        <w:t>, even though individually those services match those covered by that Directive.</w:t>
      </w:r>
    </w:p>
    <w:p>
      <w:pPr>
        <w:ind w:left="567" w:hanging="567"/>
        <w:jc w:val="both"/>
      </w:pPr>
      <w:r>
        <w:rPr>
          <w:b w:val="0"/>
          <w:strike w:val="0"/>
          <w:color w:val="800080"/>
          <w:u w:val="double" w:color="800080"/>
        </w:rPr>
        <w:t>(11)</w:t>
        <w:tab/>
        <w:t>In relation to lending-based crowdfunding, this Regulation should apply to crowdfunding services that consist of the facilitation of granting of loans, including services such as presenting crowdfunding offers to clients and pricing or assessing the credit risk of crowdfunding projects or project owners. The definition of crowdfunding services should accommodate different business models enabling a loan agreement between one or more investors and one or more project owners to be concluded through a crowdfunding platform. Loans included within the scope of this Regulation should be loans with unconditional obligations to repay an agreed amount of money to the investor, whereby lending-based crowdfunding platforms merely facilitate the conclusion by investors and project owner of loan agreements without the crowdfunding service provider at any moment acting as a creditor of the project owner. The facilitation of granting of loans that falls within the scope of this Regulation is to be distinguished from the activity of a credit institution, which grants credits for its own account and takes deposits or other repayable funds from the public.</w:t>
      </w:r>
    </w:p>
    <w:p>
      <w:pPr>
        <w:ind w:left="567" w:hanging="567"/>
        <w:jc w:val="both"/>
      </w:pPr>
      <w:r>
        <w:rPr>
          <w:b w:val="0"/>
          <w:strike w:val="0"/>
          <w:color w:val="800080"/>
          <w:u w:val="double" w:color="800080"/>
        </w:rPr>
        <w:t>(12)</w:t>
        <w:tab/>
        <w:t>In order to deliver their services, crowdfunding service providers operate publicly accessible internet-based information systems, including those systems that require user registration.</w:t>
      </w:r>
    </w:p>
    <w:p>
      <w:pPr>
        <w:ind w:left="567" w:hanging="567"/>
        <w:jc w:val="both"/>
      </w:pPr>
      <w:r>
        <w:rPr>
          <w:b w:val="0"/>
          <w:strike w:val="0"/>
          <w:color w:val="800080"/>
          <w:u w:val="double" w:color="800080"/>
        </w:rPr>
        <w:t>(13)</w:t>
        <w:tab/>
        <w:t>For investment-based crowdfunding, transferability is an important safeguard in order for investors to be able to exit their investment since it provides the possibility for them to dispose of their interest on the capital markets. This Regulation therefore covers and permits crowdfunding services related to transferable securities. Shares of certain private limited liability companies incorporated under the national law of Member States are also freely transferable on the capital markets and should therefore not be prevented from being included within the scope of this Regulation.</w:t>
      </w:r>
    </w:p>
    <w:p>
      <w:pPr>
        <w:ind w:left="567" w:hanging="567"/>
        <w:jc w:val="both"/>
      </w:pPr>
      <w:r>
        <w:rPr>
          <w:b w:val="0"/>
          <w:strike w:val="0"/>
          <w:color w:val="800080"/>
          <w:u w:val="double" w:color="800080"/>
        </w:rPr>
        <w:t>(14)</w:t>
        <w:tab/>
        <w:t>Certain admitted instruments for crowdfunding purposes are in some Member States subject to national law governing their transferability, such as the requirement for the transfer to be authenticated by a notary. This Regulation should apply without prejudice to national law governing the transfer of such instruments.</w:t>
      </w:r>
    </w:p>
    <w:p>
      <w:pPr>
        <w:ind w:left="567" w:hanging="567"/>
        <w:jc w:val="both"/>
      </w:pPr>
      <w:r>
        <w:rPr>
          <w:b w:val="0"/>
          <w:strike w:val="0"/>
          <w:color w:val="800080"/>
          <w:u w:val="double" w:color="800080"/>
        </w:rPr>
        <w:t>(15)</w:t>
        <w:tab/>
        <w:t>Whilst initial coin offerings have the potential to fund SMEs, innovative start-ups and scale-ups, and can accelerate technology transfer, their characteristics differ considerably from crowdfunding services regulated under this Regulation.</w:t>
      </w:r>
    </w:p>
    <w:p>
      <w:pPr>
        <w:ind w:left="567" w:hanging="567"/>
        <w:jc w:val="both"/>
      </w:pPr>
      <w:r>
        <w:rPr>
          <w:b w:val="0"/>
          <w:strike w:val="0"/>
          <w:color w:val="800080"/>
          <w:u w:val="double" w:color="800080"/>
        </w:rPr>
        <w:t>(16)</w:t>
      </w:r>
      <w:r>
        <w:rPr>
          <w:b w:val="0"/>
          <w:strike w:val="0"/>
          <w:color w:val="800080"/>
          <w:u w:val="double" w:color="800080"/>
        </w:rPr>
        <w:tab/>
      </w:r>
      <w:r>
        <w:rPr>
          <w:b w:val="0"/>
          <w:strike w:val="0"/>
          <w:color w:val="800080"/>
          <w:u w:val="double" w:color="800080"/>
        </w:rPr>
        <w:t>Given the risks associated with crowdfunding investments, it is appropriate, in the interest of the effective protection of investors and of the provision of a mechanism of market discipline, to impose a threshold for a total consideration for crowdfunding offers made by a particular project owner. Accordingly, that threshold should be set at EUR 5 000 000, which is the threshold used by most Member States to exempt offers of securities to the public from the obligation to publish a prospectus in accordance with Regulation (EU) 2017/1129 of the European Parliament and of the Council</w:t>
      </w:r>
      <w:r>
        <w:rPr>
          <w:rStyle w:val="FootnoteReference"/>
          <w:rFonts w:ascii="Arial" w:hAnsi="Arial"/>
          <w:color w:val="800080"/>
          <w:u w:val="double" w:color="800080"/>
          <w:sz w:val="22"/>
          <w:szCs w:val="22"/>
          <w:vertAlign w:val="superscript"/>
        </w:rPr>
        <w:footnoteReference w:id="27"/>
      </w:r>
      <w:r>
        <w:rPr>
          <w:b w:val="0"/>
          <w:strike w:val="0"/>
          <w:color w:val="800080"/>
          <w:u w:val="double" w:color="800080"/>
        </w:rPr>
        <w:t>.</w:t>
      </w:r>
    </w:p>
    <w:p>
      <w:pPr>
        <w:ind w:left="567" w:hanging="567"/>
        <w:jc w:val="both"/>
      </w:pPr>
      <w:r>
        <w:rPr>
          <w:b w:val="0"/>
          <w:strike w:val="0"/>
          <w:color w:val="800080"/>
          <w:u w:val="double" w:color="800080"/>
        </w:rPr>
        <w:t>(17)</w:t>
        <w:tab/>
        <w:t>The overlapping regulatory frameworks established under this Regulation and Regulation (EU) 2017/1129, because of a threshold of EUR 5 000 000, might increase the risk of regulatory arbitrage and have a disruptive effect on access to finance and the development of capital markets in certain Member States. Moreover, to date, only a limited number of Member States have put in place a specific legal framework regulating crowdfunding platforms and services. Taking into account the fact that, in implementing Regulation (EU) 2017/1129, some Member States have set the threshold to exempt offers of securities to the public from the obligation to publish a prospectus at below EUR 5 000 000 and taking into account the special effort that might be sustained by those Member States in terms of adjusting their national law and ensuring the application of the single threshold under this Regulation, this Regulation should provide for a non-renewable temporary derogation in order to enable those Member States to make that significant effort. That temporary derogation should apply for the shortest possible period of time, in order to cause the least possible disturbance to the functioning of the internal market.</w:t>
      </w:r>
    </w:p>
    <w:p>
      <w:pPr>
        <w:ind w:left="567" w:hanging="567"/>
        <w:jc w:val="both"/>
      </w:pPr>
      <w:r>
        <w:rPr>
          <w:b w:val="0"/>
          <w:strike w:val="0"/>
          <w:color w:val="800080"/>
          <w:u w:val="double" w:color="800080"/>
        </w:rPr>
        <w:t>(18)</w:t>
        <w:tab/>
        <w:t>In order to maintain a high standard of investor protection, to reduce the risks associated with crowdfunding and to ensure fair treatment of all clients, crowdfunding service providers should have in place a policy designed to ensure that projects on their platforms are selected in a professional, fair and transparent way, and that crowdfunding services are provided in the same manner.</w:t>
      </w:r>
    </w:p>
    <w:p>
      <w:pPr>
        <w:ind w:left="567" w:hanging="567"/>
        <w:jc w:val="both"/>
      </w:pPr>
      <w:r>
        <w:rPr>
          <w:b w:val="0"/>
          <w:strike w:val="0"/>
          <w:color w:val="800080"/>
          <w:u w:val="double" w:color="800080"/>
        </w:rPr>
        <w:t>(19)</w:t>
        <w:tab/>
        <w:t>In order to improve the service to their clients, crowdfunding service providers should be able to propose crowdfunding projects to individual investors based on one or more specific parameters or risk indicators, such as the type or sector of business activity or a credit rating, which have been communicated in advance to the crowdfunding service provider by the investor. However, the authorisation obtained under this Regulation should not grant crowdfunding service providers the right to provide individual or collective asset management services. In order to ensure that prospective investors are offered investment opportunities on a neutral basis, crowdfunding service providers should not pay or accept any remuneration, discount or non-monetary benefit for routing investors’ orders to a particular offer provided on their platform or on a third-party platform.</w:t>
      </w:r>
    </w:p>
    <w:p>
      <w:pPr>
        <w:ind w:left="567" w:hanging="567"/>
        <w:jc w:val="both"/>
      </w:pPr>
      <w:r>
        <w:rPr>
          <w:b w:val="0"/>
          <w:strike w:val="0"/>
          <w:color w:val="800080"/>
          <w:u w:val="double" w:color="800080"/>
        </w:rPr>
        <w:t>(20)</w:t>
        <w:tab/>
        <w:t>Business models using automated processes whereby funds are automatically allocated by the crowdfunding service provider to crowdfunding projects in accordance with parameters and risk indicators predetermined by the investor, so called auto-investing, should be considered individual portfolio management of loans.</w:t>
      </w:r>
    </w:p>
    <w:p>
      <w:pPr>
        <w:ind w:left="567" w:hanging="567"/>
        <w:jc w:val="both"/>
      </w:pPr>
      <w:r>
        <w:rPr>
          <w:b w:val="0"/>
          <w:strike w:val="0"/>
          <w:color w:val="800080"/>
          <w:u w:val="double" w:color="800080"/>
        </w:rPr>
        <w:t>(21)</w:t>
        <w:tab/>
        <w:t>The existence of filtering tools on a crowdfunding platform under this Regulation should not be regarded as investment advice under Directive 2014/65/EU as long as those tools provide information to clients in a neutral manner that does not constitute a recommendation. Such tools should include those that display results based on criteria relating to purely objective product features. Objective product features in the context of a crowdfunding platform could be pre-defined project criteria such as the economic sector, the instrument used and the interest rate, or the risk category where sufficient information regarding the calculation method is disclosed. Similarly, key financial figures calculated without any scope for discretion should also be considered to be objective criteria.</w:t>
      </w:r>
    </w:p>
    <w:p>
      <w:pPr>
        <w:ind w:left="567" w:hanging="567"/>
        <w:jc w:val="both"/>
      </w:pPr>
      <w:r>
        <w:rPr>
          <w:b w:val="0"/>
          <w:strike w:val="0"/>
          <w:color w:val="800080"/>
          <w:u w:val="double" w:color="800080"/>
        </w:rPr>
        <w:t>(22)</w:t>
        <w:tab/>
        <w:t>This Regulation aims to facilitate direct investment and to avoid creating regulatory arbitrage opportunities for financial intermediaries regulated under other legal acts of the Union, in particular Union legal acts governing asset managers. The use of legal structures, including special purpose vehicles, that interpose between the crowdfunding project and investors should therefore be strictly regulated and permitted only where it is justified by enabling an investor to acquire an interest in, for example, an illiquid or indivisible asset through issuance of transferable securities by a special purpose vehicle.</w:t>
      </w:r>
    </w:p>
    <w:p>
      <w:pPr>
        <w:ind w:left="567" w:hanging="567"/>
        <w:jc w:val="both"/>
      </w:pPr>
      <w:r>
        <w:rPr>
          <w:b w:val="0"/>
          <w:strike w:val="0"/>
          <w:color w:val="800080"/>
          <w:u w:val="double" w:color="800080"/>
        </w:rPr>
        <w:t>(23)</w:t>
        <w:tab/>
        <w:t>Ensuring an effective system of governance is essential for the proper management of risk and for preventing any conflict of interest. Crowdfunding service providers should therefore have in place governance arrangements that ensure their effective and prudent management. The natural persons responsible for their management should be of good repute and have sufficient knowledge, skills and experience. Crowdfunding service providers should also establish procedures to receive and handle complaints from clients.</w:t>
      </w:r>
    </w:p>
    <w:p>
      <w:pPr>
        <w:ind w:left="567" w:hanging="567"/>
        <w:jc w:val="both"/>
      </w:pPr>
      <w:r>
        <w:rPr>
          <w:b w:val="0"/>
          <w:strike w:val="0"/>
          <w:color w:val="800080"/>
          <w:u w:val="double" w:color="800080"/>
        </w:rPr>
        <w:t>(24)</w:t>
        <w:tab/>
        <w:t>Clients are exposed to potential risks related to the crowdfunding service providers, in particular operational risks. In order to protect clients against such risks, crowdfunding service providers should be subject to prudential requirements.</w:t>
      </w:r>
    </w:p>
    <w:p>
      <w:pPr>
        <w:ind w:left="567" w:hanging="567"/>
        <w:jc w:val="both"/>
      </w:pPr>
      <w:r>
        <w:rPr>
          <w:b w:val="0"/>
          <w:strike w:val="0"/>
          <w:color w:val="800080"/>
          <w:u w:val="double" w:color="800080"/>
        </w:rPr>
        <w:t>(25)</w:t>
        <w:tab/>
        <w:t>Crowdfunding service providers should be required to develop business continuity plans addressing the risks associated with failure of a crowdfunding service provider. Such business continuity plans should include provisions for the handling of critical functions, which, depending on the business model of the crowdfunding service provider, could include provisions for the continued servicing of outstanding loans, client notification and handover of asset safekeeping arrangements.</w:t>
      </w:r>
    </w:p>
    <w:p>
      <w:pPr>
        <w:ind w:left="567" w:hanging="567"/>
        <w:jc w:val="both"/>
      </w:pPr>
      <w:r>
        <w:rPr>
          <w:b w:val="0"/>
          <w:strike w:val="0"/>
          <w:color w:val="800080"/>
          <w:u w:val="double" w:color="800080"/>
        </w:rPr>
        <w:t>(26)</w:t>
        <w:tab/>
        <w:t>Crowdfunding service providers should operate as neutral intermediaries between clients on their crowdfunding platform. In order to prevent conflicts of interest, certain requirements should be laid down with respect to crowdfunding service providers, their shareholders, managers and employees, and any natural or legal person closely linked to them by way of control. In particular, crowdfunding service providers should be prevented from having any participation in the crowdfunding offers on their crowdfunding platforms. Major shareholders, managers and employees, and any natural or legal person closely linked to them by way of control, should not act as project owners in relation to the crowdfunding services offered on their crowdfunding platform. However, those major shareholders, managers, employees, and natural or legal persons should not be prohibited from acting as investors in the projects offered on their crowdfunding platform, provided that appropriate safeguards against conflicts of interest are in place.</w:t>
      </w:r>
    </w:p>
    <w:p>
      <w:pPr>
        <w:ind w:left="567" w:hanging="567"/>
        <w:jc w:val="both"/>
      </w:pPr>
      <w:r>
        <w:rPr>
          <w:b w:val="0"/>
          <w:strike w:val="0"/>
          <w:color w:val="800080"/>
          <w:u w:val="double" w:color="800080"/>
        </w:rPr>
        <w:t>(27)</w:t>
        <w:tab/>
        <w:t>In the interest of the efficient and smooth provision of crowdfunding services, crowdfunding service providers should be allowed to entrust any operational function, in whole or in part, to a third party provided that such outsourcing does not impair the quality of crowdfunding service providers’ internal controls or the effective supervision of the crowdfunding service providers. Crowdfunding service providers should however remain fully responsible for compliance with this Regulation with respect to the outsourced activities.</w:t>
      </w:r>
    </w:p>
    <w:p>
      <w:pPr>
        <w:ind w:left="567" w:hanging="567"/>
        <w:jc w:val="both"/>
      </w:pPr>
      <w:r>
        <w:rPr>
          <w:b w:val="0"/>
          <w:strike w:val="0"/>
          <w:color w:val="800080"/>
          <w:u w:val="double" w:color="800080"/>
        </w:rPr>
        <w:t>(28)</w:t>
        <w:tab/>
        <w:t>The requirements concerning safekeeping of assets are crucial for the protection of investors receiving crowdfunding services. Transferable securities or admitted instruments for crowdfunding purposes which can be registered in a financial instruments account or which can be physically delivered to the custodian should be safe-kept by a qualified custodian, which is authorised in accordance with Directive 2013/36/EU or 2014/65/EU. Depending on the type of assets to be safe-kept, assets are either to be held in custody, as with transferable securities which can be registered in a financial instruments account or which can be physically delivered, or to be subject to ownership verification and record-keeping. Safekeeping of transferable securities or admitted instruments for crowdfunding purposes that in accordance with national law are only registered with the project owner or its agent, such as investments in non-listed companies, or are held on an individually segregated account that a client could open directly with a central securities depository, is considered equivalent to asset safekeeping by qualified custodians.</w:t>
      </w:r>
    </w:p>
    <w:p>
      <w:pPr>
        <w:ind w:left="567" w:hanging="567"/>
        <w:jc w:val="both"/>
      </w:pPr>
      <w:r>
        <w:rPr>
          <w:b w:val="0"/>
          <w:strike w:val="0"/>
          <w:color w:val="800080"/>
          <w:u w:val="double" w:color="800080"/>
        </w:rPr>
        <w:t>(29)</w:t>
      </w:r>
      <w:r>
        <w:rPr>
          <w:b w:val="0"/>
          <w:strike w:val="0"/>
          <w:color w:val="800080"/>
          <w:u w:val="double" w:color="800080"/>
        </w:rPr>
        <w:tab/>
      </w:r>
      <w:r>
        <w:rPr>
          <w:b w:val="0"/>
          <w:strike w:val="0"/>
          <w:color w:val="800080"/>
          <w:u w:val="double" w:color="800080"/>
        </w:rPr>
        <w:t>Since only payment service providers are permitted to provide payment services as defined in Directive (EU) 2015/2366 of the European Parliament and of the Council</w:t>
      </w:r>
      <w:r>
        <w:rPr>
          <w:rStyle w:val="FootnoteReference"/>
          <w:rFonts w:ascii="Arial" w:hAnsi="Arial"/>
          <w:color w:val="800080"/>
          <w:u w:val="double" w:color="800080"/>
          <w:sz w:val="22"/>
          <w:szCs w:val="22"/>
          <w:vertAlign w:val="superscript"/>
        </w:rPr>
        <w:footnoteReference w:id="28"/>
      </w:r>
      <w:r>
        <w:rPr>
          <w:b w:val="0"/>
          <w:strike w:val="0"/>
          <w:color w:val="800080"/>
          <w:u w:val="double" w:color="800080"/>
        </w:rPr>
        <w:t>, an authorisation to provide crowdfunding services does not equate to an authorisation also to provide payment services. It is therefore appropriate to clarify that, where a crowdfunding service provider provides such payment services in connection with its crowdfunding services, it also needs to be a payment service provider as defined in Directive (EU) 2015/2366. That requirement is without prejudice to entities authorised under Directive 2014/65/EU that carry out an activity referred to in Article 3 of Directive (EU) 2015/2366 and that are also subject to the notification requirement set out in Article 37 of Directive (EU) 2015/2366. In order to enable proper supervision of such activities, the crowdfunding service provider should inform the competent authorities whether it intends to provide payment services itself with the appropriate authorisation or whether such services will be outsourced to an authorised third party.</w:t>
      </w:r>
    </w:p>
    <w:p>
      <w:pPr>
        <w:ind w:left="567" w:hanging="567"/>
        <w:jc w:val="both"/>
      </w:pPr>
      <w:r>
        <w:rPr>
          <w:b w:val="0"/>
          <w:strike w:val="0"/>
          <w:color w:val="800080"/>
          <w:u w:val="double" w:color="800080"/>
        </w:rPr>
        <w:t>(30)</w:t>
        <w:tab/>
        <w:t>The growth and smooth functioning of cross-border crowdfunding services require a sufficient scale and public confidence in those services. It is therefore necessary to lay down uniform, proportionate and directly applicable requirements for the authorisation of crowdfunding service providers. Requirements for crowdfunding services should therefore facilitate cross-border provision of those services, reduce operational risks, and ensure a high degree of transparency and investor protection.</w:t>
      </w:r>
    </w:p>
    <w:p>
      <w:pPr>
        <w:ind w:left="567" w:hanging="567"/>
        <w:jc w:val="both"/>
      </w:pPr>
      <w:r>
        <w:rPr>
          <w:b w:val="0"/>
          <w:strike w:val="0"/>
          <w:color w:val="800080"/>
          <w:u w:val="double" w:color="800080"/>
        </w:rPr>
        <w:t>(31)</w:t>
        <w:tab/>
        <w:t>In order to ensure effective supervision of the crowdfunding service providers, only legal persons that have an effective and stable establishment in the Union, including the necessary resources, should be able to apply for authorisation as crowdfunding service providers under this Regulation.</w:t>
      </w:r>
    </w:p>
    <w:p>
      <w:pPr>
        <w:ind w:left="567" w:hanging="567"/>
        <w:jc w:val="both"/>
      </w:pPr>
      <w:r>
        <w:rPr>
          <w:b w:val="0"/>
          <w:strike w:val="0"/>
          <w:color w:val="800080"/>
          <w:u w:val="double" w:color="800080"/>
        </w:rPr>
        <w:t>(32)</w:t>
      </w:r>
      <w:r>
        <w:rPr>
          <w:b w:val="0"/>
          <w:strike w:val="0"/>
          <w:color w:val="800080"/>
          <w:u w:val="double" w:color="800080"/>
        </w:rPr>
        <w:tab/>
      </w:r>
      <w:r>
        <w:rPr>
          <w:b w:val="0"/>
          <w:strike w:val="0"/>
          <w:color w:val="800080"/>
          <w:u w:val="double" w:color="800080"/>
        </w:rPr>
        <w:t>Crowdfunding services can be exposed to money laundering and terrorist financing risks, as underlined in the Report from the Commission to the European Parliament and the Council of 26 June 2017 on the assessment of the risks of money laundering and terrorist financing affecting the internal market and relating to cross-border activities. Safeguards should therefore be provided when setting out the conditions for authorisation of crowdfunding service providers and for assessing the good repute of the natural persons responsible for their management as well as by restricting the provision of payment services to licensed entities subject to anti-money laundering and terrorist financing requirements. With a view to further ensuring market integrity by preventing risks of money laundering and terrorist financing, and taking into account the amount of funds that can be raised by a crowdfunding offer in accordance with this Regulation, the Commission should assess the necessity and proportionality of subjecting crowdfunding service providers to obligations to comply with national law implementing Directive (EU) 2015/849 of the European Parliament and of the Council</w:t>
      </w:r>
      <w:r>
        <w:rPr>
          <w:rStyle w:val="FootnoteReference"/>
          <w:rFonts w:ascii="Arial" w:hAnsi="Arial"/>
          <w:color w:val="800080"/>
          <w:u w:val="double" w:color="800080"/>
          <w:sz w:val="22"/>
          <w:szCs w:val="22"/>
          <w:vertAlign w:val="superscript"/>
        </w:rPr>
        <w:footnoteReference w:id="29"/>
      </w:r>
      <w:r>
        <w:rPr>
          <w:b w:val="0"/>
          <w:strike w:val="0"/>
          <w:color w:val="800080"/>
          <w:u w:val="double" w:color="800080"/>
        </w:rPr>
        <w:t xml:space="preserve"> in respect of money laundering or terrorist financing and of adding such crowdfunding service providers to the list of obliged entities for the purposes of that Directive.</w:t>
      </w:r>
    </w:p>
    <w:p>
      <w:pPr>
        <w:ind w:left="567" w:hanging="567"/>
        <w:jc w:val="both"/>
      </w:pPr>
      <w:r>
        <w:rPr>
          <w:b w:val="0"/>
          <w:strike w:val="0"/>
          <w:color w:val="800080"/>
          <w:u w:val="double" w:color="800080"/>
        </w:rPr>
        <w:t>(33)</w:t>
        <w:tab/>
        <w:t>To enable crowdfunding service providers to operate cross-border without facing divergent rules and to thereby facilitate the funding of projects across the Union by investors from different Member States, Member States should not be allowed to impose additional requirements on those crowdfunding service providers that are authorised under this Regulation.</w:t>
      </w:r>
    </w:p>
    <w:p>
      <w:pPr>
        <w:ind w:left="567" w:hanging="567"/>
        <w:jc w:val="both"/>
      </w:pPr>
      <w:r>
        <w:rPr>
          <w:b w:val="0"/>
          <w:strike w:val="0"/>
          <w:color w:val="800080"/>
          <w:u w:val="double" w:color="800080"/>
        </w:rPr>
        <w:t>(34)</w:t>
        <w:tab/>
        <w:t>The authorisation process should enable competent authorities to be informed of the services that the prospective crowdfunding service providers intend to provide including the crowdfunding platforms that they intend to operate, to assess the quality of their management, and to assess their internal organisation and procedures set up to ensure compliance with this Regulation.</w:t>
      </w:r>
    </w:p>
    <w:p>
      <w:pPr>
        <w:ind w:left="567" w:hanging="567"/>
        <w:jc w:val="both"/>
      </w:pPr>
      <w:r>
        <w:rPr>
          <w:b w:val="0"/>
          <w:strike w:val="0"/>
          <w:color w:val="800080"/>
          <w:u w:val="double" w:color="800080"/>
        </w:rPr>
        <w:t>(35)</w:t>
      </w:r>
      <w:r>
        <w:rPr>
          <w:b w:val="0"/>
          <w:strike w:val="0"/>
          <w:color w:val="800080"/>
          <w:u w:val="double" w:color="800080"/>
        </w:rPr>
        <w:tab/>
      </w:r>
      <w:r>
        <w:rPr>
          <w:b w:val="0"/>
          <w:strike w:val="0"/>
          <w:color w:val="800080"/>
          <w:u w:val="double" w:color="800080"/>
        </w:rPr>
        <w:t>In order to ensure proper supervision and to avoid disproportionate administrative burdens, it should be possible for entities that have been authorised under Directive 2009/110/EC of the European Parliament and of the Council</w:t>
      </w:r>
      <w:r>
        <w:rPr>
          <w:rStyle w:val="FootnoteReference"/>
          <w:rFonts w:ascii="Arial" w:hAnsi="Arial"/>
          <w:color w:val="800080"/>
          <w:u w:val="double" w:color="800080"/>
          <w:sz w:val="22"/>
          <w:szCs w:val="22"/>
          <w:vertAlign w:val="superscript"/>
        </w:rPr>
        <w:footnoteReference w:id="30"/>
      </w:r>
      <w:r>
        <w:rPr>
          <w:b w:val="0"/>
          <w:strike w:val="0"/>
          <w:color w:val="800080"/>
          <w:u w:val="double" w:color="800080"/>
        </w:rPr>
        <w:t>, or Directive 2013/36/EU, 2014/65/EU or (EU) 2015/2366, and that intend to provide crowdfunding services, to hold an authorisation both under one of those Directives and under this Regulation. In such cases, a simplified authorisation procedure should apply and the competent authorities should not require submission of documents or proof that are already at their disposal.</w:t>
      </w:r>
    </w:p>
    <w:p>
      <w:pPr>
        <w:ind w:left="567" w:hanging="567"/>
        <w:jc w:val="both"/>
      </w:pPr>
      <w:r>
        <w:rPr>
          <w:b w:val="0"/>
          <w:strike w:val="0"/>
          <w:color w:val="800080"/>
          <w:u w:val="double" w:color="800080"/>
        </w:rPr>
        <w:t>(36)</w:t>
      </w:r>
      <w:r>
        <w:rPr>
          <w:b w:val="0"/>
          <w:strike w:val="0"/>
          <w:color w:val="800080"/>
          <w:u w:val="double" w:color="800080"/>
        </w:rPr>
        <w:tab/>
      </w:r>
      <w:r>
        <w:rPr>
          <w:b w:val="0"/>
          <w:strike w:val="0"/>
          <w:color w:val="800080"/>
          <w:u w:val="double" w:color="800080"/>
        </w:rPr>
        <w:t>To facilitate transparency for investors as regards the provision of crowdfunding services, the European Supervisory Authority (European Securities and Markets Authority) established by Regulation (EU) No 1095/2010 of the European Parliament and of the Council</w:t>
      </w:r>
      <w:r>
        <w:rPr>
          <w:rStyle w:val="FootnoteReference"/>
          <w:rFonts w:ascii="Arial" w:hAnsi="Arial"/>
          <w:color w:val="800080"/>
          <w:u w:val="double" w:color="800080"/>
          <w:sz w:val="22"/>
          <w:szCs w:val="22"/>
          <w:vertAlign w:val="superscript"/>
        </w:rPr>
        <w:footnoteReference w:id="31"/>
      </w:r>
      <w:r>
        <w:rPr>
          <w:b w:val="0"/>
          <w:strike w:val="0"/>
          <w:color w:val="800080"/>
          <w:u w:val="double" w:color="800080"/>
        </w:rPr>
        <w:t xml:space="preserve"> (ESMA) should establish a public and up-to-date register of all crowdfunding service providers authorised in accordance with this Regulation. That register should include information on all operating crowdfunding platforms in the Union.</w:t>
      </w:r>
    </w:p>
    <w:p>
      <w:pPr>
        <w:ind w:left="567" w:hanging="567"/>
        <w:jc w:val="both"/>
      </w:pPr>
      <w:r>
        <w:rPr>
          <w:b w:val="0"/>
          <w:strike w:val="0"/>
          <w:color w:val="800080"/>
          <w:u w:val="double" w:color="800080"/>
        </w:rPr>
        <w:t>(37)</w:t>
        <w:tab/>
        <w:t>An authorisation under this Regulation should be withdrawn where the crowdfunding service provider no longer meets the conditions under which the authorisation was granted. Competent authorities should also have the power to withdraw an authorisation under this Regulation whenever a crowdfunding service provider, or a third party acting on its behalf, has lost its authorisation allowing for the provision of payment services under Directive (EU) 2015/2366 or investment services under Directive 2014/65/EU, or whenever a crowdfunding service provider that is also a payment service provider, or its managers, employees or a third party acting on its behalf, has infringed national law implementing Directive (EU) 2015/849.</w:t>
      </w:r>
    </w:p>
    <w:p>
      <w:pPr>
        <w:ind w:left="567" w:hanging="567"/>
        <w:jc w:val="both"/>
      </w:pPr>
      <w:r>
        <w:rPr>
          <w:b w:val="0"/>
          <w:strike w:val="0"/>
          <w:color w:val="800080"/>
          <w:u w:val="double" w:color="800080"/>
        </w:rPr>
        <w:t>(38)</w:t>
        <w:tab/>
        <w:t>In order to provide a broad range of services to their clients, a crowdfunding service provider authorised under this Regulation should be allowed to engage in activities other than the provision of crowdfunding services covered by an authorisation under this Regulation.</w:t>
      </w:r>
    </w:p>
    <w:p>
      <w:pPr>
        <w:ind w:left="567" w:hanging="567"/>
        <w:jc w:val="both"/>
      </w:pPr>
      <w:r>
        <w:rPr>
          <w:b w:val="0"/>
          <w:strike w:val="0"/>
          <w:color w:val="800080"/>
          <w:u w:val="double" w:color="800080"/>
        </w:rPr>
        <w:t>(39)</w:t>
        <w:tab/>
        <w:t>In order to ensure a clear understanding of the nature of crowdfunding services and the risks, costs and charges related to such services, crowdfunding service providers should provide their clients with information that is fair, clear and not misleading.</w:t>
      </w:r>
    </w:p>
    <w:p>
      <w:pPr>
        <w:ind w:left="567" w:hanging="567"/>
        <w:jc w:val="both"/>
      </w:pPr>
      <w:r>
        <w:rPr>
          <w:b w:val="0"/>
          <w:strike w:val="0"/>
          <w:color w:val="800080"/>
          <w:u w:val="double" w:color="800080"/>
        </w:rPr>
        <w:t>(40)</w:t>
        <w:tab/>
        <w:t>Crowdfunding service providers who provide crowdfunding services consisting of the facilitation of granting of loans should make available to all clients certain relevant information, such as default rates of loans.</w:t>
      </w:r>
    </w:p>
    <w:p>
      <w:pPr>
        <w:ind w:left="567" w:hanging="567"/>
        <w:jc w:val="both"/>
      </w:pPr>
      <w:r>
        <w:rPr>
          <w:b w:val="0"/>
          <w:strike w:val="0"/>
          <w:color w:val="800080"/>
          <w:u w:val="double" w:color="800080"/>
        </w:rPr>
        <w:t>(41)</w:t>
        <w:tab/>
        <w:t>Crowdfunding service providers that apply credit scores to crowdfunding projects or suggest the pricing of crowdfunding offers should disclose key elements of their methodology. The requirement concerning disclosure of methods to calculate credit scores, or to determine the price or the interest rate, should not be construed as requiring the disclosure of sensitive business information or in a manner that impedes innovation.</w:t>
      </w:r>
    </w:p>
    <w:p>
      <w:pPr>
        <w:ind w:left="567" w:hanging="567"/>
        <w:jc w:val="both"/>
      </w:pPr>
      <w:r>
        <w:rPr>
          <w:b w:val="0"/>
          <w:strike w:val="0"/>
          <w:color w:val="800080"/>
          <w:u w:val="double" w:color="800080"/>
        </w:rPr>
        <w:t>(42)</w:t>
        <w:tab/>
        <w:t>To ensure adequate investor protection of different categories of investors participating in crowdfunding projects while facilitating investment flows, this Regulation distinguishes between sophisticated and non-sophisticated investors, and introduces different levels of investor protection safeguards appropriate for each of those categories. The distinction between sophisticated and non-sophisticated investors should build on the distinction between professional clients and retail clients established in Directive 2014/65/EU. However, that distinction should also take into account the characteristics of the crowdfunding market. In particular, the distinction between sophisticated and non-sophisticated investors in this Regulation should also consider the prospective investors’ experience in and knowledge of crowdfunding, which should be re-assessed every two years.</w:t>
      </w:r>
    </w:p>
    <w:p>
      <w:pPr>
        <w:ind w:left="567" w:hanging="567"/>
        <w:jc w:val="both"/>
      </w:pPr>
      <w:r>
        <w:rPr>
          <w:b w:val="0"/>
          <w:strike w:val="0"/>
          <w:color w:val="800080"/>
          <w:u w:val="double" w:color="800080"/>
        </w:rPr>
        <w:t>(43)</w:t>
        <w:tab/>
        <w:t>Financial products marketed on crowdfunding platforms are not the same as traditional investment products or savings products, and should not be marketed as such. However, to ensure that prospective non-sophisticated investors understand the level of risk associated with crowdfunding investments, crowdfunding service providers should be required to run an entry knowledge test of prospective non-sophisticated investors in order to ascertain their understanding of such investments. Crowdfunding service providers should explicitly warn prospective non-sophisticated investors that have insufficient knowledge, skills and experience that the crowdfunding services provided might be inappropriate for them.</w:t>
      </w:r>
    </w:p>
    <w:p>
      <w:pPr>
        <w:ind w:left="567" w:hanging="567"/>
        <w:jc w:val="both"/>
      </w:pPr>
      <w:r>
        <w:rPr>
          <w:b w:val="0"/>
          <w:strike w:val="0"/>
          <w:color w:val="800080"/>
          <w:u w:val="double" w:color="800080"/>
        </w:rPr>
        <w:t>(44)</w:t>
        <w:tab/>
        <w:t>Given that sophisticated investors are, by definition, aware of the risks associated with investments in crowdfunding projects, there is no merit in applying an entry knowledge test to them. Similarly, crowdfunding service providers should not be required to issue risk warnings to sophisticated investors.</w:t>
      </w:r>
    </w:p>
    <w:p>
      <w:pPr>
        <w:ind w:left="567" w:hanging="567"/>
        <w:jc w:val="both"/>
      </w:pPr>
      <w:r>
        <w:rPr>
          <w:b w:val="0"/>
          <w:strike w:val="0"/>
          <w:color w:val="800080"/>
          <w:u w:val="double" w:color="800080"/>
        </w:rPr>
        <w:t>(45)</w:t>
        <w:tab/>
        <w:t>In order to ensure that non-sophisticated investors have read and understood the explicit risk warnings issued to them by the crowdfunding service provider, they should expressly acknowledge the risks that they are taking when they invest in a crowdfunding project. In order to maintain a high level of investor protection and given that an absence of such acknowledgement indicates a potential lack of understanding of the risks involved, crowdfunding service providers should only accept investments from non-sophisticated investors that have expressly acknowledged that they have received and understood those warnings.</w:t>
      </w:r>
    </w:p>
    <w:p>
      <w:pPr>
        <w:ind w:left="567" w:hanging="567"/>
        <w:jc w:val="both"/>
      </w:pPr>
      <w:r>
        <w:rPr>
          <w:b w:val="0"/>
          <w:strike w:val="0"/>
          <w:color w:val="800080"/>
          <w:u w:val="double" w:color="800080"/>
        </w:rPr>
        <w:t>(46)</w:t>
        <w:tab/>
        <w:t>Given the risk associated with crowdfunding projects, non-sophisticated investors should avoid overexposure to them. There is a significant risk of losing large amounts of the initially invested sums or even of experiencing total loss. It is therefore appropriate to set out a maximum amount that non-sophisticated investors can, without further safeguards, invest in an individual project. By way of contrast, sophisticated investors who have the necessary experience, knowledge or financial capacity, or a combination thereof, should not be limited by such a maximum amount.</w:t>
      </w:r>
    </w:p>
    <w:p>
      <w:pPr>
        <w:ind w:left="567" w:hanging="567"/>
        <w:jc w:val="both"/>
      </w:pPr>
      <w:r>
        <w:rPr>
          <w:b w:val="0"/>
          <w:strike w:val="0"/>
          <w:color w:val="800080"/>
          <w:u w:val="double" w:color="800080"/>
        </w:rPr>
        <w:t>(47)</w:t>
        <w:tab/>
        <w:t>In order to strengthen the protection for non-sophisticated investors, it is necessary to make provisions for a reflection period during which a prospective non-sophisticated investor can revoke an offer to invest or an expression of interest in a particular crowdfunding offer without giving a reason and without incurring a penalty. That is necessary to avoid a situation where a prospective non-sophisticated investor, by accepting a crowdfunding offer, thereby also accepts an offer to enter into a legally binding contract without any possibility of retraction within an adequate period of time. The period of reflection is not necessary when a prospective non-sophisticated investor can express an interest in a particular crowdfunding offer without also thereby binding him or herself to a contract, except in the situation when such an offer to invest is made or such an expression of interest is expressed at a moment close to the scheduled expiry date of the offer or to the date of reaching the target funding goal. Crowdfunding service providers should ensure that no money is collected from the investor or transferred to the project owner before the reflection period has expired.</w:t>
      </w:r>
    </w:p>
    <w:p>
      <w:pPr>
        <w:ind w:left="567" w:hanging="567"/>
        <w:jc w:val="both"/>
      </w:pPr>
      <w:r>
        <w:rPr>
          <w:b w:val="0"/>
          <w:strike w:val="0"/>
          <w:color w:val="800080"/>
          <w:u w:val="double" w:color="800080"/>
        </w:rPr>
        <w:t>(48)</w:t>
        <w:tab/>
        <w:t>Considering the potential effects of the right to revoke an offer to invest or an expression of interest during a reflection period on the costs of raising capital through crowdfunding platforms, the Commission should assess, as a part of its report under this Regulation, whether the reflection period should be shortened to allow for a more efficient capital raising process without harming investor protection.</w:t>
      </w:r>
    </w:p>
    <w:p>
      <w:pPr>
        <w:ind w:left="567" w:hanging="567"/>
        <w:jc w:val="both"/>
      </w:pPr>
      <w:r>
        <w:rPr>
          <w:b w:val="0"/>
          <w:strike w:val="0"/>
          <w:color w:val="800080"/>
          <w:u w:val="double" w:color="800080"/>
        </w:rPr>
        <w:t>(49)</w:t>
      </w:r>
      <w:r>
        <w:rPr>
          <w:b w:val="0"/>
          <w:strike w:val="0"/>
          <w:color w:val="800080"/>
          <w:u w:val="double" w:color="800080"/>
        </w:rPr>
        <w:tab/>
      </w:r>
      <w:r>
        <w:rPr>
          <w:b w:val="0"/>
          <w:strike w:val="0"/>
          <w:color w:val="800080"/>
          <w:u w:val="double" w:color="800080"/>
        </w:rPr>
        <w:t>Directive 97/9/EC of the European Parliament and of the Council</w:t>
      </w:r>
      <w:r>
        <w:rPr>
          <w:rStyle w:val="FootnoteReference"/>
          <w:rFonts w:ascii="Arial" w:hAnsi="Arial"/>
          <w:color w:val="800080"/>
          <w:u w:val="double" w:color="800080"/>
          <w:sz w:val="22"/>
          <w:szCs w:val="22"/>
          <w:vertAlign w:val="superscript"/>
        </w:rPr>
        <w:footnoteReference w:id="32"/>
      </w:r>
      <w:r>
        <w:rPr>
          <w:b w:val="0"/>
          <w:strike w:val="0"/>
          <w:color w:val="800080"/>
          <w:u w:val="double" w:color="800080"/>
        </w:rPr>
        <w:t xml:space="preserve"> covers claims arising out of an investment firm’s inability to repay money owed to or belonging to investors and held on their behalf in connection with investment business, or its inability to return to investors any instruments belonging to them and held, administered or managed on their behalf in connection with investment business. Considering that the safekeeping of assets connected with crowdfunding services provided by an investment firm that is also authorised pursuant to Directive 2014/65/EU does not involve the provision of investment services within the meaning of point (2) of Article 4(1) of that Directive, non-sophisticated investors should be informed in the key investment information sheet that the investor compensation scheme protection does not apply to transferable securities or admitted instruments for crowdfunding purposes acquired through the crowdfunding platform. Moreover, the provision of crowdfunding services by such crowdfunding service provider should not be considered to be the taking of deposits within the meaning of point (3) of Article 2(1) of Directive 2014/49/EU of the European Parliament and of the Council</w:t>
      </w:r>
      <w:r>
        <w:rPr>
          <w:rStyle w:val="FootnoteReference"/>
          <w:rFonts w:ascii="Arial" w:hAnsi="Arial"/>
          <w:color w:val="800080"/>
          <w:u w:val="double" w:color="800080"/>
          <w:sz w:val="22"/>
          <w:szCs w:val="22"/>
          <w:vertAlign w:val="superscript"/>
        </w:rPr>
        <w:footnoteReference w:id="33"/>
      </w:r>
      <w:r>
        <w:rPr>
          <w:b w:val="0"/>
          <w:strike w:val="0"/>
          <w:color w:val="800080"/>
          <w:u w:val="double" w:color="800080"/>
        </w:rPr>
        <w:t>.</w:t>
      </w:r>
    </w:p>
    <w:p>
      <w:pPr>
        <w:ind w:left="567" w:hanging="567"/>
        <w:jc w:val="both"/>
      </w:pPr>
      <w:r>
        <w:rPr>
          <w:b w:val="0"/>
          <w:strike w:val="0"/>
          <w:color w:val="800080"/>
          <w:u w:val="double" w:color="800080"/>
        </w:rPr>
        <w:t>(50)</w:t>
        <w:tab/>
        <w:t>This Regulation lays down the content of a key investment information sheet to be provided by crowdfunding service providers to prospective investors for every crowdfunding offer in order to enable them to make an informed investment decision. The key investment information sheet should warn prospective investors that the investing environment they have entered into entails risks that are covered neither by deposit guarantee schemes established in accordance with Directive 2014/49/EU nor by investor compensation schemes established in accordance with Directive 97/9/EC.</w:t>
      </w:r>
    </w:p>
    <w:p>
      <w:pPr>
        <w:ind w:left="567" w:hanging="567"/>
        <w:jc w:val="both"/>
      </w:pPr>
      <w:r>
        <w:rPr>
          <w:b w:val="0"/>
          <w:strike w:val="0"/>
          <w:color w:val="800080"/>
          <w:u w:val="double" w:color="800080"/>
        </w:rPr>
        <w:t>(51)</w:t>
        <w:tab/>
        <w:t>The key investment information sheet should reflect the specific features of lending-based and investment-based crowdfunding. To that end, specific and relevant indicators should be required. The key investment information sheet should also take into account, where available, the specific features and risks associated with project owners, and should focus on material information about the project owners, the investors' rights and fees, and the type of transferable securities, admitted instruments for crowdfunding purposes and loans offered. The key investment information sheet should be drawn up by the project owners, because the project owners are in the best position to provide the information required to be included therein. However, since it is the crowdfunding service providers that are responsible for providing the key investment information sheet to prospective investors, it is the crowdfunding service providers that should ensure that the key investment information sheet is clear, correct and complete.</w:t>
      </w:r>
    </w:p>
    <w:p>
      <w:pPr>
        <w:ind w:left="567" w:hanging="567"/>
        <w:jc w:val="both"/>
      </w:pPr>
      <w:r>
        <w:rPr>
          <w:b w:val="0"/>
          <w:strike w:val="0"/>
          <w:color w:val="800080"/>
          <w:u w:val="double" w:color="800080"/>
        </w:rPr>
        <w:t>(52)</w:t>
        <w:tab/>
        <w:t>Crowdfunding service providers should be allowed to present more information than required in the key investment information sheet drawn up by the project owner. Such information should, however, be complementary and consistent with the other information provided in the key investment information sheet.</w:t>
      </w:r>
    </w:p>
    <w:p>
      <w:pPr>
        <w:ind w:left="567" w:hanging="567"/>
        <w:jc w:val="both"/>
      </w:pPr>
      <w:r>
        <w:rPr>
          <w:b w:val="0"/>
          <w:strike w:val="0"/>
          <w:color w:val="800080"/>
          <w:u w:val="double" w:color="800080"/>
        </w:rPr>
        <w:t>(53)</w:t>
        <w:tab/>
        <w:t>If a crowdfunding service provider identifies an omission, mistake or inaccuracy in the key investment information sheet which could have a material impact on the expected return of the investment, that crowdfunding service provider should signal such an omission, mistake or inaccuracy promptly to the project owner, who should complete or correct that information. Where such completion or correction is not made, the crowdfunding service provider should, under certain conditions, suspend or even cancel the crowdfunding offer.</w:t>
      </w:r>
    </w:p>
    <w:p>
      <w:pPr>
        <w:ind w:left="567" w:hanging="567"/>
        <w:jc w:val="both"/>
      </w:pPr>
      <w:r>
        <w:rPr>
          <w:b w:val="0"/>
          <w:strike w:val="0"/>
          <w:color w:val="800080"/>
          <w:u w:val="double" w:color="800080"/>
        </w:rPr>
        <w:t>(54)</w:t>
        <w:tab/>
        <w:t>To ensure seamless and expedient access to capital markets for start-ups and SMEs, to reduce their costs of financing and to avoid delays and costs for crowdfunding service providers, there should be no requirement for the key investment information sheet to be approved by a competent authority.</w:t>
      </w:r>
    </w:p>
    <w:p>
      <w:pPr>
        <w:ind w:left="567" w:hanging="567"/>
        <w:jc w:val="both"/>
      </w:pPr>
      <w:r>
        <w:rPr>
          <w:b w:val="0"/>
          <w:strike w:val="0"/>
          <w:color w:val="800080"/>
          <w:u w:val="double" w:color="800080"/>
        </w:rPr>
        <w:t>(55)</w:t>
        <w:tab/>
        <w:t>Where so permitted by national law, a crowdfunding service provider should be able to transfer the ownership of shares in an investment-based crowdfunding project by updating its information system. A crowdfunding service provider should also, in the interests of transparency and flow of information, be able to allow clients who have made investments through its crowdfunding platform to advertise on a bulletin board on its crowdfunding platform their interest in buying or selling loans, transferable securities or admitted instruments for crowdfunding purposes which were originally offered on that crowdfunding platform, provided that the bulletin board does not bring together multiple third-party buying and selling interests in a way that results in a contract in relation to such advertisements. The bulletin board provided by a crowdfunding service provider should therefore not consist of an internal matching system which executes client orders on a multilateral basis unless, in relation to transferable securities, the crowdfunding service provider also has a separate authorisation as an investment firm in accordance with Article 5 of Directive 2014/65/EU, or as a regulated market in accordance with Article 44 of that Directive. Crowdfunding service providers that do not hold such an authorisation in relation to transferable securities should clearly inform investors that they do not accept the reception of orders for the purposes of buying or selling contracts in relation to investments originally made on the crowdfunding platform, that any buying and selling activity on their crowdfunding platform is at the investor's discretion and responsibility, and that they do not operate a trading venue in accordance with Directive 2014/65/EU.</w:t>
      </w:r>
    </w:p>
    <w:p>
      <w:pPr>
        <w:ind w:left="567" w:hanging="567"/>
        <w:jc w:val="both"/>
      </w:pPr>
      <w:r>
        <w:rPr>
          <w:b w:val="0"/>
          <w:strike w:val="0"/>
          <w:color w:val="800080"/>
          <w:u w:val="double" w:color="800080"/>
        </w:rPr>
        <w:t>(56)</w:t>
        <w:tab/>
        <w:t>To facilitate transparency and to ensure proper documentation of communications with clients, crowdfunding service providers should keep all appropriate records related to their services and transactions.</w:t>
      </w:r>
    </w:p>
    <w:p>
      <w:pPr>
        <w:ind w:left="567" w:hanging="567"/>
        <w:jc w:val="both"/>
      </w:pPr>
      <w:r>
        <w:rPr>
          <w:b w:val="0"/>
          <w:strike w:val="0"/>
          <w:color w:val="800080"/>
          <w:u w:val="double" w:color="800080"/>
        </w:rPr>
        <w:t>(57)</w:t>
        <w:tab/>
        <w:t>To ensure fair and non-discriminatory treatment of clients, crowdfunding service providers that are promoting their services through marketing communications should provide information that is fair, clear and not misleading.</w:t>
      </w:r>
    </w:p>
    <w:p>
      <w:pPr>
        <w:ind w:left="567" w:hanging="567"/>
        <w:jc w:val="both"/>
      </w:pPr>
      <w:r>
        <w:rPr>
          <w:b w:val="0"/>
          <w:strike w:val="0"/>
          <w:color w:val="800080"/>
          <w:u w:val="double" w:color="800080"/>
        </w:rPr>
        <w:t>(58)</w:t>
        <w:tab/>
        <w:t>To provide more legal certainty to crowdfunding service providers operating across the Union and to ensure easier market access, national laws, regulations and administrative provisions which specifically govern marketing communications of crowdfunding service providers and which are applicable in Member States should be published electronically, as well as summaries thereof in a language customary in the sphere of international finance. For that purpose, ESMA and the competent authorities should keep their websites up-to-date.</w:t>
      </w:r>
    </w:p>
    <w:p>
      <w:pPr>
        <w:ind w:left="567" w:hanging="567"/>
        <w:jc w:val="both"/>
      </w:pPr>
      <w:r>
        <w:rPr>
          <w:b w:val="0"/>
          <w:strike w:val="0"/>
          <w:color w:val="800080"/>
          <w:u w:val="double" w:color="800080"/>
        </w:rPr>
        <w:t>(59)</w:t>
        <w:tab/>
        <w:t>To allow for a better understanding of the extent of regulatory divergences between Member States regarding the requirements applicable to marketing communications, competent authorities should provide ESMA annually with a detailed report on their enforcement actions in that area.</w:t>
      </w:r>
    </w:p>
    <w:p>
      <w:pPr>
        <w:ind w:left="567" w:hanging="567"/>
        <w:jc w:val="both"/>
      </w:pPr>
      <w:r>
        <w:rPr>
          <w:b w:val="0"/>
          <w:strike w:val="0"/>
          <w:color w:val="800080"/>
          <w:u w:val="double" w:color="800080"/>
        </w:rPr>
        <w:t>(60)</w:t>
        <w:tab/>
        <w:t>To avoid unnecessary costs and administrative burden on the cross-border provision of crowdfunding services, marketing communications should not be subject to translation requirements where they are provided in at least one of the official languages of the Member State in which the marketing communications are disseminated or in a language accepted by the competent authorities of that Member State.</w:t>
      </w:r>
    </w:p>
    <w:p>
      <w:pPr>
        <w:ind w:left="567" w:hanging="567"/>
        <w:jc w:val="both"/>
      </w:pPr>
      <w:r>
        <w:rPr>
          <w:b w:val="0"/>
          <w:strike w:val="0"/>
          <w:color w:val="800080"/>
          <w:u w:val="double" w:color="800080"/>
        </w:rPr>
        <w:t>(61)</w:t>
        <w:tab/>
        <w:t>To ensure an efficient supervision and authorisation procedure, Member States should delineate the duties and functions to be carried out by the competent authorities pursuant to this Regulation. In order to facilitate effective cross-border administrative cooperation, each Member State should designate a single point of contact to manage communication with ESMA and competent authorities across the Union.</w:t>
      </w:r>
    </w:p>
    <w:p>
      <w:pPr>
        <w:ind w:left="567" w:hanging="567"/>
        <w:jc w:val="both"/>
      </w:pPr>
      <w:r>
        <w:rPr>
          <w:b w:val="0"/>
          <w:strike w:val="0"/>
          <w:color w:val="800080"/>
          <w:u w:val="double" w:color="800080"/>
        </w:rPr>
        <w:t>(62)</w:t>
        <w:tab/>
        <w:t>Since effective tools, powers and resources of the competent authorities guarantee supervisory effectiveness, this Regulation should provide for a minimum set of supervisory and investigative powers to be entrusted to competent authorities in accordance with national law. Those powers should be exercised, where national law so requires, by application to the competent judicial authorities. When exercising their powers under this Regulation, ESMA and the competent authorities should act objectively and impartially and remain autonomous in their decision-making.</w:t>
      </w:r>
    </w:p>
    <w:p>
      <w:pPr>
        <w:ind w:left="567" w:hanging="567"/>
        <w:jc w:val="both"/>
      </w:pPr>
      <w:r>
        <w:rPr>
          <w:b w:val="0"/>
          <w:strike w:val="0"/>
          <w:color w:val="800080"/>
          <w:u w:val="double" w:color="800080"/>
        </w:rPr>
        <w:t>(63)</w:t>
        <w:tab/>
        <w:t>For the purpose of detecting infringements of this Regulation, it is necessary for competent authorities to be able to access premises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natural or legal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ind w:left="567" w:hanging="567"/>
        <w:jc w:val="both"/>
      </w:pPr>
      <w:r>
        <w:rPr>
          <w:b w:val="0"/>
          <w:strike w:val="0"/>
          <w:color w:val="800080"/>
          <w:u w:val="double" w:color="800080"/>
        </w:rPr>
        <w:t>(64)</w:t>
        <w:tab/>
        <w:t>In order to ensure that the requirements set out in this Regulation are fulfilled, it is important that Member States take the necessary steps to ensure that infringements of this Regulation are subject to appropriate administrative penalties and other administrative measures. Those penalties and measures should be effective, proportionate and dissuasive and ensure a common approach in Member States and a deterrent effect. This Regulation should not limit Member States’ ability to provide for higher levels of administrative penalties.</w:t>
      </w:r>
    </w:p>
    <w:p>
      <w:pPr>
        <w:ind w:left="567" w:hanging="567"/>
        <w:jc w:val="both"/>
      </w:pPr>
      <w:r>
        <w:rPr>
          <w:b w:val="0"/>
          <w:strike w:val="0"/>
          <w:color w:val="800080"/>
          <w:u w:val="double" w:color="800080"/>
        </w:rPr>
        <w:t>(65)</w:t>
        <w:tab/>
        <w:t>In order to ensure that decisions imposing administrative penalties or other administrative measures taken by competent authorities have a deterrent effect on the public at large, they should be published unless the competent authority deems it necessary to opt for a publication on an anonymous basis, to delay the publication, or not to publish at all.</w:t>
      </w:r>
    </w:p>
    <w:p>
      <w:pPr>
        <w:ind w:left="567" w:hanging="567"/>
        <w:jc w:val="both"/>
      </w:pPr>
      <w:r>
        <w:rPr>
          <w:b w:val="0"/>
          <w:strike w:val="0"/>
          <w:color w:val="800080"/>
          <w:u w:val="double" w:color="800080"/>
        </w:rPr>
        <w:t>(66)</w:t>
        <w:tab/>
        <w:t>Although Member States can lay down rules for administrative and criminal penalties for the same infringements, Member States should not be required to lay down rules for administrative penalties for infringements of this Regulation which are subject to national criminal law. However, the maintenance of criminal penalties instead of administrative penalties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ind w:left="567" w:hanging="567"/>
        <w:jc w:val="both"/>
      </w:pPr>
      <w:r>
        <w:rPr>
          <w:b w:val="0"/>
          <w:strike w:val="0"/>
          <w:color w:val="800080"/>
          <w:u w:val="double" w:color="800080"/>
        </w:rPr>
        <w:t>(67)</w:t>
        <w:tab/>
        <w:t>As the key investment information sheet is designed to be tailored to the specific features of a crowdfunding offer and the information needs of investors, crowdfunding offers under this Regulation should be exempted from the obligation to publish a prospectus under Regulation (EU) 2017/1129 and that Regulation should be amended accordingly.</w:t>
      </w:r>
    </w:p>
    <w:p>
      <w:pPr>
        <w:ind w:left="567" w:hanging="567"/>
        <w:jc w:val="both"/>
      </w:pPr>
      <w:r>
        <w:rPr>
          <w:b w:val="0"/>
          <w:strike w:val="0"/>
          <w:color w:val="800080"/>
          <w:u w:val="double" w:color="800080"/>
        </w:rPr>
        <w:t>(68)</w:t>
      </w:r>
      <w:r>
        <w:rPr>
          <w:b w:val="0"/>
          <w:strike w:val="0"/>
          <w:color w:val="800080"/>
          <w:u w:val="double" w:color="800080"/>
        </w:rPr>
        <w:tab/>
      </w:r>
      <w:r>
        <w:rPr>
          <w:b w:val="0"/>
          <w:strike w:val="0"/>
          <w:color w:val="800080"/>
          <w:u w:val="double" w:color="800080"/>
        </w:rPr>
        <w:t>Whistleblowers can bring new information to the attention of competent authorities which helps them in detecting infringements of this Regulation and imposing penalties. This Regulation should therefore ensure that adequate arrangements are in place to enable whistleblowers to alert competent authorities to actual or potential infringements of this Regulation and to protect them from retaliation. That should be done by amending Directive (EU) 2019/1937 of the European Parliament and of the Council</w:t>
      </w:r>
      <w:r>
        <w:rPr>
          <w:rStyle w:val="FootnoteReference"/>
          <w:rFonts w:ascii="Arial" w:hAnsi="Arial"/>
          <w:color w:val="800080"/>
          <w:u w:val="double" w:color="800080"/>
          <w:sz w:val="22"/>
          <w:szCs w:val="22"/>
          <w:vertAlign w:val="superscript"/>
        </w:rPr>
        <w:footnoteReference w:id="34"/>
      </w:r>
      <w:r>
        <w:rPr>
          <w:b w:val="0"/>
          <w:strike w:val="0"/>
          <w:color w:val="800080"/>
          <w:u w:val="double" w:color="800080"/>
        </w:rPr>
        <w:t xml:space="preserve"> in order to make it applicable to breaches of this Regulation.</w:t>
      </w:r>
    </w:p>
    <w:p>
      <w:pPr>
        <w:ind w:left="567" w:hanging="567"/>
        <w:jc w:val="both"/>
      </w:pPr>
      <w:r>
        <w:rPr>
          <w:b w:val="0"/>
          <w:strike w:val="0"/>
          <w:color w:val="800080"/>
          <w:u w:val="double" w:color="800080"/>
        </w:rPr>
        <w:t>(69)</w:t>
      </w:r>
      <w:r>
        <w:rPr>
          <w:b w:val="0"/>
          <w:strike w:val="0"/>
          <w:color w:val="800080"/>
          <w:u w:val="double" w:color="800080"/>
        </w:rPr>
        <w:tab/>
      </w:r>
      <w:r>
        <w:rPr>
          <w:b w:val="0"/>
          <w:strike w:val="0"/>
          <w:color w:val="800080"/>
          <w:u w:val="double" w:color="800080"/>
        </w:rPr>
        <w:t>In order to specify the requirements set out in this Regulation, the power to adopt acts in accordance with Article 290 of the Treaty on the Functioning of the European Union (TFEU) should be delegated to the Commission in respect of extending the transitional period with respect to crowdfunding services provided in accordance with national law.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color w:val="800080"/>
          <w:u w:val="double" w:color="800080"/>
          <w:sz w:val="22"/>
          <w:szCs w:val="22"/>
          <w:vertAlign w:val="superscript"/>
        </w:rPr>
        <w:footnoteReference w:id="35"/>
      </w:r>
      <w:r>
        <w:rPr>
          <w:b w:val="0"/>
          <w:strike w:val="0"/>
          <w:color w:val="800080"/>
          <w:u w:val="double" w:color="800080"/>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ind w:left="567" w:hanging="567"/>
        <w:jc w:val="both"/>
      </w:pPr>
      <w:r>
        <w:rPr>
          <w:b w:val="0"/>
          <w:strike w:val="0"/>
          <w:color w:val="800080"/>
          <w:u w:val="double" w:color="800080"/>
        </w:rPr>
        <w:t>(70)</w:t>
      </w:r>
      <w:r>
        <w:rPr>
          <w:b w:val="0"/>
          <w:strike w:val="0"/>
          <w:color w:val="800080"/>
          <w:u w:val="double" w:color="800080"/>
        </w:rPr>
        <w:tab/>
      </w:r>
      <w:r>
        <w:rPr>
          <w:b w:val="0"/>
          <w:strike w:val="0"/>
          <w:color w:val="800080"/>
          <w:u w:val="double" w:color="800080"/>
        </w:rPr>
        <w:t>In order to promote the consistent application of this Regulation, including adequate protection of investors and consumers across the Union, technical standards should be developed. As bodies with highly specialised expertise, it would be efficient and appropriate to entrust ESMA and the European Supervisory Authority (European Banking Authority) established by Regulation (EU) No 1093/2010 of the European Parliament and of the Council</w:t>
      </w:r>
      <w:r>
        <w:rPr>
          <w:rStyle w:val="FootnoteReference"/>
          <w:rFonts w:ascii="Arial" w:hAnsi="Arial"/>
          <w:color w:val="800080"/>
          <w:u w:val="double" w:color="800080"/>
          <w:sz w:val="22"/>
          <w:szCs w:val="22"/>
          <w:vertAlign w:val="superscript"/>
        </w:rPr>
        <w:footnoteReference w:id="36"/>
      </w:r>
      <w:r>
        <w:rPr>
          <w:b w:val="0"/>
          <w:strike w:val="0"/>
          <w:color w:val="800080"/>
          <w:u w:val="double" w:color="800080"/>
        </w:rPr>
        <w:t xml:space="preserve"> (EBA) with the development of draft regulatory technical standards which do not involve policy choices, for submission to the Commission.</w:t>
      </w:r>
    </w:p>
    <w:p>
      <w:pPr>
        <w:ind w:left="567" w:hanging="567"/>
        <w:jc w:val="both"/>
      </w:pPr>
      <w:r>
        <w:rPr>
          <w:b w:val="0"/>
          <w:strike w:val="0"/>
          <w:color w:val="800080"/>
          <w:u w:val="double" w:color="800080"/>
        </w:rPr>
        <w:t>(71)</w:t>
        <w:tab/>
        <w:t>The Commission should be empowered to adopt regulatory technical standards developed by ESMA and EBA with regard to individual portfolio management of loans, complaints handling, conflicts of interest, authorisation as crowdfunding service provider, information to clients, default rate disclosure, the entry knowledge test and simulation of the ability to bear loss, the key investment information sheet and cooperation between competent authorities. The Commission should adopt those regulatory technical standards by means of delegated acts pursuant to Article 290 TFEU and in accordance with Articles 10 to 14 of Regulations (EU) No 1093/2010 and (EU) No 1095/2010.</w:t>
      </w:r>
    </w:p>
    <w:p>
      <w:pPr>
        <w:ind w:left="567" w:hanging="567"/>
        <w:jc w:val="both"/>
      </w:pPr>
      <w:r>
        <w:rPr>
          <w:b w:val="0"/>
          <w:strike w:val="0"/>
          <w:color w:val="800080"/>
          <w:u w:val="double" w:color="800080"/>
        </w:rPr>
        <w:t>(72)</w:t>
        <w:tab/>
        <w:t>The Commission should also be empowered to adopt implementing technical standards developed by ESMA with regard to reporting by crowdfunding service providers, the publication of national provisions concerning marketing requirements and cooperation between competent authorities and with ESMA.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800080"/>
          <w:u w:val="double" w:color="800080"/>
        </w:rPr>
        <w:t>(73)</w:t>
      </w:r>
      <w:r>
        <w:rPr>
          <w:b w:val="0"/>
          <w:strike w:val="0"/>
          <w:color w:val="800080"/>
          <w:u w:val="double" w:color="800080"/>
        </w:rPr>
        <w:tab/>
      </w:r>
      <w:r>
        <w:rPr>
          <w:b w:val="0"/>
          <w:strike w:val="0"/>
          <w:color w:val="800080"/>
          <w:u w:val="double" w:color="800080"/>
        </w:rPr>
        <w:t>Any processing of personal data carried out within the framework of this Regulation, such as the exchange or transmission of personal data by the competent authorities, should be undertaken in accordance with Regulation (EU) 2016/679 of the European Parliament and of the Council</w:t>
      </w:r>
      <w:r>
        <w:rPr>
          <w:rStyle w:val="FootnoteReference"/>
          <w:rFonts w:ascii="Arial" w:hAnsi="Arial"/>
          <w:color w:val="800080"/>
          <w:u w:val="double" w:color="800080"/>
          <w:sz w:val="22"/>
          <w:szCs w:val="22"/>
          <w:vertAlign w:val="superscript"/>
        </w:rPr>
        <w:footnoteReference w:id="37"/>
      </w:r>
      <w:r>
        <w:rPr>
          <w:b w:val="0"/>
          <w:strike w:val="0"/>
          <w:color w:val="800080"/>
          <w:u w:val="double" w:color="800080"/>
        </w:rPr>
        <w:t xml:space="preserve"> and any exchange or transmission of information by ESMA should be undertaken in accordance with Regulation (EU) 2018/1725 of the European Parliament and of the Council</w:t>
      </w:r>
      <w:r>
        <w:rPr>
          <w:rStyle w:val="FootnoteReference"/>
          <w:rFonts w:ascii="Arial" w:hAnsi="Arial"/>
          <w:color w:val="800080"/>
          <w:u w:val="double" w:color="800080"/>
          <w:sz w:val="22"/>
          <w:szCs w:val="22"/>
          <w:vertAlign w:val="superscript"/>
        </w:rPr>
        <w:footnoteReference w:id="38"/>
      </w:r>
      <w:r>
        <w:rPr>
          <w:b w:val="0"/>
          <w:strike w:val="0"/>
          <w:color w:val="800080"/>
          <w:u w:val="double" w:color="800080"/>
        </w:rPr>
        <w:t>.</w:t>
      </w:r>
    </w:p>
    <w:p>
      <w:pPr>
        <w:ind w:left="567" w:hanging="567"/>
        <w:jc w:val="both"/>
      </w:pPr>
      <w:r>
        <w:rPr>
          <w:b w:val="0"/>
          <w:strike w:val="0"/>
          <w:color w:val="800080"/>
          <w:u w:val="double" w:color="800080"/>
        </w:rPr>
        <w:t>(74)</w:t>
        <w:tab/>
        <w:t>Since the objectives of this Regulation, namely to address the fragmentation of the legal framework applicable to crowdfunding services in order to ensure the proper functioning of the internal market in such services while enhancing investor protection as well as market efficiency and contributing to establishing the CMU, cannot be sufficiently achieved by the Member States but can rather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800080"/>
          <w:u w:val="double" w:color="800080"/>
        </w:rPr>
        <w:t>(75)</w:t>
      </w:r>
      <w:r>
        <w:rPr>
          <w:b w:val="0"/>
          <w:strike w:val="0"/>
          <w:color w:val="800080"/>
          <w:u w:val="double" w:color="800080"/>
        </w:rPr>
        <w:tab/>
      </w:r>
      <w:r>
        <w:rPr>
          <w:b w:val="0"/>
          <w:strike w:val="0"/>
          <w:color w:val="800080"/>
          <w:u w:val="double" w:color="800080"/>
        </w:rPr>
        <w:t>The date of application of this Regulation should be deferred to align it with the date of application of the national rules transposing Directive (EU) 2020/1504 of the European Parliament and of the Council</w:t>
      </w:r>
      <w:r>
        <w:rPr>
          <w:rStyle w:val="FootnoteReference"/>
          <w:rFonts w:ascii="Arial" w:hAnsi="Arial"/>
          <w:color w:val="800080"/>
          <w:u w:val="double" w:color="800080"/>
          <w:sz w:val="22"/>
          <w:szCs w:val="22"/>
          <w:vertAlign w:val="superscript"/>
        </w:rPr>
        <w:footnoteReference w:id="39"/>
      </w:r>
      <w:r>
        <w:rPr>
          <w:b w:val="0"/>
          <w:strike w:val="0"/>
          <w:color w:val="800080"/>
          <w:u w:val="double" w:color="800080"/>
        </w:rPr>
        <w:t>, which exempts crowdfunding service providers falling under the scope of this Regulation from the application of Directive 2014/65/EU.</w:t>
      </w:r>
    </w:p>
    <w:p>
      <w:pPr>
        <w:ind w:left="567" w:hanging="567"/>
        <w:jc w:val="both"/>
      </w:pPr>
      <w:r>
        <w:rPr>
          <w:b w:val="0"/>
          <w:strike w:val="0"/>
          <w:color w:val="800080"/>
          <w:u w:val="double" w:color="800080"/>
        </w:rPr>
        <w:t>(76)</w:t>
        <w:tab/>
        <w:t>In the interest of legal certainty and in view of the replacement of national rules by the rules set out in this Regulation insofar as types of crowdfunding services are concerned which are now included within the scope of this Regulation, it is appropriate to make transitional arrangements allowing persons providing such crowdfunding services in accordance with national law preceding this Regulation to adapt their business activities to this Regulation and to have sufficient time to apply for an authorisation thereunder. Such persons should therefore be able to continue to provide crowdfunding services that are included within the scope of this Regulation in accordance with the applicable national law until 10 November 2022. During that transitional period, Member States can put in place special procedures to enable legal persons, which have been authorised under national law to provide crowdfunding services included within the scope of this Regulation, to convert their national authorisations into authorisations under this Regulation, provided that the crowdfunding service providers meet the requirements set out in this Regulation.</w:t>
      </w:r>
    </w:p>
    <w:p>
      <w:pPr>
        <w:ind w:left="567" w:hanging="567"/>
        <w:jc w:val="both"/>
      </w:pPr>
      <w:r>
        <w:rPr>
          <w:b w:val="0"/>
          <w:strike w:val="0"/>
          <w:color w:val="800080"/>
          <w:u w:val="double" w:color="800080"/>
        </w:rPr>
        <w:t>(77)</w:t>
        <w:tab/>
        <w:t>Crowdfunding service providers who have failed to obtain authorisation in accordance with this Regulation by 10 November 2022 should not issue any new crowdfunding offers after that date. To avoid a situation whereby the raising of target capital in relation to a particular crowdfunding project is not completed by 10 November 2022, the calls for funding should be closed by that date. However, after 10 November 2022 servicing of the existing contracts, including collecting and transferring receivables, providing asset safekeeping services or processing corporate actions, can continue in accordance with the applicable national law.</w:t>
      </w:r>
    </w:p>
    <w:p>
      <w:pPr>
        <w:ind w:left="567" w:hanging="567"/>
        <w:jc w:val="both"/>
      </w:pPr>
      <w:r>
        <w:rPr>
          <w:b w:val="0"/>
          <w:strike w:val="0"/>
          <w:color w:val="800080"/>
          <w:u w:val="double" w:color="800080"/>
        </w:rPr>
        <w:t>(78)</w:t>
        <w:tab/>
        <w:t>This Regulation respects the fundamental rights and observes the principles recognised by the Charter of Fundamental Rights of the European Union. Therefore, this Regulation should be interpreted and applied in accordance with those rights and principles.</w:t>
      </w:r>
    </w:p>
    <w:p>
      <w:pPr>
        <w:ind w:left="567" w:hanging="567"/>
        <w:jc w:val="both"/>
      </w:pPr>
      <w:r>
        <w:rPr>
          <w:b w:val="0"/>
          <w:strike w:val="0"/>
          <w:color w:val="800080"/>
          <w:u w:val="double" w:color="800080"/>
        </w:rPr>
        <w:t>(79)</w:t>
        <w:tab/>
        <w:t>The European Data Protection Supervisor was consulted in accordance with Article 42(1) of Regulation (EU) 2018/1725,</w:t>
      </w:r>
    </w:p>
    <w:p>
      <w:pPr>
        <w:ind w:left="567" w:hanging="567"/>
        <w:jc w:val="both"/>
      </w:pPr>
      <w:r>
        <w:rPr>
          <w:b w:val="0"/>
          <w:strike w:val="0"/>
          <w:color w:val="0066CC"/>
          <w:u w:val="double" w:color="0066CC"/>
        </w:rPr>
        <w:t>(1)</w:t>
        <w:tab/>
        <w:t>The COVID-19 pandemic is severely affecting people, companies, healthcare systems and the economies of Member States. In its Communication of 27 May 2020 entitled ‘Europe’s moment: Repair and Prepare for the Next Generation’, the Commission stressed that liquidity and access to finance will be a continued challenge. It is therefore crucial to support the recovery from the severe economic shock caused by the COVID-19 pandemic by introducing targeted amendments to existing Union financial services law. Those amendments form a package of measures and are adopted under the label ‘Capital Markets Recovery Package.</w:t>
      </w:r>
    </w:p>
    <w:p>
      <w:pPr>
        <w:ind w:left="567" w:hanging="567"/>
        <w:jc w:val="both"/>
      </w:pPr>
      <w:r>
        <w:rPr>
          <w:b w:val="0"/>
          <w:strike w:val="0"/>
          <w:color w:val="0066CC"/>
          <w:u w:val="double" w:color="0066CC"/>
        </w:rPr>
        <w:t>(2)</w:t>
      </w:r>
      <w:r>
        <w:rPr>
          <w:b w:val="0"/>
          <w:strike w:val="0"/>
          <w:color w:val="0066CC"/>
          <w:u w:val="double" w:color="0066CC"/>
        </w:rPr>
        <w:tab/>
      </w:r>
      <w:r>
        <w:rPr>
          <w:b w:val="0"/>
          <w:strike w:val="0"/>
          <w:color w:val="0066CC"/>
          <w:u w:val="double" w:color="0066CC"/>
        </w:rPr>
        <w:t>Regulation (EU) 2017/1129 of the European Parliament and of the Council</w:t>
      </w:r>
      <w:r>
        <w:rPr>
          <w:rStyle w:val="FootnoteReference"/>
          <w:rFonts w:ascii="Arial" w:hAnsi="Arial"/>
          <w:color w:val="0066CC"/>
          <w:u w:val="double" w:color="0066CC"/>
          <w:sz w:val="22"/>
          <w:szCs w:val="22"/>
          <w:vertAlign w:val="superscript"/>
        </w:rPr>
        <w:footnoteReference w:id="40"/>
      </w:r>
      <w:r>
        <w:rPr>
          <w:b w:val="0"/>
          <w:strike w:val="0"/>
          <w:color w:val="0066CC"/>
          <w:u w:val="double" w:color="0066CC"/>
        </w:rPr>
        <w:t xml:space="preserve"> lays down requirements for the drawing up, approval and distribution of the prospectus to be published when securities are offered to the public or admitted to trading on a regulated market situated or operating within a Member State. As part of the package of measures to help issuers to recover from the economic shock resulting from the COVID-19 pandemic, targeted amendments to the prospectus regime are necessary. Those amendments should enable issuers and financial intermediaries to reduce costs and free up resources for the recovery phase in the immediate aftermath of the COVID-19 pandemic. Those amendments should remain in line with the overarching objectives of Regulation (EU) 2017/1129 to foster fundraising through capital markets, ensure a high level of consumer and investor protection, drive supervisory convergence throughout the Member States, and ensure the proper functioning of the internal market. Those amendments should also specifically take full account of the extent to which the COVID-19 pandemic has affected issuers’ present situation and their future prospects.</w:t>
      </w:r>
    </w:p>
    <w:p>
      <w:pPr>
        <w:ind w:left="567" w:hanging="567"/>
        <w:jc w:val="both"/>
      </w:pPr>
      <w:r>
        <w:rPr>
          <w:b w:val="0"/>
          <w:strike w:val="0"/>
          <w:color w:val="0066CC"/>
          <w:u w:val="double" w:color="0066CC"/>
        </w:rPr>
        <w:t>(3)</w:t>
        <w:tab/>
        <w:t>The COVID-19 crisis makes Union companies, in particular small and medium-sized enterprises (SMEs) and start-ups, more fragile and vulnerable. Where appropriate in order to facilitate and diversify funding sources for Union companies, with a particular focus on SMEs, including start-ups and middle-capitalisation companies, the removal of unjustified barriers and excessive administrative burden can help to promote the ability of Union companies to access equity markets, in addition to promoting more diverse, longer-term and more competitive investment opportunities for retail and large investors. In that regard, this Regulation should also aim to make it easier for potential investors to learn about investment opportunities in companies, since potential investors often have difficulty evaluating start-up companies and small firms with a short business record, a situation which leads to fewer innovative openings, especially for persons starting a business.</w:t>
      </w:r>
    </w:p>
    <w:p>
      <w:pPr>
        <w:ind w:left="567" w:hanging="567"/>
        <w:jc w:val="both"/>
      </w:pPr>
      <w:r>
        <w:rPr>
          <w:b w:val="0"/>
          <w:strike w:val="0"/>
          <w:color w:val="0066CC"/>
          <w:u w:val="double" w:color="0066CC"/>
        </w:rPr>
        <w:t>(4)</w:t>
        <w:tab/>
        <w:t>Credit institutions have been active in the effort to support companies that needed financing and are expected to be a fundamental pillar of the recovery. Regulation (EU) 2017/1129 entitles credit institutions to an exemption from the obligation to publish a prospectus in the case of an offer or admission to trading on a regulated market of certain non-equity securities issued in a continuous or repeated manner up to an aggregated amount of EUR 75 million over a period of 12 months. That exemption threshold should be increased for a limited period of time in order to foster fundraising for credit institutions and give them breathing space to support their clients in the real economy. As the application of that exemption threshold is limited to the recovery phase, it should only be available for a limited period of time, ending on 31 December 2022.</w:t>
      </w:r>
    </w:p>
    <w:p>
      <w:pPr>
        <w:ind w:left="567" w:hanging="567"/>
        <w:jc w:val="both"/>
      </w:pPr>
      <w:r>
        <w:rPr>
          <w:b w:val="0"/>
          <w:strike w:val="0"/>
          <w:color w:val="0066CC"/>
          <w:u w:val="double" w:color="0066CC"/>
        </w:rPr>
        <w:t>(5)</w:t>
      </w:r>
      <w:r>
        <w:rPr>
          <w:b w:val="0"/>
          <w:strike w:val="0"/>
          <w:color w:val="0066CC"/>
          <w:u w:val="double" w:color="0066CC"/>
        </w:rPr>
        <w:tab/>
      </w:r>
      <w:r>
        <w:rPr>
          <w:b w:val="0"/>
          <w:strike w:val="0"/>
          <w:color w:val="0066CC"/>
          <w:u w:val="double" w:color="0066CC"/>
        </w:rPr>
        <w:t>In order to swiftly address the severe economic impact of the COVID-19 pandemic, it is important to introduce measures to facilitate investments in the real economy, allow for a rapid recapitalisation of companies in the Union and enable issuers to tap into public markets at an early stage in the recovery process. In order to achieve those objectives, it is appropriate to create a new short-form prospectus to be known as the EU Recovery prospectus that, while also addressing the economic and financial issues specifically raised by the COVID-19 pandemic, is easy to produce for issuers, easy to understand for investors, particularly retail investors, who want to finance issuers, and easy to scrutinise and approve for competent authorities. The EU Recovery prospectus should be seen primarily as a facilitator of re-capitalisation, with careful monitoring by competent authorities to ensure that investor information requirements are met. Importantly, the amendments to Regulation (EU) 2017/1129 contained in this Regulation should not be used to replace the scheduled review of, and possible amendment to, Regulation (EU) 2017/1129, which would need to be accompanied by a full impact assessment. In that regard, it would not be appropriate to add additional elements to the disclosure regimes that are not already required under that Regulation or under Commission Delegated Regulation (EU) 2019/980</w:t>
      </w:r>
      <w:r>
        <w:rPr>
          <w:rStyle w:val="FootnoteReference"/>
          <w:rFonts w:ascii="Arial" w:hAnsi="Arial"/>
          <w:color w:val="0066CC"/>
          <w:u w:val="double" w:color="0066CC"/>
          <w:sz w:val="22"/>
          <w:szCs w:val="22"/>
          <w:vertAlign w:val="superscript"/>
        </w:rPr>
        <w:footnoteReference w:id="41"/>
      </w:r>
      <w:r>
        <w:rPr>
          <w:b w:val="0"/>
          <w:strike w:val="0"/>
          <w:color w:val="0066CC"/>
          <w:u w:val="double" w:color="0066CC"/>
        </w:rPr>
        <w:t>, with the exception of specific information relating to the impact of the COVID-19 pandemic. Such elements should only be introduced in the case of a legislative proposal from the Commission on the basis of its review of Regulation (EU) 2017/1129, as provided for in Article 48 of that Regulation.</w:t>
      </w:r>
    </w:p>
    <w:p>
      <w:pPr>
        <w:ind w:left="567" w:hanging="567"/>
        <w:jc w:val="both"/>
      </w:pPr>
      <w:r>
        <w:rPr>
          <w:b w:val="0"/>
          <w:strike w:val="0"/>
          <w:color w:val="0066CC"/>
          <w:u w:val="double" w:color="0066CC"/>
        </w:rPr>
        <w:t>(6)</w:t>
        <w:tab/>
        <w:t>It is important to align retail investor information and key information documents across different financial products and laws, and to ensure full investment choice and comparability in the Union. In addition, consumer and retail investor protection should be considered in the foreseen review of Regulation (EU) 2017/1129 to ensure harmonised, simple and easy-to-understand information documents for all retail investors.</w:t>
      </w:r>
    </w:p>
    <w:p>
      <w:pPr>
        <w:ind w:left="567" w:hanging="567"/>
        <w:jc w:val="both"/>
      </w:pPr>
      <w:r>
        <w:rPr>
          <w:b w:val="0"/>
          <w:strike w:val="0"/>
          <w:color w:val="0066CC"/>
          <w:u w:val="double" w:color="0066CC"/>
        </w:rPr>
        <w:t>(7)</w:t>
        <w:tab/>
        <w:t>Information on environmental, social and governance (ESG) matters by companies has become increasingly relevant for investors in order to measure the sustainability impact of their investments and to integrate sustainability considerations in their investment decision-making processes and risk management. Companies, as a result, face increasing pressure to respond to demands from both investors and credit institutions on ESG matters and are required to comply with multiple standards for ESG disclosures, which are often fragmented and inconsistent. Therefore, for the purpose of improving companies’ disclosure of sustainability-related information and harmonising the requirements for such disclosure provided for in Regulation (EU) 2017/1129, while also taking into account other Union financial services law, the Commission should, in the context of the review of Regulation (EU) 2017/1129, assess whether it is appropriate to integrate sustainability-related information in Regulation (EU) 2017/1129 and assess whether it is appropriate to make a legislative proposal in order to ensure coherence with sustainability objectives and the comparability of sustainability-related information across Union financial services law.</w:t>
      </w:r>
    </w:p>
    <w:p>
      <w:pPr>
        <w:ind w:left="567" w:hanging="567"/>
        <w:jc w:val="both"/>
      </w:pPr>
      <w:r>
        <w:rPr>
          <w:b w:val="0"/>
          <w:strike w:val="0"/>
          <w:color w:val="0066CC"/>
          <w:u w:val="double" w:color="0066CC"/>
        </w:rPr>
        <w:t>(8)</w:t>
      </w:r>
      <w:r>
        <w:rPr>
          <w:b w:val="0"/>
          <w:strike w:val="0"/>
          <w:color w:val="0066CC"/>
          <w:u w:val="double" w:color="0066CC"/>
        </w:rPr>
        <w:tab/>
      </w:r>
      <w:r>
        <w:rPr>
          <w:b w:val="0"/>
          <w:strike w:val="0"/>
          <w:color w:val="0066CC"/>
          <w:u w:val="double" w:color="0066CC"/>
        </w:rPr>
        <w:t>Companies that have had shares admitted to trading on a regulated market or traded on an SME growth market continuously for at least the last 18 months before the offer of shares or admission to trading should have complied with periodic and ongoing disclosure requirements under Regulation (EU) No 596/2014 of the European Parliament and of the Council</w:t>
      </w:r>
      <w:r>
        <w:rPr>
          <w:rStyle w:val="FootnoteReference"/>
          <w:rFonts w:ascii="Arial" w:hAnsi="Arial"/>
          <w:color w:val="0066CC"/>
          <w:u w:val="double" w:color="0066CC"/>
          <w:sz w:val="22"/>
          <w:szCs w:val="22"/>
          <w:vertAlign w:val="superscript"/>
        </w:rPr>
        <w:footnoteReference w:id="42"/>
      </w:r>
      <w:r>
        <w:rPr>
          <w:b w:val="0"/>
          <w:strike w:val="0"/>
          <w:color w:val="0066CC"/>
          <w:u w:val="double" w:color="0066CC"/>
        </w:rPr>
        <w:t>, Directive 2004/109/EC of the European Parliament and of the Council</w:t>
      </w:r>
      <w:r>
        <w:rPr>
          <w:rStyle w:val="FootnoteReference"/>
          <w:rFonts w:ascii="Arial" w:hAnsi="Arial"/>
          <w:color w:val="0066CC"/>
          <w:u w:val="double" w:color="0066CC"/>
          <w:sz w:val="22"/>
          <w:szCs w:val="22"/>
          <w:vertAlign w:val="superscript"/>
        </w:rPr>
        <w:footnoteReference w:id="43"/>
      </w:r>
      <w:r>
        <w:rPr>
          <w:b w:val="0"/>
          <w:strike w:val="0"/>
          <w:color w:val="0066CC"/>
          <w:u w:val="double" w:color="0066CC"/>
        </w:rPr>
        <w:t xml:space="preserve"> or, for issuers on SME growth markets, under Commission Delegated Regulation (EU) 2017/565</w:t>
      </w:r>
      <w:r>
        <w:rPr>
          <w:rStyle w:val="FootnoteReference"/>
          <w:rFonts w:ascii="Arial" w:hAnsi="Arial"/>
          <w:color w:val="0066CC"/>
          <w:u w:val="double" w:color="0066CC"/>
          <w:sz w:val="22"/>
          <w:szCs w:val="22"/>
          <w:vertAlign w:val="superscript"/>
        </w:rPr>
        <w:footnoteReference w:id="44"/>
      </w:r>
      <w:r>
        <w:rPr>
          <w:b w:val="0"/>
          <w:strike w:val="0"/>
          <w:color w:val="0066CC"/>
          <w:u w:val="double" w:color="0066CC"/>
        </w:rPr>
        <w:t>. Hence, much of the required content of a prospectus will already be publicly available and investors will be trading on the basis of that information. Therefore, the EU Recovery prospectus should only be used for secondary issuances of shares. The EU Recovery prospectus should facilitate equity funding and thereby allow companies to rapidly recapitalise. The EU Recovery prospectus should not enable issuers to move from an SME growth market to a regulated market. Furthermore, the EU Recovery prospectus should only focus on essential information enabling investors to make informed investment decisions. Nevertheless, if applicable, issuers or offerors should address how the COVID-19 pandemic has affected the issuers’ business activities as well as the pandemic’s future anticipated impact on the issuers’ business activities, if any.</w:t>
      </w:r>
    </w:p>
    <w:p>
      <w:pPr>
        <w:ind w:left="567" w:hanging="567"/>
        <w:jc w:val="both"/>
      </w:pPr>
      <w:r>
        <w:rPr>
          <w:b w:val="0"/>
          <w:strike w:val="0"/>
          <w:color w:val="0066CC"/>
          <w:u w:val="double" w:color="0066CC"/>
        </w:rPr>
        <w:t>(9)</w:t>
        <w:tab/>
        <w:t>In order to be an efficient tool for issuers, the EU Recovery prospectus should be a single document of a limited size, allow for incorporation by reference, and benefit from the passport for pan-European offers of shares to the public or admissions to trading on a regulated market.</w:t>
      </w:r>
    </w:p>
    <w:p>
      <w:pPr>
        <w:ind w:left="567" w:hanging="567"/>
        <w:jc w:val="both"/>
      </w:pPr>
      <w:r>
        <w:rPr>
          <w:b w:val="0"/>
          <w:strike w:val="0"/>
          <w:color w:val="0066CC"/>
          <w:u w:val="double" w:color="0066CC"/>
        </w:rPr>
        <w:t>(10)</w:t>
        <w:tab/>
        <w:t>The EU Recovery prospectus should include a short-form summary as a useful source of information for investors, in particular retail investors. That summary should be set out at the beginning of the EU Recovery prospectus and should focus on key information that would enable investors to decide which offers to the public and admissions to trading of shares to study further and thereafter to review the EU Recovery prospectus as a whole in order to take their decision. The key information should include information covering specifically the business and financial impact, if any, of the COVID-19 pandemic, as well as its anticipated future impact, if any. The EU Recovery prospectus should ensure retail investor protection by adhering to the relevant provisions of Regulation (EU) 2017/1129, while avoiding excessive administrative burden. In that regard, it is essential that the summary does not diminish investor protection nor give a misleading impression to investors. Issuers or offerors should therefore ensure a high level of diligence in the drafting of that summary.</w:t>
      </w:r>
    </w:p>
    <w:p>
      <w:pPr>
        <w:ind w:left="567" w:hanging="567"/>
        <w:jc w:val="both"/>
      </w:pPr>
      <w:r>
        <w:rPr>
          <w:b w:val="0"/>
          <w:strike w:val="0"/>
          <w:color w:val="0066CC"/>
          <w:u w:val="double" w:color="0066CC"/>
        </w:rPr>
        <w:t>(11)</w:t>
        <w:tab/>
        <w:t>Since the EU Recovery prospectus would provide significantly less information than a simplified prospectus under the simplified disclosure regime for secondary issuances, it should not be possible for issuers to use it for highly dilutive issuances of shares with a significant impact on the issuer’s capital structure, prospects and financial situation. The use of the EU Recovery prospectus should therefore be limited to offers comprising no more than 150 % of outstanding capital. Precise criteria for the calculation of such a threshold should be laid down in this Regulation.</w:t>
      </w:r>
    </w:p>
    <w:p>
      <w:pPr>
        <w:ind w:left="567" w:hanging="567"/>
        <w:jc w:val="both"/>
      </w:pPr>
      <w:r>
        <w:rPr>
          <w:b w:val="0"/>
          <w:strike w:val="0"/>
          <w:color w:val="0066CC"/>
          <w:u w:val="double" w:color="0066CC"/>
        </w:rPr>
        <w:t>(12)</w:t>
        <w:tab/>
        <w:t>In order to collect data that supports the assessment of the EU Recovery prospectus regime, the EU Recovery prospectus should be included in the storage mechanism referred to in Article 21(6) of Regulation (EU) 2017/1129. To limit the administrative burden for changing that storage mechanism, the EU Recovery prospectus should be able to use the same data as that defined for the secondary issuance prospectus set out in Article 14 of Regulation (EU) 2017/1129, provided that the two types of prospectuses remain clearly differentiated.</w:t>
      </w:r>
    </w:p>
    <w:p>
      <w:pPr>
        <w:ind w:left="567" w:hanging="567"/>
        <w:jc w:val="both"/>
      </w:pPr>
      <w:r>
        <w:rPr>
          <w:b w:val="0"/>
          <w:strike w:val="0"/>
          <w:color w:val="0066CC"/>
          <w:u w:val="double" w:color="0066CC"/>
        </w:rPr>
        <w:t>(13)</w:t>
        <w:tab/>
        <w:t>The EU Recovery prospectus should complement the other forms of prospectuses laid down in Regulation (EU) 2017/1129 in view of the specificities of different types of securities, issuers, offers and admissions. Therefore, unless explicitly stated otherwise, all references to the term ‘prospectus’ under Regulation (EU) 2017/1129 are to be understood as referring to all different forms of prospectuses, including the EU Recovery prospectus laid down in this Regulation.</w:t>
      </w:r>
    </w:p>
    <w:p>
      <w:pPr>
        <w:ind w:left="567" w:hanging="567"/>
        <w:jc w:val="both"/>
      </w:pPr>
      <w:r>
        <w:rPr>
          <w:b w:val="0"/>
          <w:strike w:val="0"/>
          <w:color w:val="0066CC"/>
          <w:u w:val="double" w:color="0066CC"/>
        </w:rPr>
        <w:t>(14)</w:t>
        <w:tab/>
        <w:t>Regulation (EU) 2017/1129 requires financial intermediaries to inform investors of the possibility of a supplement being published and, under certain circumstances, to contact investors on the same day that a supplement is published. The deadline by which investors must be contacted, as well as the scope of investors to be contacted, can create difficulties for financial intermediaries. In order to provide relief and free-up resources for financial intermediaries while maintaining a high level of investor protection, a more proportionate regime should be laid down. In particular, it should be clarified that financial intermediaries should contact investors who purchase or subscribe securities at the latest at the closing of the initial offer period. The initial offer period should be understood as referring to the time period during which securities are offered to the public by the issuer or the offeror as prescribed in the prospectus and exclude subsequent periods during which securities are resold on the market. The initial offer period should encompass both primary and secondary issuances of securities. Such a regime should specify which investors should be contacted by financial intermediaries when a supplement is published and should extend the deadline by which those investors are to be contacted. Irrespective of the new regime provided for in this Regulation, the existing provisions of Regulation (EU) 2017/1129, which ensure that the supplement is accessible for all investors by requiring the publication of the supplement on a publicly available website, should continue to apply.</w:t>
      </w:r>
    </w:p>
    <w:p>
      <w:pPr>
        <w:ind w:left="567" w:hanging="567"/>
        <w:jc w:val="both"/>
      </w:pPr>
      <w:r>
        <w:rPr>
          <w:b w:val="0"/>
          <w:strike w:val="0"/>
          <w:color w:val="0066CC"/>
          <w:u w:val="double" w:color="0066CC"/>
        </w:rPr>
        <w:t>(15)</w:t>
        <w:tab/>
        <w:t>As the EU Recovery prospectus regime is limited to the recovery phase, that regime should expire by 31 December 2022. In order to ensure the continuity of EU Recovery prospectuses, those EU Recovery prospectuses that have been approved before the expiration of the EU Recovery prospectus regime should benefit from a grandfathering provision.</w:t>
      </w:r>
    </w:p>
    <w:p>
      <w:pPr>
        <w:ind w:left="567" w:hanging="567"/>
        <w:jc w:val="both"/>
      </w:pPr>
      <w:r>
        <w:rPr>
          <w:b w:val="0"/>
          <w:strike w:val="0"/>
          <w:color w:val="0066CC"/>
          <w:u w:val="double" w:color="0066CC"/>
        </w:rPr>
        <w:t>(16)</w:t>
        <w:tab/>
        <w:t>By 21 July 2022, the Commission is to present a report to the European Parliament and the Council on the application of Regulation (EU) 2017/1129, accompanied where appropriate by a legislative proposal. That report should assess, inter alia, whether the disclosure regime for EU Recovery prospectuses is appropriate to meet the objectives pursued by this Regulation. That assessment should address the question whether the EU Recovery prospectus strikes a proper balance between investor protection and the reduction of administrative burden.</w:t>
      </w:r>
    </w:p>
    <w:p>
      <w:pPr>
        <w:ind w:left="567" w:hanging="567"/>
        <w:jc w:val="both"/>
      </w:pPr>
      <w:r>
        <w:rPr>
          <w:b w:val="0"/>
          <w:strike w:val="0"/>
          <w:color w:val="0066CC"/>
          <w:u w:val="double" w:color="0066CC"/>
        </w:rPr>
        <w:t>(17)</w:t>
      </w:r>
      <w:r>
        <w:rPr>
          <w:b w:val="0"/>
          <w:strike w:val="0"/>
          <w:color w:val="0066CC"/>
          <w:u w:val="double" w:color="0066CC"/>
        </w:rPr>
        <w:tab/>
      </w:r>
      <w:r>
        <w:rPr>
          <w:b w:val="0"/>
          <w:strike w:val="0"/>
          <w:color w:val="0066CC"/>
          <w:u w:val="double" w:color="0066CC"/>
        </w:rPr>
        <w:t>Directive 2004/109/EC requires issuers whose securities are admitted to trading on a regulated market situated or operating within a Member State to prepare and disclose their annual financial reports in a single electronic reporting format, starting from financial years beginning on or after 1 January 2020. That single electronic reporting format is specified in Commission Delegated Regulation (EU) 2019/815</w:t>
      </w:r>
      <w:r>
        <w:rPr>
          <w:rStyle w:val="FootnoteReference"/>
          <w:rFonts w:ascii="Arial" w:hAnsi="Arial"/>
          <w:color w:val="0066CC"/>
          <w:u w:val="double" w:color="0066CC"/>
          <w:sz w:val="22"/>
          <w:szCs w:val="22"/>
          <w:vertAlign w:val="superscript"/>
        </w:rPr>
        <w:footnoteReference w:id="45"/>
      </w:r>
      <w:r>
        <w:rPr>
          <w:b w:val="0"/>
          <w:strike w:val="0"/>
          <w:color w:val="0066CC"/>
          <w:u w:val="double" w:color="0066CC"/>
        </w:rPr>
        <w:t>. Considering that the preparation of annual financial reports using the single electronic reporting format requires the allocation of additional human and financial resources, in particular during the first year of preparation, and considering the constraints on issuers’ resources due to the COVID-19 pandemic, a Member State should be able to postpone the application of the requirement to prepare and disclose annual financial reports using the single electronic reporting format by one year. To exercise that option, a Member State should notify the Commission of its intention to allow for such postponement and its intention should be duly justified.</w:t>
      </w:r>
    </w:p>
    <w:p>
      <w:pPr>
        <w:ind w:left="567" w:hanging="567"/>
        <w:jc w:val="both"/>
      </w:pPr>
      <w:r>
        <w:rPr>
          <w:b w:val="0"/>
          <w:strike w:val="0"/>
          <w:color w:val="0066CC"/>
          <w:u w:val="double" w:color="0066CC"/>
        </w:rPr>
        <w:t>(18)</w:t>
        <w:tab/>
        <w:t>Since the objectives of this Regulation, namely to introduce measures to facilitate investments in the real economy, allow for a rapid recapitalisation of companies in the Union and enable issuers to tap into public markets at an early stage in the recovery process, cannot be sufficiently achieved by the Member States but can rather, by reason of their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0066CC"/>
          <w:u w:val="double" w:color="0066CC"/>
        </w:rPr>
        <w:t>(19)</w:t>
        <w:tab/>
        <w:t>Regulation (EU) 2017/1129 and Directive 2004/109/EC should therefore be amended accordingly,</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800080"/>
          <w:u w:val="double" w:color="800080"/>
        </w:rPr>
        <w:t>(k)</w:t>
      </w:r>
      <w:r>
        <w:rPr>
          <w:b w:val="0"/>
          <w:strike w:val="0"/>
          <w:color w:val="800080"/>
          <w:u w:val="double" w:color="800080"/>
        </w:rPr>
        <w:tab/>
      </w:r>
      <w:r>
        <w:rPr>
          <w:b w:val="0"/>
          <w:strike w:val="0"/>
          <w:color w:val="800080"/>
          <w:u w:val="double" w:color="800080"/>
        </w:rPr>
        <w:t>an offer of securities to the public from a crowdfunding service provider authorised under Regulation (EU) 2020/1503 of the European Parliament and of the Council</w:t>
      </w:r>
      <w:r>
        <w:rPr>
          <w:rStyle w:val="FootnoteReference"/>
          <w:rFonts w:ascii="Arial" w:hAnsi="Arial"/>
          <w:color w:val="800080"/>
          <w:u w:val="double" w:color="800080"/>
          <w:sz w:val="22"/>
          <w:szCs w:val="22"/>
          <w:vertAlign w:val="superscript"/>
        </w:rPr>
        <w:footnoteReference w:id="46"/>
      </w:r>
      <w:r>
        <w:rPr>
          <w:b w:val="0"/>
          <w:strike w:val="0"/>
          <w:color w:val="800080"/>
          <w:u w:val="double" w:color="800080"/>
        </w:rPr>
        <w:t>, provided that it does not exceed the threshold laid down in point (c) of Article 1(2) of that Regulation.</w:t>
      </w:r>
    </w:p>
    <w:p>
      <w:pPr>
        <w:spacing w:before="120" w:after="120" w:line="278" w:lineRule="auto"/>
        <w:ind w:left="1134" w:hanging="567"/>
        <w:jc w:val="both"/>
      </w:pPr>
      <w:r>
        <w:rPr>
          <w:b w:val="0"/>
          <w:strike w:val="0"/>
          <w:color w:val="0066CC"/>
          <w:u w:val="double" w:color="0066CC"/>
        </w:rPr>
        <w:t>(l)</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b w:val="0"/>
          <w:strike w:val="0"/>
          <w:color w:val="0066CC"/>
          <w:u w:val="double" w:color="0066CC"/>
        </w:rPr>
        <w:t>(i)</w:t>
        <w:tab/>
        <w:t>are not subordinated, convertible or exchangeable; and</w:t>
      </w:r>
    </w:p>
    <w:p>
      <w:pPr>
        <w:ind w:left="1701" w:hanging="567"/>
      </w:pPr>
      <w:r>
        <w:rPr>
          <w:b w:val="0"/>
          <w:strike w:val="0"/>
          <w:color w:val="0066CC"/>
          <w:u w:val="double" w:color="0066CC"/>
        </w:rPr>
        <w:t>(ii)</w:t>
        <w:tab/>
        <w:t>do not give a right to subscribe for or acquire other types of securities and are not linked to a derivative instrument.</w:t>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securities fungible with securities already admitted to trading on the same regulated market, provided that they represent, over a period of 12 months, less than 20 % of the number of securities already admitted to trading on the same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20 % of the number of shares of the same class already admitted to trading on the same regulated market, subject to the second subparagraph of this paragraph;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securities already admitted to trading on another regulated market, on the following conditions: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those securities, or securities of the same class, have been admitted to trading on that other regulated market for more than 18 months;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that, for securities first admitted to trading on a regulated market after 1 July 2005, the admission to trading on that other regulated market was subject to a prospectus approved and published in accordance with Directive 2003/71/EC;</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that, except where point (ii) applies, for securities first admitted to listing after 30 June 1983, listing particulars were approved in accordance with the requirements of Council Directive 80/390/EEC</w:t>
      </w:r>
      <w:r>
        <w:rPr>
          <w:rStyle w:val="FootnoteReference"/>
          <w:rFonts w:ascii="Arial" w:hAnsi="Arial"/>
          <w:sz w:val="22"/>
          <w:szCs w:val="22"/>
          <w:vertAlign w:val="superscript"/>
        </w:rPr>
        <w:footnoteReference w:id="47"/>
      </w:r>
      <w:r>
        <w:rPr>
          <w:rFonts w:ascii="Arial" w:hAnsi="Arial" w:eastAsia="Arial"/>
          <w:b w:val="0"/>
          <w:i w:val="0"/>
          <w:sz w:val="22"/>
        </w:rPr>
        <w:t xml:space="preserve"> or Directive 2001/34/EC of the European Parliament and of the Council</w:t>
      </w:r>
      <w:r>
        <w:rPr>
          <w:rStyle w:val="FootnoteReference"/>
          <w:rFonts w:ascii="Arial" w:hAnsi="Arial"/>
          <w:sz w:val="22"/>
          <w:szCs w:val="22"/>
          <w:vertAlign w:val="superscript"/>
        </w:rPr>
        <w:footnoteReference w:id="48"/>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that the ongoing obligations for trading on that other regulated market have been fulfilled;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that the document referred to in point (v) states where the most recent prospectus can be obtained and where the financial information published by the issuer pursuant to ongoing disclosure obligations is available.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66CC"/>
          <w:u w:val="double" w:color="0066CC"/>
        </w:rPr>
        <w:t>(k)</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b w:val="0"/>
          <w:strike w:val="0"/>
          <w:color w:val="0066CC"/>
          <w:u w:val="double" w:color="0066CC"/>
        </w:rPr>
        <w:t>(i)</w:t>
        <w:tab/>
        <w:t>are not subordinated, convertible or exchangeable; and</w:t>
      </w:r>
    </w:p>
    <w:p>
      <w:pPr>
        <w:spacing w:before="120" w:after="120" w:line="278" w:lineRule="auto"/>
        <w:ind w:left="1701" w:hanging="567"/>
        <w:jc w:val="both"/>
      </w:pPr>
      <w:r>
        <w:rPr>
          <w:b w:val="0"/>
          <w:strike w:val="0"/>
          <w:color w:val="0066CC"/>
          <w:u w:val="double" w:color="0066CC"/>
        </w:rPr>
        <w:t>(ii)</w:t>
        <w:tab/>
        <w:t>do not give a right to subscribe for or acquire other types of securities and are not linked to a derivative instrument.</w:t>
      </w:r>
    </w:p>
    <w:p>
      <w:pPr>
        <w:spacing w:before="120" w:after="120" w:line="278" w:lineRule="auto"/>
        <w:ind w:left="567"/>
        <w:jc w:val="both"/>
      </w:pPr>
      <w:r>
        <w:rPr>
          <w:rFonts w:ascii="Arial" w:hAnsi="Arial" w:eastAsia="Arial"/>
          <w:b w:val="0"/>
          <w:i w:val="0"/>
          <w:sz w:val="22"/>
        </w:rPr>
        <w:t>The requirement that the resulting shares represent, over a period of 12 months, less than 20 % of the number of shares of the same class already admitted to trading on the same regulated market as referred to in point (b) of the first subparagraph shall not apply in any of the following cases: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49"/>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50"/>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exemptions from the obligation to publish a prospectus that are set out in paragraphs 4 and 5 may be combined together. However, the exemptions in points (a) and (b) of the first subparagraph of paragraph 5 shall not be combined together if such combination could lead to the immediate or deferred admission to trading on a regulated market over a period of 12 months of more than 20 % of the number of shares of the same class already admitted to trading on the same regulated market, without a prospectus being published.</w:t>
      </w:r>
      <w:r>
        <w:rPr>
          <w:rFonts w:ascii="Arial" w:hAnsi="Arial" w:eastAsia="Arial"/>
          <w:vanish/>
          <w:sz w:val="2"/>
        </w:rPr>
      </w:r>
    </w:p>
    <w:p>
      <w:pPr>
        <w:spacing w:before="120" w:after="120" w:line="278" w:lineRule="auto"/>
        <w:ind w:left="567" w:hanging="567"/>
        <w:jc w:val="both"/>
      </w:pPr>
      <w:r>
        <w:rPr>
          <w:b w:val="0"/>
          <w:strike w:val="0"/>
          <w:color w:val="E67800"/>
          <w:u w:val="double" w:color="E67800"/>
        </w:rPr>
        <w:t>6a.</w:t>
        <w:tab/>
        <w:t>The exemptions set out in point (f) of paragraph 4 and in point (e) of paragraph 5 shall only apply to equity securities, and only in the following cases:</w:t>
      </w:r>
    </w:p>
    <w:p>
      <w:pPr>
        <w:spacing w:before="120" w:after="120" w:line="278" w:lineRule="auto"/>
        <w:ind w:left="1134" w:hanging="567"/>
        <w:jc w:val="both"/>
      </w:pPr>
      <w:r>
        <w:rPr>
          <w:b w:val="0"/>
          <w:strike w:val="0"/>
          <w:color w:val="E67800"/>
          <w:u w:val="double" w:color="E67800"/>
        </w:rPr>
        <w:t>(a)</w:t>
      </w:r>
      <w:r>
        <w:rPr>
          <w:b w:val="0"/>
          <w:strike w:val="0"/>
          <w:color w:val="E67800"/>
          <w:u w:val="double" w:color="E67800"/>
        </w:rPr>
        <w:tab/>
      </w:r>
      <w:r>
        <w:rPr>
          <w:b w:val="0"/>
          <w:strike w:val="0"/>
          <w:color w:val="E67800"/>
          <w:u w:val="double" w:color="E67800"/>
        </w:rPr>
        <w:t>the equity securities offered are fungible with existing securities already admitted to trading on a regulated market prior to the takeover and its related transaction, and the takeover is not considered to be a reverse acquisition transaction within the meaning of paragraph B19 of international financial reporting standard (IFRS) 3, Business Combinations, adopted by Commission Regulation (EC) No 1126/2008</w:t>
      </w:r>
      <w:r>
        <w:rPr>
          <w:rStyle w:val="FootnoteReference"/>
          <w:rFonts w:ascii="Arial" w:hAnsi="Arial"/>
          <w:color w:val="E67800"/>
          <w:u w:val="double" w:color="E67800"/>
          <w:sz w:val="22"/>
          <w:szCs w:val="22"/>
          <w:vertAlign w:val="superscript"/>
        </w:rPr>
        <w:footnoteReference w:id="51"/>
      </w:r>
      <w:r>
        <w:rPr>
          <w:b w:val="0"/>
          <w:strike w:val="0"/>
          <w:color w:val="E67800"/>
          <w:u w:val="double" w:color="E67800"/>
        </w:rPr>
        <w:t>; or</w:t>
      </w:r>
    </w:p>
    <w:p>
      <w:pPr>
        <w:spacing w:before="120" w:after="120" w:line="278" w:lineRule="auto"/>
        <w:ind w:left="1134" w:hanging="567"/>
        <w:jc w:val="both"/>
      </w:pPr>
      <w:r>
        <w:rPr>
          <w:b w:val="0"/>
          <w:strike w:val="0"/>
          <w:color w:val="E67800"/>
          <w:u w:val="double" w:color="E67800"/>
        </w:rPr>
        <w:t>(b)</w:t>
      </w:r>
      <w:r>
        <w:rPr>
          <w:b w:val="0"/>
          <w:strike w:val="0"/>
          <w:color w:val="E67800"/>
          <w:u w:val="double" w:color="E67800"/>
        </w:rPr>
        <w:tab/>
      </w:r>
      <w:r>
        <w:rPr>
          <w:b w:val="0"/>
          <w:strike w:val="0"/>
          <w:color w:val="E67800"/>
          <w:u w:val="double" w:color="E67800"/>
        </w:rPr>
        <w:t>the supervisory authority that has the competence, where applicable, to review the offer document under Directive 2004/25/EC of the European Parliament and of the Council</w:t>
      </w:r>
      <w:r>
        <w:rPr>
          <w:rStyle w:val="FootnoteReference"/>
          <w:rFonts w:ascii="Arial" w:hAnsi="Arial"/>
          <w:color w:val="E67800"/>
          <w:u w:val="double" w:color="E67800"/>
          <w:sz w:val="22"/>
          <w:szCs w:val="22"/>
          <w:vertAlign w:val="superscript"/>
        </w:rPr>
        <w:footnoteReference w:id="52"/>
      </w:r>
      <w:r>
        <w:rPr>
          <w:b w:val="0"/>
          <w:strike w:val="0"/>
          <w:color w:val="E67800"/>
          <w:u w:val="double" w:color="E67800"/>
        </w:rPr>
        <w:t xml:space="preserve"> has issued a prior approval of the document referred to in point (f) of paragraph 4 or point (e) of paragraph 5 of this Article.</w:t>
      </w:r>
    </w:p>
    <w:p>
      <w:pPr>
        <w:spacing w:before="120" w:after="120" w:line="278" w:lineRule="auto"/>
        <w:ind w:left="567" w:hanging="567"/>
        <w:jc w:val="both"/>
      </w:pPr>
      <w:r>
        <w:rPr>
          <w:b w:val="0"/>
          <w:strike w:val="0"/>
          <w:color w:val="E67800"/>
          <w:u w:val="double" w:color="E67800"/>
        </w:rPr>
        <w:t>6b.</w:t>
        <w:tab/>
        <w:t>The exemptions set out in point (g) of paragraph 4 and in point (f) of paragraph 5 shall apply only to equity securities in respect of which the transaction is not considered to be a reverse acquisition transaction within the meaning of paragraph B19 of IFRS 3, Business Combinations, and only in the following cases:</w:t>
      </w:r>
    </w:p>
    <w:p>
      <w:pPr>
        <w:spacing w:before="120" w:after="120" w:line="278" w:lineRule="auto"/>
        <w:ind w:left="1134" w:hanging="567"/>
        <w:jc w:val="both"/>
      </w:pPr>
      <w:r>
        <w:rPr>
          <w:b w:val="0"/>
          <w:strike w:val="0"/>
          <w:color w:val="E67800"/>
          <w:u w:val="double" w:color="E67800"/>
        </w:rPr>
        <w:t>(a)</w:t>
        <w:tab/>
        <w:t>the equity securities of the acquiring entity have already been admitted to trading on a regulated market prior to the transaction; or</w:t>
      </w:r>
    </w:p>
    <w:p>
      <w:pPr>
        <w:spacing w:before="120" w:after="120" w:line="278" w:lineRule="auto"/>
        <w:ind w:left="1134" w:hanging="567"/>
        <w:jc w:val="both"/>
      </w:pPr>
      <w:r>
        <w:rPr>
          <w:b w:val="0"/>
          <w:strike w:val="0"/>
          <w:color w:val="E67800"/>
          <w:u w:val="double" w:color="E67800"/>
        </w:rPr>
        <w:t>(b)</w:t>
        <w:tab/>
        <w:t>the equity securities of the entities subject to the division have already been admitted to trading on a regulated market prior to the transaction.</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(r)</w:t>
        <w:tab/>
        <w:t>‘approval’ means the positive act at the outcome of the scrutiny by the home Member State’s competent authority of the completeness, the consistency and the comprehensibility of the information given in the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(z)</w:t>
        <w:tab/>
        <w:t>‘durable medium’ means any instrument which: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enables a customer to store information addressed personally to that customer in a way accessible for future reference and for a period adequate for the purposes of the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allows the unchanged reproduction of the information stored.</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rPr>
          <w:rFonts w:ascii="Arial" w:hAnsi="Arial" w:eastAsia="Arial"/>
          <w:b w:val="0"/>
          <w:i w:val="0"/>
          <w:sz w:val="22"/>
        </w:rPr>
        <w:t>1.</w:t>
        <w:tab/>
        <w:t>Without prejudice to Article 1(4), securities shall only be offered to the public in the Union after prior publication of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 a Member State may decide to exempt offers of securities to the public from the obligation to publish a prospectus set out in paragraph 1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offers are not subject to notification in accordance with Article 25;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total consideration of each such offer in the Union is less than a monetary amount calculated over a period of 12 months which shall not exceed EUR 8 000 000.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rPr>
          <w:rFonts w:ascii="Arial" w:hAnsi="Arial" w:eastAsia="Arial"/>
          <w:b w:val="0"/>
          <w:i w:val="0"/>
          <w:sz w:val="22"/>
        </w:rPr>
        <w:t>1.</w:t>
        <w:tab/>
        <w:t>Where an offer of securities to the public or an admission of securities to trading on a regulated market is outside the scope of this Regulation in accordance with Article 1(3), or exempted from the obligation to publish a prospectus in accordance with Article 1(4), 1(5) or 3(2), an issuer, an offeror or a person asking for admission to trading on a regulated market shall be entitled to voluntarily draw up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rPr>
          <w:rFonts w:ascii="Arial" w:hAnsi="Arial" w:eastAsia="Arial"/>
          <w:b w:val="0"/>
          <w:i w:val="0"/>
          <w:sz w:val="22"/>
        </w:rPr>
        <w:t>1.</w:t>
        <w:tab/>
        <w:t>Any subsequent resale of securities which were previously the subject of one or more of the types of offer of securities to the public listed in points (a) to (d) of Article 1(4) shall be considered as a separate offer and the definition set out in point (d) of Article 2 shall apply for the purpose of determining whether that resale is an offer of securities to the public. The placement of securities through financial intermediaries shall be subject to publication of a prospectus unless one of the exemptions listed in points (a) to (d) of Article 1(4) applies in relation to the final placement.</w:t>
      </w:r>
      <w:r>
        <w:rPr>
          <w:rFonts w:ascii="Arial" w:hAnsi="Arial" w:eastAsia="Arial"/>
          <w:vanish/>
          <w:sz w:val="2"/>
        </w:rPr>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t>1.</w:t>
        <w:tab/>
      </w:r>
      <w:r>
        <w:rPr>
          <w:strike w:val="0"/>
        </w:rPr>
        <w:t xml:space="preserve">Without prejudice to </w:t>
      </w:r>
      <w:r>
        <w:rPr>
          <w:strike/>
          <w:color w:val="0066CC"/>
        </w:rPr>
        <w:t>Article</w:t>
      </w:r>
      <w:r>
        <w:rPr>
          <w:strike/>
          <w:color w:val="0066CC"/>
        </w:rPr>
        <w:t xml:space="preserve"> </w:t>
      </w:r>
      <w:r>
        <w:rPr>
          <w:b w:val="0"/>
          <w:strike w:val="0"/>
          <w:color w:val="0066CC"/>
          <w:u w:val="double"/>
        </w:rPr>
        <w:t>Articles</w:t>
      </w:r>
      <w:r>
        <w:rPr>
          <w:b w:val="0"/>
          <w:strike w:val="0"/>
          <w:color w:val="0066CC"/>
          <w:u w:val="double" w:color="0066CC"/>
        </w:rPr>
        <w:t xml:space="preserve"> </w:t>
      </w:r>
      <w:r>
        <w:rPr>
          <w:strike w:val="0"/>
        </w:rPr>
        <w:t>14(2)</w:t>
      </w:r>
      <w:r>
        <w:rPr>
          <w:b w:val="0"/>
          <w:strike w:val="0"/>
          <w:color w:val="0066CC"/>
          <w:u w:val="double"/>
        </w:rPr>
        <w:t>, 14a(2)</w:t>
      </w:r>
      <w:r>
        <w:rPr>
          <w:b w:val="0"/>
          <w:strike w:val="0"/>
          <w:color w:val="0066CC"/>
          <w:u w:val="double" w:color="0066CC"/>
        </w:rPr>
        <w:t xml:space="preserve"> </w:t>
      </w:r>
      <w:r>
        <w:rPr>
          <w:strike w:val="0"/>
        </w:rPr>
        <w:t>and</w:t>
      </w:r>
      <w:r>
        <w:rPr>
          <w:strike/>
          <w:color w:val="0066CC"/>
        </w:rPr>
        <w:t xml:space="preserve"> Article</w:t>
      </w:r>
      <w:r>
        <w:rPr>
          <w:strike w:val="0"/>
        </w:rPr>
        <w:t xml:space="preserve"> 18(1), a prospectus shall contain the necessary information which is material to an investor for making an informed assessment of:</w:t>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information in a prospectus shall be written and presented in an easily analysable, concise and comprehensible form, taking into account the factors set out in the second subparagraph of paragraph 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summary shall be drawn up as a short document written in a concise manner and of a maximum length of seven sides of A4-sized paper when printed. The summary shall:</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summary shall be made up of the following four sections: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section referred to in point (a) of paragraph 4 shall contain: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section referred to in point (d)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r>
    </w:p>
    <w:p>
      <w:pPr>
        <w:spacing w:before="120" w:after="120" w:line="278" w:lineRule="auto"/>
        <w:ind w:left="567" w:hanging="567"/>
        <w:jc w:val="both"/>
      </w:pPr>
      <w:r>
        <w:rPr>
          <w:b w:val="0"/>
          <w:strike w:val="0"/>
          <w:color w:val="0066CC"/>
          <w:u w:val="double" w:color="0066CC"/>
        </w:rPr>
        <w:t>12a.</w:t>
        <w:tab/>
        <w:t>By way of derogation from paragraphs 3 to 12 of this Article, an EU Recovery prospectus drawn up in accordance with Article 14a shall include a summary drawn up in accordance with this paragraph.</w:t>
      </w:r>
    </w:p>
    <w:p>
      <w:pPr>
        <w:spacing w:before="120" w:after="120" w:line="278" w:lineRule="auto"/>
        <w:ind w:left="567"/>
        <w:jc w:val="both"/>
      </w:pPr>
      <w:r>
        <w:rPr>
          <w:b w:val="0"/>
          <w:strike w:val="0"/>
          <w:color w:val="0066CC"/>
          <w:u w:val="double" w:color="0066CC"/>
        </w:rPr>
        <w:t>The summary of an EU Recovery prospectus shall be drawn up as a short document written in a concise manner and of a maximum length of two sides of A4-sized paper when printed.</w:t>
      </w:r>
    </w:p>
    <w:p>
      <w:pPr>
        <w:spacing w:before="120" w:after="120" w:line="278" w:lineRule="auto"/>
        <w:ind w:left="567"/>
        <w:jc w:val="both"/>
      </w:pPr>
      <w:r>
        <w:rPr>
          <w:b w:val="0"/>
          <w:strike w:val="0"/>
          <w:color w:val="0066CC"/>
          <w:u w:val="double" w:color="0066CC"/>
        </w:rPr>
        <w:t>The summary of an EU Recovery prospectus shall not contain cross-references to other parts of the prospectus or incorporate information by reference and shall:</w:t>
      </w:r>
    </w:p>
    <w:p>
      <w:pPr>
        <w:spacing w:before="120" w:after="120" w:line="278" w:lineRule="auto"/>
        <w:ind w:left="1134" w:hanging="567"/>
        <w:jc w:val="both"/>
      </w:pPr>
      <w:r>
        <w:rPr>
          <w:b w:val="0"/>
          <w:strike w:val="0"/>
          <w:color w:val="0066CC"/>
          <w:u w:val="double" w:color="0066CC"/>
        </w:rPr>
        <w:t>(a)</w:t>
        <w:tab/>
        <w:t>be presented and laid out in a way that is easy to read, using characters of readable size;</w:t>
      </w:r>
    </w:p>
    <w:p>
      <w:pPr>
        <w:spacing w:before="120" w:after="120" w:line="278" w:lineRule="auto"/>
        <w:ind w:left="1134" w:hanging="567"/>
        <w:jc w:val="both"/>
      </w:pPr>
      <w:r>
        <w:rPr>
          <w:b w:val="0"/>
          <w:strike w:val="0"/>
          <w:color w:val="0066CC"/>
          <w:u w:val="double" w:color="0066CC"/>
        </w:rPr>
        <w:t>(b)</w:t>
        <w:tab/>
        <w:t>be written in a language and a style that facilitate the understanding of the information, in particular, in language that is clear, non-technical, concise and comprehensible for investors;</w:t>
      </w:r>
    </w:p>
    <w:p>
      <w:pPr>
        <w:spacing w:before="120" w:after="120" w:line="278" w:lineRule="auto"/>
        <w:ind w:left="1134" w:hanging="567"/>
        <w:jc w:val="both"/>
      </w:pPr>
      <w:r>
        <w:rPr>
          <w:b w:val="0"/>
          <w:strike w:val="0"/>
          <w:color w:val="0066CC"/>
          <w:u w:val="double" w:color="0066CC"/>
        </w:rPr>
        <w:t>(c)</w:t>
        <w:tab/>
        <w:t>be made up of the following four sections:</w:t>
      </w:r>
    </w:p>
    <w:p>
      <w:pPr>
        <w:spacing w:before="120" w:after="120" w:line="278" w:lineRule="auto"/>
        <w:ind w:left="1701" w:hanging="567"/>
        <w:jc w:val="both"/>
      </w:pPr>
      <w:r>
        <w:rPr>
          <w:b w:val="0"/>
          <w:strike w:val="0"/>
          <w:color w:val="0066CC"/>
          <w:u w:val="double" w:color="0066CC"/>
        </w:rPr>
        <w:t>(i)</w:t>
        <w:tab/>
        <w:t>an introduction, containing all of the information referred to in paragraph 5 of this Article, including warnings and the date of approval of the EU Recovery prospectus;</w:t>
      </w:r>
    </w:p>
    <w:p>
      <w:pPr>
        <w:spacing w:before="120" w:after="120" w:line="278" w:lineRule="auto"/>
        <w:ind w:left="1701" w:hanging="567"/>
        <w:jc w:val="both"/>
      </w:pPr>
      <w:r>
        <w:rPr>
          <w:b w:val="0"/>
          <w:strike w:val="0"/>
          <w:color w:val="0066CC"/>
          <w:u w:val="double" w:color="0066CC"/>
        </w:rPr>
        <w:t>(ii)</w:t>
        <w:tab/>
        <w:t>key information on the issuer, including, if applicable, a specific reference of not less than 200 words to the business and financial impact on the issuer of the COVID-19 pandemic;</w:t>
      </w:r>
    </w:p>
    <w:p>
      <w:pPr>
        <w:spacing w:before="120" w:after="120" w:line="278" w:lineRule="auto"/>
        <w:ind w:left="1701" w:hanging="567"/>
        <w:jc w:val="both"/>
      </w:pPr>
      <w:r>
        <w:rPr>
          <w:b w:val="0"/>
          <w:strike w:val="0"/>
          <w:color w:val="0066CC"/>
          <w:u w:val="double" w:color="0066CC"/>
        </w:rPr>
        <w:t>(iii)</w:t>
        <w:tab/>
        <w:t>key information on the shares, including the rights attached to those shares and any limitations on those rights;</w:t>
      </w:r>
    </w:p>
    <w:p>
      <w:pPr>
        <w:spacing w:before="120" w:after="120" w:line="278" w:lineRule="auto"/>
        <w:ind w:left="1701" w:hanging="567"/>
        <w:jc w:val="both"/>
      </w:pPr>
      <w:r>
        <w:rPr>
          <w:b w:val="0"/>
          <w:strike w:val="0"/>
          <w:color w:val="0066CC"/>
          <w:u w:val="double" w:color="0066CC"/>
        </w:rPr>
        <w:t>(iv)</w:t>
        <w:tab/>
        <w:t>key information on the offer of shares to the public and/or the admission to trading on a regulated market.</w:t>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r>
    </w:p>
    <w:p>
      <w:pPr>
        <w:spacing w:before="120" w:after="120" w:line="278" w:lineRule="auto"/>
        <w:ind w:left="567"/>
        <w:jc w:val="both"/>
      </w:pPr>
      <w:r>
        <w:rPr>
          <w:rFonts w:ascii="Arial" w:hAnsi="Arial" w:eastAsia="Arial"/>
          <w:b w:val="0"/>
          <w:i w:val="0"/>
          <w:sz w:val="22"/>
        </w:rPr>
        <w:t>After the issuer has had a universal registration document approved by the competent authority for two consecutive financial years, subsequent universal registration documents may be filed with the competent authority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53"/>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However, Member States shall ensure that no civil liability shall attach to any person solely on the basis of the summary pursuant to Article 7 or the specific summary of an EU Growth prospectus pursuant to the second subparagraph of Article 15(1), including any translation thereof, unless: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rPr>
          <w:rFonts w:ascii="Arial" w:hAnsi="Arial" w:eastAsia="Arial"/>
          <w:b w:val="0"/>
          <w:i w:val="0"/>
          <w:sz w:val="22"/>
        </w:rPr>
        <w:t>1.</w:t>
        <w:tab/>
        <w:t>The Commission shall adopt delegated acts in accordance with Article 44 to supplement this Regulation regarding the format of the prospectus, the base prospectus and the final terms, and the schedules defining the specific information to be included in a prospectus, including LEIs and ISINs, avoiding duplication of information when a prospectus is composed of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setting out the schedule defining the minimum information to be included in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delegated acts referred to in paragraphs 1 and 2 shall be based on the standards in the field of financial and non-financial information set out by international securities commission organisations, in particular by the International Organisation of Securities Commissions (IOSCO), and on Annexes I, II and III to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14</w:t>
        <w:br/>
      </w:r>
      <w:r>
        <w:rPr>
          <w:rFonts w:ascii="Arial" w:hAnsi="Arial" w:eastAsia="Arial"/>
          <w:b/>
          <w:i w:val="0"/>
          <w:sz w:val="22"/>
        </w:rPr>
        <w:t>Simplified disclosure regime for secondary issuances</w:t>
      </w:r>
    </w:p>
    <w:p>
      <w:pPr>
        <w:spacing w:before="120" w:after="120" w:line="278" w:lineRule="auto"/>
        <w:ind w:left="567" w:hanging="567"/>
        <w:jc w:val="both"/>
      </w:pPr>
      <w:r>
        <w:rPr>
          <w:rFonts w:ascii="Arial" w:hAnsi="Arial" w:eastAsia="Arial"/>
          <w:b w:val="0"/>
          <w:i w:val="0"/>
          <w:sz w:val="22"/>
        </w:rPr>
        <w:t>1.</w:t>
        <w:tab/>
        <w:t>The following persons may choose to draw up a simplified prospectus under the simplified disclosure regime for secondary issuances, in the case of an offer of securities to the public or of an admission to trading of securities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issuers whose securities have been admitted to trading on a regulated market or an SME growth market continuously for at least the last 18 months and who issue securities fungible with existing securities which have been previously issued;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(b)</w:t>
        <w:tab/>
      </w:r>
      <w:r>
        <w:rPr>
          <w:b w:val="0"/>
          <w:strike w:val="0"/>
          <w:color w:val="E67800"/>
          <w:u w:val="double"/>
        </w:rPr>
        <w:t xml:space="preserve">without prejudice to Article 1(5), </w:t>
      </w:r>
      <w:r>
        <w:rPr>
          <w:strike w:val="0"/>
        </w:rPr>
        <w:t>issuers whose equity securities have been admitted to trading on a regulated market or an SME growth market continuously for at least the last 18 months and who issue non-equity securities</w:t>
      </w:r>
      <w:r>
        <w:rPr>
          <w:b w:val="0"/>
          <w:strike w:val="0"/>
          <w:color w:val="E67800"/>
          <w:u w:val="double"/>
        </w:rPr>
        <w:t xml:space="preserve"> or securities giving access to equity securities fungible with the existing equity securities of the issuer already admitted to trading</w:t>
      </w:r>
      <w:r>
        <w:rPr>
          <w:strike w:val="0"/>
        </w:rPr>
        <w:t>;</w:t>
      </w:r>
    </w:p>
    <w:p>
      <w:pPr>
        <w:spacing w:before="120" w:after="120" w:line="278" w:lineRule="auto"/>
        <w:ind w:left="1134" w:hanging="567"/>
        <w:jc w:val="both"/>
      </w:pPr>
      <w:r>
        <w:rPr>
          <w:rFonts w:ascii="Arial" w:hAnsi="Arial" w:eastAsia="Arial"/>
          <w:b w:val="0"/>
          <w:i w:val="0"/>
          <w:sz w:val="22"/>
        </w:rPr>
        <w:t>(c)</w:t>
        <w:tab/>
        <w:t>offerors of securities admitted to trading on a regulated market or an SME growth market continuously for at least the last 18 months.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(d)</w:t>
        <w:tab/>
        <w:t>issuers whose securities have been offered to the public and admitted to trading on an SME growth market continuously for at least two years, and who have fully complied with reporting and disclosure obligations throughout the period of being admitted to trading, and who seek admission to trading on a regulated market of securities fungible with existing securities which have been previously issued.</w:t>
      </w:r>
    </w:p>
    <w:p>
      <w:pPr>
        <w:spacing w:before="120" w:after="120" w:line="278" w:lineRule="auto"/>
        <w:ind w:left="567"/>
        <w:jc w:val="both"/>
      </w:pPr>
      <w:r>
        <w:rPr>
          <w:rFonts w:ascii="Arial" w:hAnsi="Arial" w:eastAsia="Arial"/>
          <w:b w:val="0"/>
          <w:i w:val="0"/>
          <w:sz w:val="22"/>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By way of derogation from Article 6(1), and without prejudice to Article 18(1), the simplified prospectus shall contain the relevant reduced information which is necessary to enable investors to understand: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prospects of the issuer and the significant changes in the business and the financial position of the issuer and the guarantor that have occurred since the end of the last financial year, if 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 including on its overall capital structure, and the use of the proceeds.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w:t>
      </w:r>
      <w:r>
        <w:rPr>
          <w:rFonts w:ascii="Arial" w:hAnsi="Arial" w:eastAsia="Arial"/>
          <w:vanish/>
          <w:sz w:val="2"/>
        </w:rPr>
      </w:r>
      <w:r>
        <w:rPr>
          <w:b w:val="0"/>
          <w:strike w:val="0"/>
          <w:color w:val="E67800"/>
          <w:u w:val="double" w:color="E67800"/>
        </w:rPr>
        <w:t xml:space="preserve"> Those issuers referred to in point (d) of the first subparagraph of paragraph 1 of this Article that are required to prepare consolidated accounts in line with Directive 2013/34/EU of the European Parliament and of the Council</w:t>
      </w:r>
      <w:r>
        <w:rPr>
          <w:rStyle w:val="FootnoteReference"/>
          <w:rFonts w:ascii="Arial" w:hAnsi="Arial"/>
          <w:color w:val="E67800"/>
          <w:u w:val="double" w:color="E67800"/>
          <w:sz w:val="22"/>
          <w:szCs w:val="22"/>
          <w:vertAlign w:val="superscript"/>
        </w:rPr>
        <w:footnoteReference w:id="54"/>
      </w:r>
      <w:r>
        <w:rPr>
          <w:b w:val="0"/>
          <w:strike w:val="0"/>
          <w:color w:val="E67800"/>
          <w:u w:val="double" w:color="E67800"/>
        </w:rPr>
        <w:t xml:space="preserve">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1606/2002 of the European Parliament and of the Council</w:t>
      </w:r>
      <w:r>
        <w:rPr>
          <w:rStyle w:val="FootnoteReference"/>
          <w:rFonts w:ascii="Arial" w:hAnsi="Arial"/>
          <w:color w:val="E67800"/>
          <w:u w:val="double" w:color="E67800"/>
          <w:sz w:val="22"/>
          <w:szCs w:val="22"/>
          <w:vertAlign w:val="superscript"/>
        </w:rPr>
        <w:footnoteReference w:id="55"/>
      </w:r>
      <w:r>
        <w:rPr>
          <w:b w:val="0"/>
          <w:strike w:val="0"/>
          <w:color w:val="E67800"/>
          <w:u w:val="double" w:color="E67800"/>
        </w:rPr>
        <w:t>.</w:t>
      </w:r>
    </w:p>
    <w:p>
      <w:pPr>
        <w:spacing w:before="120" w:after="120" w:line="278" w:lineRule="auto"/>
        <w:ind w:left="567"/>
        <w:jc w:val="both"/>
      </w:pPr>
      <w:r>
        <w:rPr>
          <w:b w:val="0"/>
          <w:strike w:val="0"/>
          <w:color w:val="E67800"/>
          <w:u w:val="double" w:color="E67800"/>
        </w:rPr>
        <w:t>Those issuers referred to in point (d) of the first subparagraph of paragraph 1 of this Article that are not required to prepare consolidated accounts in line with Directive 2013/34/EU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pPr>
        <w:spacing w:before="120" w:after="120" w:line="278" w:lineRule="auto"/>
        <w:ind w:left="567"/>
        <w:jc w:val="both"/>
      </w:pPr>
      <w:r>
        <w:rPr>
          <w:b w:val="0"/>
          <w:strike w:val="0"/>
          <w:color w:val="E67800"/>
          <w:u w:val="double" w:color="E67800"/>
        </w:rPr>
        <w:t>Third country issuers whose securities have been admitted to trading on an SME growth market shall compile the most recent financial information pursuant to point (a) of the second subparagraph of paragraph 3 of this Article, containing comparative information for the previous year included in the simplified prospectus, in accordance with their national accounting standards, provided that those standards are equivalent to Regulation (EC) No 1606/2002. If those national accounting standards are not equivalent to the International Financial Reporting Standards, the financial information shall be restated pursuant to Regulation (EC) No 1606/2002.</w:t>
      </w:r>
    </w:p>
    <w:p>
      <w:pPr>
        <w:spacing w:before="120" w:after="120" w:line="278" w:lineRule="auto"/>
        <w:ind w:left="567" w:hanging="567"/>
        <w:jc w:val="both"/>
      </w:pPr>
      <w:r>
        <w:rPr>
          <w:rFonts w:ascii="Arial" w:hAnsi="Arial" w:eastAsia="Arial"/>
          <w:b w:val="0"/>
          <w:i w:val="0"/>
          <w:sz w:val="22"/>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schedules shall include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annual and half-yearly financial information published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applicable, profit forecasts and estimates;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 concise summary of the relevant information disclosed under Regulation (EU) No 596/2014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risk factors;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(e)</w:t>
        <w:tab/>
      </w:r>
      <w:r>
        <w:rPr>
          <w:strike w:val="0"/>
        </w:rPr>
        <w:t>for</w:t>
      </w:r>
      <w:r>
        <w:rPr>
          <w:b w:val="0"/>
          <w:strike w:val="0"/>
          <w:color w:val="E67800"/>
          <w:u w:val="double"/>
        </w:rPr>
        <w:t xml:space="preserve"> equity securities, including securities giving access to</w:t>
      </w:r>
      <w:r>
        <w:rPr>
          <w:b w:val="0"/>
          <w:strike w:val="0"/>
          <w:color w:val="E67800"/>
          <w:u w:val="double" w:color="E67800"/>
        </w:rPr>
        <w:t xml:space="preserve"> </w:t>
      </w:r>
      <w:r>
        <w:rPr>
          <w:strike w:val="0"/>
        </w:rPr>
        <w:t>equity securities, the working capital statement, the statement of capitalisation and indebtedness, a disclosure of relevant conflicts of interest and related-party transactions, major shareholders and, where applicable, pro forma financial information.</w:t>
      </w:r>
    </w:p>
    <w:p>
      <w:pPr>
        <w:spacing w:before="120" w:after="120" w:line="278" w:lineRule="auto"/>
        <w:ind w:left="567"/>
        <w:jc w:val="both"/>
      </w:pPr>
      <w:r>
        <w:rPr>
          <w:rFonts w:ascii="Arial" w:hAnsi="Arial" w:eastAsia="Arial"/>
          <w:b w:val="0"/>
          <w:i w:val="0"/>
          <w:sz w:val="22"/>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r>
        <w:rPr>
          <w:rFonts w:ascii="Arial" w:hAnsi="Arial" w:eastAsia="Arial"/>
          <w:vanish/>
          <w:sz w:val="2"/>
        </w:rPr>
      </w:r>
    </w:p>
    <w:p>
      <w:pPr>
        <w:ind w:left="0"/>
        <w:jc w:val="center"/>
      </w:pPr>
      <w:r>
        <w:rPr>
          <w:strike w:val="0"/>
          <w:color w:val="0066CC"/>
          <w:u w:val="double" w:color="0066CC"/>
        </w:rPr>
        <w:t>Article 14a</w:t>
      </w:r>
    </w:p>
    <w:p>
      <w:pPr>
        <w:spacing w:before="120" w:after="120" w:line="278" w:lineRule="auto"/>
        <w:ind w:left="567" w:hanging="567"/>
        <w:jc w:val="both"/>
      </w:pPr>
      <w:r>
        <w:rPr>
          <w:b w:val="0"/>
          <w:strike w:val="0"/>
          <w:color w:val="0066CC"/>
          <w:u w:val="double" w:color="0066CC"/>
        </w:rPr>
        <w:t>1.</w:t>
        <w:tab/>
        <w:t>The following persons may choose to draw up an EU Recovery prospectus under the simplified disclosure regime set out in this Article in the case of an offer of shares to the public or of an admission to trading of shares on a regulated market:</w:t>
      </w:r>
    </w:p>
    <w:p>
      <w:pPr>
        <w:spacing w:before="120" w:after="120" w:line="278" w:lineRule="auto"/>
        <w:ind w:left="1134" w:hanging="567"/>
        <w:jc w:val="both"/>
      </w:pPr>
      <w:r>
        <w:rPr>
          <w:b w:val="0"/>
          <w:strike w:val="0"/>
          <w:color w:val="0066CC"/>
          <w:u w:val="double" w:color="0066CC"/>
        </w:rPr>
        <w:t>(a)</w:t>
        <w:tab/>
        <w:t>issuers whose shares have been admitted to trading on a regulated market continuously for at least the last 18 months and who issue shares fungible with existing shares which have been previously issued;</w:t>
      </w:r>
    </w:p>
    <w:p>
      <w:pPr>
        <w:spacing w:before="120" w:after="120" w:line="278" w:lineRule="auto"/>
        <w:ind w:left="1134" w:hanging="567"/>
        <w:jc w:val="both"/>
      </w:pPr>
      <w:r>
        <w:rPr>
          <w:b w:val="0"/>
          <w:strike w:val="0"/>
          <w:color w:val="0066CC"/>
          <w:u w:val="double" w:color="0066CC"/>
        </w:rPr>
        <w:t>(b)</w:t>
        <w:tab/>
        <w:t>issuers whose shares have already been traded on an SME growth market continuously for at least the last 18 months, provided that a prospectus has been published for the offer of those shares, and who issue shares fungible with existing shares which have been previously issued;</w:t>
      </w:r>
    </w:p>
    <w:p>
      <w:pPr>
        <w:spacing w:before="120" w:after="120" w:line="278" w:lineRule="auto"/>
        <w:ind w:left="1134" w:hanging="567"/>
        <w:jc w:val="both"/>
      </w:pPr>
      <w:r>
        <w:rPr>
          <w:b w:val="0"/>
          <w:strike w:val="0"/>
          <w:color w:val="0066CC"/>
          <w:u w:val="double" w:color="0066CC"/>
        </w:rPr>
        <w:t>(c)</w:t>
        <w:tab/>
        <w:t>offerors of shares admitted to trading on a regulated market or an SME growth market continuously for at least the last 18 months.</w:t>
      </w:r>
    </w:p>
    <w:p>
      <w:pPr>
        <w:spacing w:before="120" w:after="120" w:line="278" w:lineRule="auto"/>
        <w:ind w:left="567"/>
        <w:jc w:val="both"/>
      </w:pPr>
      <w:r>
        <w:rPr>
          <w:b w:val="0"/>
          <w:strike w:val="0"/>
          <w:color w:val="0066CC"/>
          <w:u w:val="double" w:color="0066CC"/>
        </w:rPr>
        <w:t>Issuers may only draw up an EU Recovery prospectus provided that the number of shares intended to be offered represents, together with the number of shares already offered via an EU Recovery prospectus over a period of 12 months, if any, no more than 150 % of the number of shares already admitted to trading on a regulated market or an SME growth market, as the case may be, on the date of approval of the EU Recovery prospectus.</w:t>
      </w:r>
    </w:p>
    <w:p>
      <w:pPr>
        <w:spacing w:before="120" w:after="120" w:line="278" w:lineRule="auto"/>
        <w:ind w:left="567"/>
        <w:jc w:val="both"/>
      </w:pPr>
      <w:r>
        <w:rPr>
          <w:b w:val="0"/>
          <w:strike w:val="0"/>
          <w:color w:val="0066CC"/>
          <w:u w:val="double" w:color="0066CC"/>
        </w:rPr>
        <w:t>The period of 12 months referred to in the second subparagraph shall begin on the date of approval of the EU Recovery prospectus.</w:t>
      </w:r>
    </w:p>
    <w:p>
      <w:pPr>
        <w:spacing w:before="120" w:after="120" w:line="278" w:lineRule="auto"/>
        <w:ind w:left="567" w:hanging="567"/>
        <w:jc w:val="both"/>
      </w:pPr>
      <w:r>
        <w:rPr>
          <w:b w:val="0"/>
          <w:strike w:val="0"/>
          <w:color w:val="0066CC"/>
          <w:u w:val="double" w:color="0066CC"/>
        </w:rPr>
        <w:t>2.</w:t>
        <w:tab/>
        <w:t>By way of derogation from Article 6(1), and without prejudice to Article 18(1), the EU Recovery prospectus shall contain the relevant reduced information which is necessary to enable investors to understand:</w:t>
      </w:r>
    </w:p>
    <w:p>
      <w:pPr>
        <w:spacing w:before="120" w:after="120" w:line="278" w:lineRule="auto"/>
        <w:ind w:left="1134" w:hanging="567"/>
        <w:jc w:val="both"/>
      </w:pPr>
      <w:r>
        <w:rPr>
          <w:b w:val="0"/>
          <w:strike w:val="0"/>
          <w:color w:val="0066CC"/>
          <w:u w:val="double" w:color="0066CC"/>
        </w:rPr>
        <w:t>(a)</w:t>
        <w:tab/>
        <w:t>the prospects and financial performance of the issuer and the significant changes in the financial and business position of the issuer that have occurred since the end of the last financial year, if any, as well as its financial and non-financial long-term business strategy and objectives, including, if applicable, a specific reference of not less than 400 words to the business and financial impact of the COVID-19 pandemic on the issuer and the anticipated future impact of the same;</w:t>
      </w:r>
    </w:p>
    <w:p>
      <w:pPr>
        <w:spacing w:before="120" w:after="120" w:line="278" w:lineRule="auto"/>
        <w:ind w:left="1134" w:hanging="567"/>
        <w:jc w:val="both"/>
      </w:pPr>
      <w:r>
        <w:rPr>
          <w:b w:val="0"/>
          <w:strike w:val="0"/>
          <w:color w:val="0066CC"/>
          <w:u w:val="double" w:color="0066CC"/>
        </w:rPr>
        <w:t>(b)</w:t>
        <w:tab/>
        <w:t>the essential information on the shares, including the rights attached to those shares and any limitations on those rights, the reasons for the issuance and its impact on the issuer, including on the overall capital structure of the issuer, as well as a disclosure of capitalisation and indebtedness, a working capital statement, and the use of proceeds.</w:t>
      </w:r>
    </w:p>
    <w:p>
      <w:pPr>
        <w:spacing w:before="120" w:after="120" w:line="278" w:lineRule="auto"/>
        <w:ind w:left="567" w:hanging="567"/>
        <w:jc w:val="both"/>
      </w:pPr>
      <w:r>
        <w:rPr>
          <w:b w:val="0"/>
          <w:strike w:val="0"/>
          <w:color w:val="0066CC"/>
          <w:u w:val="double" w:color="0066CC"/>
        </w:rPr>
        <w:t>3.</w:t>
      </w:r>
      <w:r>
        <w:rPr>
          <w:b w:val="0"/>
          <w:strike w:val="0"/>
          <w:color w:val="0066CC"/>
          <w:u w:val="double" w:color="0066CC"/>
        </w:rPr>
        <w:tab/>
      </w:r>
      <w:r>
        <w:rPr>
          <w:b w:val="0"/>
          <w:strike w:val="0"/>
          <w:color w:val="0066CC"/>
          <w:u w:val="double" w:color="0066CC"/>
        </w:rPr>
        <w:t>The information contained in the EU Recovery prospectus shall be written and presented in an easily analysable, concise and comprehensible form and shall enable investors, especially retail investors, to make an informed investment decision, taking into account the regulated information that has already been disclosed to the public pursuant to Directive 2004/109/EC, where applicable, Regulation (EU) No 596/2014 and, where applicable, information referred to in Commission Delegated Regulation (EU) 2017/565</w:t>
      </w:r>
      <w:r>
        <w:rPr>
          <w:rStyle w:val="FootnoteReference"/>
          <w:rFonts w:ascii="Arial" w:hAnsi="Arial"/>
          <w:color w:val="0066CC"/>
          <w:u w:val="double" w:color="0066CC"/>
          <w:sz w:val="22"/>
          <w:szCs w:val="22"/>
          <w:vertAlign w:val="superscript"/>
        </w:rPr>
        <w:footnoteReference w:id="56"/>
      </w:r>
      <w:r>
        <w:rPr>
          <w:b w:val="0"/>
          <w:strike w:val="0"/>
          <w:color w:val="0066CC"/>
          <w:u w:val="double" w:color="0066CC"/>
        </w:rPr>
        <w:t>.</w:t>
      </w:r>
    </w:p>
    <w:p>
      <w:pPr>
        <w:spacing w:before="120" w:after="120" w:line="278" w:lineRule="auto"/>
        <w:ind w:left="567" w:hanging="567"/>
        <w:jc w:val="both"/>
      </w:pPr>
      <w:r>
        <w:rPr>
          <w:b w:val="0"/>
          <w:strike w:val="0"/>
          <w:color w:val="0066CC"/>
          <w:u w:val="double" w:color="0066CC"/>
        </w:rPr>
        <w:t>4.</w:t>
        <w:tab/>
        <w:t>The EU Recovery prospectus shall be drawn up as a single document containing the minimum information set out in Annex Va. It shall be of a maximum length of 30 sides of A4-sized paper when printed and shall be presented and laid out in a way that is easy to read, using characters of readable size.</w:t>
      </w:r>
    </w:p>
    <w:p>
      <w:pPr>
        <w:spacing w:before="120" w:after="120" w:line="278" w:lineRule="auto"/>
        <w:ind w:left="567" w:hanging="567"/>
        <w:jc w:val="both"/>
      </w:pPr>
      <w:r>
        <w:rPr>
          <w:b w:val="0"/>
          <w:strike w:val="0"/>
          <w:color w:val="0066CC"/>
          <w:u w:val="double" w:color="0066CC"/>
        </w:rPr>
        <w:t>5.</w:t>
        <w:tab/>
        <w:t>Neither the summary nor the information incorporated by reference in accordance with Article 19 shall be taken into account as regards the maximum length referred to in paragraph 4 of this Article.</w:t>
      </w:r>
    </w:p>
    <w:p>
      <w:pPr>
        <w:spacing w:before="120" w:after="120" w:line="278" w:lineRule="auto"/>
        <w:ind w:left="567" w:hanging="567"/>
        <w:jc w:val="both"/>
      </w:pPr>
      <w:r>
        <w:rPr>
          <w:b w:val="0"/>
          <w:strike w:val="0"/>
          <w:color w:val="0066CC"/>
          <w:u w:val="double" w:color="0066CC"/>
        </w:rPr>
        <w:t>6.</w:t>
        <w:tab/>
        <w:t>Issuers may decide the order in which the information set out in Annex Va is set out in the EU Recovery prospectus.</w:t>
      </w:r>
    </w:p>
    <w:p>
      <w:pPr>
        <w:spacing w:before="120" w:after="120" w:line="278" w:lineRule="auto"/>
        <w:ind w:left="0"/>
        <w:jc w:val="center"/>
      </w:pPr>
      <w:r>
        <w:rPr>
          <w:rFonts w:ascii="Arial" w:hAnsi="Arial" w:eastAsia="Arial"/>
          <w:b w:val="0"/>
          <w:i/>
          <w:sz w:val="22"/>
        </w:rPr>
        <w:t>Article 15</w:t>
        <w:br/>
      </w:r>
      <w:r>
        <w:rPr>
          <w:rFonts w:ascii="Arial" w:hAnsi="Arial" w:eastAsia="Arial"/>
          <w:b/>
          <w:i w:val="0"/>
          <w:sz w:val="22"/>
        </w:rPr>
        <w:t>EU Growth prospectus</w:t>
      </w:r>
    </w:p>
    <w:p>
      <w:pPr>
        <w:spacing w:before="120" w:after="120" w:line="278" w:lineRule="auto"/>
        <w:ind w:left="567" w:hanging="567"/>
        <w:jc w:val="both"/>
      </w:pPr>
      <w:r>
        <w:rPr>
          <w:rFonts w:ascii="Arial" w:hAnsi="Arial" w:eastAsia="Arial"/>
          <w:b w:val="0"/>
          <w:i w:val="0"/>
          <w:sz w:val="22"/>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SMEs;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(ca)</w:t>
        <w:tab/>
        <w:t>issuers, other than SMEs, offering shares to the public at the same time as seeking admission of those shares to trading on an SME growth market, provided that such issuers have no shares already admitted to trading on an SME growth market and the combined value of the following two items is less than EUR 200 000 000:</w:t>
      </w:r>
    </w:p>
    <w:p>
      <w:pPr>
        <w:spacing w:before="120" w:after="120" w:line="278" w:lineRule="auto"/>
        <w:ind w:left="1701" w:hanging="567"/>
        <w:jc w:val="both"/>
      </w:pPr>
      <w:r>
        <w:rPr>
          <w:b w:val="0"/>
          <w:strike w:val="0"/>
          <w:color w:val="E67800"/>
          <w:u w:val="double" w:color="E67800"/>
        </w:rPr>
        <w:t>(i)</w:t>
        <w:tab/>
        <w:t>the final offer price, or the maximum price in the case referred to in point (b)(i) of Article 17(1);</w:t>
      </w:r>
    </w:p>
    <w:p>
      <w:pPr>
        <w:spacing w:before="120" w:after="120" w:line="278" w:lineRule="auto"/>
        <w:ind w:left="1701" w:hanging="567"/>
        <w:jc w:val="both"/>
      </w:pPr>
      <w:r>
        <w:rPr>
          <w:b w:val="0"/>
          <w:strike w:val="0"/>
          <w:color w:val="E67800"/>
          <w:u w:val="double" w:color="E67800"/>
        </w:rPr>
        <w:t>(ii)</w:t>
        <w:tab/>
        <w:t>the total number of shares outstanding immediately after the share offer to the public, calculated either on the basis of the amount of shares offered to the public or, in the case referred to in point (b)(i) of Article 17(1), on the basis of the maximum amount of shares offered to the public.</w:t>
      </w:r>
    </w:p>
    <w:p>
      <w:pPr>
        <w:spacing w:before="120" w:after="120" w:line="278" w:lineRule="auto"/>
        <w:ind w:left="1134" w:hanging="567"/>
        <w:jc w:val="both"/>
      </w:pPr>
      <w:r>
        <w:rPr>
          <w:rFonts w:ascii="Arial" w:hAnsi="Arial" w:eastAsia="Arial"/>
          <w:b w:val="0"/>
          <w:i w:val="0"/>
          <w:sz w:val="22"/>
        </w:rPr>
        <w:t>(d)</w:t>
        <w:tab/>
        <w:t>offerors of securities issued by issuers referred to in points (a) and (b).</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specifying the reduced content and the standardised format and sequence for the EU Growth prospectus, as well as the reduced content and the standardised format of the specific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r>
        <w:rPr>
          <w:rFonts w:ascii="Arial" w:hAnsi="Arial" w:eastAsia="Arial"/>
          <w:vanish/>
          <w:sz w:val="2"/>
        </w:rPr>
      </w:r>
    </w:p>
    <w:p>
      <w:pPr>
        <w:spacing w:before="120" w:after="120" w:line="278" w:lineRule="auto"/>
        <w:ind w:left="567"/>
        <w:jc w:val="both"/>
      </w:pPr>
      <w:r>
        <w:rPr>
          <w:rFonts w:ascii="Arial" w:hAnsi="Arial" w:eastAsia="Arial"/>
          <w:b w:val="0"/>
          <w:i w:val="0"/>
          <w:sz w:val="22"/>
        </w:rPr>
        <w:t>When specifying the reduced content and standardised format and sequence of the EU Growth prospectus, the Commission shall calibrate the requirements to focus 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that is material and relevant for investors when making an investment decision;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ensure proportionality between the size of the company and the cost of producing a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doing so, the Commission shall take into account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need to ensure that the EU Growth prospectus is significantly lighter than the standard prospectus, in terms of administrative burdens and costs to issuers;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facilitate access to capital markets for SMEs and minimise costs for SMEs while ensuring investor confidence in investing in such companies;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various types of information relating to equity and non-equity securities needed by investors.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delegated acts shall be based on Annexes IV and V.</w:t>
      </w:r>
      <w:r>
        <w:rPr>
          <w:rFonts w:ascii="Arial" w:hAnsi="Arial" w:eastAsia="Arial"/>
          <w:vanish/>
          <w:sz w:val="2"/>
        </w:rPr>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rPr>
          <w:rFonts w:ascii="Arial" w:hAnsi="Arial" w:eastAsia="Arial"/>
          <w:b w:val="0"/>
          <w:i w:val="0"/>
          <w:sz w:val="22"/>
        </w:rPr>
        <w:t>1.</w:t>
        <w:tab/>
        <w:t>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prospectus, the issuer, the offeror or the person asking for admission to trading on a regulated market shall assess the materiality of the risk factors based on the probability of their occurrence and the expected magnitude of their negative impact.</w:t>
      </w:r>
      <w:r>
        <w:rPr>
          <w:rFonts w:ascii="Arial" w:hAnsi="Arial" w:eastAsia="Arial"/>
          <w:vanish/>
          <w:sz w:val="2"/>
        </w:rPr>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r>
    </w:p>
    <w:p>
      <w:pPr>
        <w:spacing w:before="120" w:after="120" w:line="278" w:lineRule="auto"/>
        <w:ind w:left="567"/>
        <w:jc w:val="both"/>
      </w:pPr>
      <w:r>
        <w:rPr>
          <w:rFonts w:ascii="Arial" w:hAnsi="Arial" w:eastAsia="Arial"/>
          <w:b w:val="0"/>
          <w:i w:val="0"/>
          <w:sz w:val="22"/>
        </w:rPr>
        <w:t>The risk factors shall be presented in a limited number of categories depending on their nature. In each category the most material risk factors shall be mentioned first according to the assessment provided for in the second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acceptances of the purchase or subscription of securities may be withdrawn for not less than two working days after the final offer price and/or amount of securities to be offered to the public has been filed;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documents which have been approved by a competent authority, or filed with it, in accordance with this Regulation or Directive 2003/71/EC;</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documents referred to in points (f) to (i) of Article 1(4) and points (e) to (h) and point (j)(v) of the first subparagraph of Article 1(5);</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management reports as referred to in Chapter 5 of Directive 2013/34/EU of the European Parliament and of the Council</w:t>
      </w:r>
      <w:r>
        <w:rPr>
          <w:rStyle w:val="FootnoteReference"/>
          <w:rFonts w:ascii="Arial" w:hAnsi="Arial"/>
          <w:sz w:val="22"/>
          <w:szCs w:val="22"/>
          <w:vertAlign w:val="superscript"/>
        </w:rPr>
        <w:footnoteReference w:id="57"/>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58"/>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59"/>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competent authority fails to take a decision on the prospectus within the time limits laid down in the first subparagraph of this paragraph and paragraphs 3 and 6, such failure shall not be deemed to constitute approval of the application.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r>
    </w:p>
    <w:p>
      <w:pPr>
        <w:spacing w:before="120" w:after="120" w:line="278" w:lineRule="auto"/>
        <w:ind w:left="567" w:hanging="567"/>
        <w:jc w:val="both"/>
      </w:pPr>
      <w:r>
        <w:rPr>
          <w:b w:val="0"/>
          <w:strike w:val="0"/>
          <w:color w:val="0066CC"/>
          <w:u w:val="double" w:color="0066CC"/>
        </w:rPr>
        <w:t>6a.</w:t>
        <w:tab/>
        <w:t>By way of derogation from paragraphs 2 and 4, the time limits set out in the first subparagraph of paragraph 2 and paragraph 4 shall be reduced to seven working days for an EU Recovery prospectus. The issuer shall inform the competent authority at least five working days before the date envisaged for the submission of an application for approval.</w:t>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Commission shall, by 21 January 2019, adopt 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an initial offer to the public of a class of shares that is admitted to trading on a regulated market for the first time, the prospectus shall be made available to the public at least six working days before the end of the offer.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r>
    </w:p>
    <w:p>
      <w:pPr>
        <w:spacing w:before="120" w:after="120" w:line="278" w:lineRule="auto"/>
        <w:ind w:left="567" w:hanging="567"/>
        <w:jc w:val="both"/>
      </w:pPr>
      <w:r>
        <w:rPr>
          <w:b w:val="0"/>
          <w:strike w:val="0"/>
          <w:color w:val="0066CC"/>
          <w:u w:val="double" w:color="0066CC"/>
        </w:rPr>
        <w:t>5a.</w:t>
        <w:tab/>
        <w:t>An EU Recovery prospectus shall be classified in the storage mechanism referred to in paragraph 6 of this Article. The data used for the classification of prospectuses drawn up in accordance with Article 14 may be used for the classification of EU Recovery prospectuses drawn up in accordance with Article 14a, provided that the two types of prospectuses are differentiated in that storage mechanism.</w:t>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 copy of the prospectus on a durable medium shall be delivered to any potential investor, upon request and free of charge, by the issuer, the offeror, the person asking for admission to trading on a regulated market or the financial intermediaries placing or selling the securities.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prospectus relates to an offer of securities to the public, investors who have already agreed to purchase or subscribe for the securities before the supplement is published shall have the right, exercisable within two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supplement shall contain a prominent statement concerning the right of withdrawal, which clearly states: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period in which investors can exercise their right of withdrawal;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whom investors may contact should they wish to exercise the right of withdrawal.</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b w:val="0"/>
          <w:strike w:val="0"/>
          <w:color w:val="0066CC"/>
          <w:u w:val="double" w:color="0066CC"/>
        </w:rPr>
        <w:t>2a.</w:t>
        <w:tab/>
        <w:t>By way of derogation from paragraph 2, from 18 March 2021 to 31 December 2022, where the prospectus relates to an offer of securities to the public, investors who have already agreed to purchase or subscribe for the securities before the supplement is published shall have the right, exercisable within three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pPr>
        <w:spacing w:before="120" w:after="120" w:line="278" w:lineRule="auto"/>
        <w:ind w:left="567"/>
        <w:jc w:val="both"/>
      </w:pPr>
      <w:r>
        <w:rPr>
          <w:b w:val="0"/>
          <w:strike w:val="0"/>
          <w:color w:val="0066CC"/>
          <w:u w:val="double" w:color="0066CC"/>
        </w:rPr>
        <w:t>The supplement shall contain a prominent statement concerning the right of withdrawal, which clearly states:</w:t>
      </w:r>
    </w:p>
    <w:p>
      <w:pPr>
        <w:spacing w:before="120" w:after="120" w:line="278" w:lineRule="auto"/>
        <w:ind w:left="1134" w:hanging="567"/>
        <w:jc w:val="both"/>
      </w:pPr>
      <w:r>
        <w:rPr>
          <w:b w:val="0"/>
          <w:strike w:val="0"/>
          <w:color w:val="0066CC"/>
          <w:u w:val="double" w:color="0066CC"/>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pPr>
        <w:spacing w:before="120" w:after="120" w:line="278" w:lineRule="auto"/>
        <w:ind w:left="1134" w:hanging="567"/>
        <w:jc w:val="both"/>
      </w:pPr>
      <w:r>
        <w:rPr>
          <w:b w:val="0"/>
          <w:strike w:val="0"/>
          <w:color w:val="0066CC"/>
          <w:u w:val="double" w:color="0066CC"/>
        </w:rPr>
        <w:t>(b)</w:t>
        <w:tab/>
        <w:t>the period in which investors can exercise their right of withdrawal; and</w:t>
      </w:r>
    </w:p>
    <w:p>
      <w:pPr>
        <w:spacing w:before="120" w:after="120" w:line="278" w:lineRule="auto"/>
        <w:ind w:left="1134" w:hanging="567"/>
        <w:jc w:val="both"/>
      </w:pPr>
      <w:r>
        <w:rPr>
          <w:b w:val="0"/>
          <w:strike w:val="0"/>
          <w:color w:val="0066CC"/>
          <w:u w:val="double" w:color="0066CC"/>
        </w:rPr>
        <w:t>(c)</w:t>
        <w:tab/>
        <w:t>whom investors may contact should they wish to exercise the right of withdrawal.</w:t>
      </w:r>
    </w:p>
    <w:p>
      <w:pPr>
        <w:spacing w:before="120" w:after="120" w:line="278" w:lineRule="auto"/>
        <w:ind w:left="567" w:hanging="567"/>
        <w:jc w:val="both"/>
      </w:pPr>
      <w:r>
        <w:rPr>
          <w:rFonts w:ascii="Arial" w:hAnsi="Arial" w:eastAsia="Arial"/>
          <w:b w:val="0"/>
          <w:i w:val="0"/>
          <w:sz w:val="22"/>
        </w:rPr>
        <w:t>3.</w:t>
        <w:tab/>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r>
    </w:p>
    <w:p>
      <w:pPr>
        <w:spacing w:before="120" w:after="120" w:line="278" w:lineRule="auto"/>
        <w:ind w:left="567" w:hanging="567"/>
        <w:jc w:val="both"/>
      </w:pPr>
      <w:r>
        <w:rPr>
          <w:b w:val="0"/>
          <w:strike w:val="0"/>
          <w:color w:val="0066CC"/>
          <w:u w:val="double" w:color="0066CC"/>
        </w:rPr>
        <w:t>3a.</w:t>
        <w:tab/>
        <w:t>By way of derogation from paragraph 3, from 18 March 2021 to 31 December 2022, where investors purchase or subscribe securities through a financial intermediary between the time when the prospectus for those securities is approved and the closing of the initial offer period, that financial intermediary shall inform those investors of the possibility of a supplement being published, where and when it would be published and that the financial intermediary would assist them in exercising their right to withdraw acceptances in such a case.</w:t>
      </w:r>
    </w:p>
    <w:p>
      <w:pPr>
        <w:spacing w:before="120" w:after="120" w:line="278" w:lineRule="auto"/>
        <w:ind w:left="567"/>
        <w:jc w:val="both"/>
      </w:pPr>
      <w:r>
        <w:rPr>
          <w:b w:val="0"/>
          <w:strike w:val="0"/>
          <w:color w:val="0066CC"/>
          <w:u w:val="double" w:color="0066CC"/>
        </w:rPr>
        <w:t>Where the investors referred to in the first subparagraph of this paragraph have the right of withdrawal referred to in paragraph 2a, the financial intermediary shall contact those investors by the end of the first working day following that on which the supplement is published.</w:t>
      </w:r>
    </w:p>
    <w:p>
      <w:pPr>
        <w:spacing w:before="120" w:after="120" w:line="278" w:lineRule="auto"/>
        <w:ind w:left="567"/>
        <w:jc w:val="both"/>
      </w:pPr>
      <w:r>
        <w:rPr>
          <w:b w:val="0"/>
          <w:strike w:val="0"/>
          <w:color w:val="0066CC"/>
          <w:u w:val="double" w:color="0066CC"/>
        </w:rPr>
        <w:t>Where the securities are purchased or subscribed directly from the issuer, that issuer shall inform investors of the possibility of a supplement being published and where it would be published and that, in such a case, they could have a right to withdraw the acceptance.</w:t>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rPr>
          <w:rFonts w:ascii="Arial" w:hAnsi="Arial" w:eastAsia="Arial"/>
          <w:b w:val="0"/>
          <w:i w:val="0"/>
          <w:sz w:val="22"/>
        </w:rPr>
        <w:t>1.</w:t>
        <w:tab/>
        <w:t>Where an offer of securities to the public is made or admission to trading on a regulated market is sought only in the home Member State, the prospectus shall be drawn up in a language accepted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an offer of securities to the public is made or admission to trading on a regulated market is sought in one or more Member States excluding the home Member State, the prospectus shall be drawn up either in a language accepted by the competent authorities of those Member States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and the summary of the individual issue shall be drawn up in the same language as the language of the approved base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rPr>
          <w:rFonts w:ascii="Arial" w:hAnsi="Arial" w:eastAsia="Arial"/>
          <w:b w:val="0"/>
          <w:i w:val="0"/>
          <w:sz w:val="22"/>
        </w:rPr>
        <w:t>1.</w:t>
        <w:tab/>
        <w:t>The competent authority of the home Member State of a third country issuer may approve a prospectus for an offer of securities to the public or for admission to trading on a regulated market, drawn up in accordance with, and which is subject to, the national laws of the third country issuer,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requirements imposed by those third country laws are equivalent to the requirements under this Regulation;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competent authority of the home Member State has concluded cooperation arrangements with the relevant supervisory authorities of the third country issuer in accordance with Article 30.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case of an offer to the public or admission to trading on a regulated market of securities issued by a third country issuer, in a Member State other than the home Member State, the requirements set out in Articles 24, 25 and 27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Commission is empowered to adopt delegated acts in accordance with Article 44 to supplement this Regulation by establishing general equivalence criteria, based on the requirements laid down in Articles 6, 7, 8 and 13.</w:t>
      </w:r>
      <w:r>
        <w:rPr>
          <w:rFonts w:ascii="Arial" w:hAnsi="Arial" w:eastAsia="Arial"/>
          <w:vanish/>
          <w:sz w:val="2"/>
        </w:rPr>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rPr>
          <w:rFonts w:ascii="Arial" w:hAnsi="Arial" w:eastAsia="Arial"/>
          <w:b w:val="0"/>
          <w:i w:val="0"/>
          <w:sz w:val="22"/>
        </w:rPr>
        <w:t>1.</w:t>
        <w:tab/>
        <w:t>For the purpose of Article 29 and, where deemed necessary, for the purpose of Article 28, the competent authorities of Member States shall conclude cooperation arrangements with supervisory authorities of third countries concerning the exchange of information with supervisory authorities in third countries and the enforcement of obligations arising under this Regulation in third countries unless that third country, in accordance with a delegated act in force adopted by the Commission pursuant to Article 9 of Directive (EU) 2015/849 of the European Parliament and of the Council</w:t>
      </w:r>
      <w:r>
        <w:rPr>
          <w:rStyle w:val="FootnoteReference"/>
          <w:rFonts w:ascii="Arial" w:hAnsi="Arial"/>
          <w:sz w:val="22"/>
          <w:szCs w:val="22"/>
          <w:vertAlign w:val="superscript"/>
        </w:rPr>
        <w:footnoteReference w:id="60"/>
      </w:r>
      <w:r>
        <w:rPr>
          <w:rFonts w:ascii="Arial" w:hAnsi="Arial" w:eastAsia="Arial"/>
          <w:b w:val="0"/>
          <w:i w:val="0"/>
          <w:sz w:val="22"/>
        </w:rPr>
        <w:t>, is on the list of jurisdictions which have strategic deficiencies in their national anti-money laundering and countering the financing of terrorism regimes that pose significant threats to the financial system of the Union. Those cooperation arrangements shall ensure at least an efficient exchange of information that allows the competent authorities to carry out their duties under this Regulation.</w:t>
      </w:r>
      <w:r>
        <w:rPr>
          <w:rFonts w:ascii="Arial" w:hAnsi="Arial" w:eastAsia="Arial"/>
          <w:vanish/>
          <w:sz w:val="2"/>
        </w:rPr>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For the purpose of Article 29 and, where deemed necessary, for the purpose of Article 28, ESMA shall facilitate and coordinate the development of cooperation arrangements between the competent authorities and the relevant supervisory authorities of third countries.</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authorities shall conclude cooperation arrangements on exchange of information with the supervisory authorities of third countries only where the information disclosed is subject to guarantees of professional secrecy which are at least equivalent to those set out in Article 35. Such exchange of information must be intended for the performance of the tasks of those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determine the minimum content of the cooperation arrangements referred to in paragraph 1 and the template document to be used therefor.</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61"/>
      </w:r>
      <w:r>
        <w:rPr>
          <w:rFonts w:ascii="Arial" w:hAnsi="Arial" w:eastAsia="Arial"/>
          <w:b w:val="0"/>
          <w:i w:val="0"/>
          <w:sz w:val="22"/>
        </w:rPr>
        <w:t>, until such prohibition or restriction has ceased;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infringements of Article 3, Article 5, Article 6, Article 7(1) to (11), Article 8, Article 9, Article 10, Article 11(1) and (3), Article 14(1) and (2), Article 15(1), Article 16(1), (2) and (3), Article 17, Article 18, Article 19(1) to (3), Article 20(1), Article 21(1) to (4) and (7) to (11), Article 22(2) to (5), Article 23 (1), (2), (3) and (5), and Article 27;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r>
      <w:r>
        <w:rPr>
          <w:rFonts w:ascii="Arial" w:hAnsi="Arial" w:eastAsia="Arial"/>
          <w:vanish/>
          <w:sz w:val="2"/>
        </w:rPr>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power to adopt delegated acts referred to in Article 1(7), Article 9(14), Article 13(1) and (2), Article 14(3), Article 15(2), Article 16(5), Article 20(11) and Article 29(3) shall be conferred on the Commission for an indeterminate period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delegation of powers referred to in Article 1(7), Article 9(14), Article 13(1) and (2), Article 14(3), Article 15(2), Article 16(5), Article 20(11) and Article 29(3)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delegated act adopted pursuant to Article 1(7), Article 9(14), Article 13(1) and (2), Article 14(3), Article 15(2), Article 16(5), Article 20(11) and Article 29(3) shall enter into force only if no objection has been expressed either by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r>
        <w:rPr>
          <w:rFonts w:ascii="Arial" w:hAnsi="Arial" w:eastAsia="Arial"/>
          <w:vanish/>
          <w:sz w:val="2"/>
        </w:rPr>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62"/>
      </w:r>
      <w:r>
        <w:rPr>
          <w:rFonts w:ascii="Arial" w:hAnsi="Arial" w:eastAsia="Arial"/>
          <w:b w:val="0"/>
          <w:i w:val="0"/>
          <w:sz w:val="22"/>
        </w:rPr>
        <w:t>. That committee shall be a committee within the meaning of Regulation (EU) No 182/2011.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types of issuers, in particular the categories of persons referred to in points (a) to (d) of Article 15(1);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analysis of the extent to which the disclosure regimes set out in Articles 14 and 15 and the universal registration document referred to in Article 9 are used throughout the Union;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r>
      <w:r>
        <w:rPr>
          <w:rFonts w:ascii="Arial" w:hAnsi="Arial" w:eastAsia="Arial"/>
          <w:vanish/>
          <w:sz w:val="2"/>
        </w:rPr>
      </w:r>
    </w:p>
    <w:p>
      <w:pPr>
        <w:ind w:left="0"/>
        <w:jc w:val="center"/>
      </w:pPr>
      <w:r>
        <w:rPr>
          <w:strike w:val="0"/>
          <w:color w:val="0066CC"/>
          <w:u w:val="double" w:color="0066CC"/>
        </w:rPr>
        <w:t>Article 47a</w:t>
      </w:r>
    </w:p>
    <w:p>
      <w:pPr>
        <w:spacing w:before="120" w:after="120" w:line="278" w:lineRule="auto"/>
        <w:ind w:left="0"/>
        <w:jc w:val="both"/>
      </w:pPr>
      <w:r>
        <w:rPr>
          <w:b w:val="0"/>
          <w:strike w:val="0"/>
          <w:color w:val="0066CC"/>
          <w:u w:val="double" w:color="0066CC"/>
        </w:rPr>
        <w:t>The EU Recovery prospectus regime set out in Article 7(12a), Article 14a, Article 20(6a) and Article 21(5a) expires on 31 December 2022.</w:t>
      </w:r>
    </w:p>
    <w:p>
      <w:pPr>
        <w:ind w:left="0"/>
        <w:jc w:val="both"/>
      </w:pPr>
      <w:r>
        <w:rPr>
          <w:b w:val="0"/>
          <w:strike w:val="0"/>
          <w:color w:val="0066CC"/>
          <w:u w:val="double" w:color="0066CC"/>
        </w:rPr>
        <w:t>EU Recovery prospectuses approved between 18 March 2021 and 31 December 2022 shall continue to be governed in accordance with Article 14a until the end of their validity or until 12 months have elapsed after 31 December 2022, whichever occurs first.</w:t>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rPr>
          <w:rFonts w:ascii="Arial" w:hAnsi="Arial" w:eastAsia="Arial"/>
          <w:b w:val="0"/>
          <w:i w:val="0"/>
          <w:sz w:val="22"/>
        </w:rPr>
        <w:t>1.</w:t>
        <w:tab/>
        <w:t>Before 21 July 2022 the Commission shall present a report to the European Parliament and the Council on the application of this Regulation, accompanied where appropriate by a legislative proposal.</w:t>
      </w:r>
      <w:r>
        <w:rPr>
          <w:rFonts w:ascii="Arial" w:hAnsi="Arial" w:eastAsia="Arial"/>
          <w:vanish/>
          <w:sz w:val="2"/>
        </w:rPr>
      </w:r>
    </w:p>
    <w:p>
      <w:pPr>
        <w:spacing w:before="120" w:after="120" w:line="278" w:lineRule="auto"/>
        <w:ind w:left="567" w:hanging="567"/>
        <w:jc w:val="both"/>
      </w:pPr>
      <w:r>
        <w:t>2.</w:t>
        <w:tab/>
      </w:r>
      <w:r>
        <w:rPr>
          <w:strike w:val="0"/>
        </w:rPr>
        <w:t>The report shall assess, inter alia, whether the prospectus summary, the disclosure regimes set out in Articles 14</w:t>
      </w:r>
      <w:r>
        <w:rPr>
          <w:b w:val="0"/>
          <w:strike w:val="0"/>
          <w:color w:val="0066CC"/>
          <w:u w:val="double"/>
        </w:rPr>
        <w:t>, 14a</w:t>
      </w:r>
      <w:r>
        <w:rPr>
          <w:b w:val="0"/>
          <w:strike w:val="0"/>
          <w:color w:val="0066CC"/>
          <w:u w:val="double" w:color="0066CC"/>
        </w:rPr>
        <w:t xml:space="preserve"> </w:t>
      </w:r>
      <w:r>
        <w:rPr>
          <w:strike w:val="0"/>
        </w:rPr>
        <w:t>and 15 and the universal registration document referred to in Article 9 remain appropriate in light of their pursued objectives. In particular, the report shall include the following:</w:t>
      </w:r>
    </w:p>
    <w:p>
      <w:pPr>
        <w:spacing w:before="120" w:after="120" w:line="278" w:lineRule="auto"/>
        <w:ind w:left="1134" w:hanging="567"/>
        <w:jc w:val="both"/>
      </w:pPr>
      <w:r>
        <w:t>(a)</w:t>
        <w:tab/>
      </w:r>
      <w:r>
        <w:rPr>
          <w:strike w:val="0"/>
        </w:rPr>
        <w:t>the number of EU Growth prospectuses of persons in each of the</w:t>
      </w:r>
      <w:r>
        <w:rPr>
          <w:strike/>
          <w:color w:val="0066CC"/>
        </w:rPr>
        <w:t xml:space="preserve"> four</w:t>
      </w:r>
      <w:r>
        <w:rPr>
          <w:strike w:val="0"/>
        </w:rPr>
        <w:t xml:space="preserve"> categories referred to in points (a) to (d) of Article 15(1) and an analysis of the evolution of each such number and of the trends in the choice of trading venues by the persons entitled to use the EU Growth prospectus;</w:t>
      </w:r>
    </w:p>
    <w:p>
      <w:pPr>
        <w:spacing w:before="120" w:after="120" w:line="278" w:lineRule="auto"/>
        <w:ind w:left="1134" w:hanging="567"/>
        <w:jc w:val="both"/>
      </w:pPr>
      <w:r>
        <w:t>(b)</w:t>
        <w:tab/>
      </w:r>
      <w:r>
        <w:rPr>
          <w:strike w:val="0"/>
        </w:rPr>
        <w:t>an analysis of whether the EU Growth prospectus strikes a proper balance between investor protection and the reduction of administrative burdens for the persons entitled to use it</w:t>
      </w:r>
      <w:r>
        <w:rPr>
          <w:strike/>
          <w:color w:val="0066CC"/>
        </w:rPr>
        <w:t>.</w:t>
      </w:r>
      <w:r>
        <w:rPr>
          <w:b w:val="0"/>
          <w:strike w:val="0"/>
          <w:color w:val="0066CC"/>
          <w:u w:val="double"/>
        </w:rPr>
        <w:t>;</w:t>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r>
    </w:p>
    <w:p>
      <w:pPr>
        <w:spacing w:before="120" w:after="120" w:line="278" w:lineRule="auto"/>
      </w:pPr>
    </w:p>
    <w:p>
      <w:pPr>
        <w:ind w:left="0"/>
        <w:jc w:val="center"/>
      </w:pPr>
      <w:r>
        <w:rPr>
          <w:b w:val="0"/>
          <w:i/>
          <w:strike w:val="0"/>
          <w:color w:val="E67800"/>
          <w:u w:val="double" w:color="E67800"/>
        </w:rPr>
        <w:t>Article 4</w:t>
        <w:br/>
      </w:r>
      <w:r>
        <w:rPr>
          <w:b/>
          <w:i w:val="0"/>
          <w:strike w:val="0"/>
          <w:color w:val="E67800"/>
          <w:u w:val="double" w:color="E67800"/>
        </w:rPr>
        <w:t>Entry into force and application</w:t>
      </w:r>
    </w:p>
    <w:p>
      <w:pPr>
        <w:ind w:left="0"/>
        <w:jc w:val="both"/>
      </w:pPr>
      <w:r>
        <w:rPr>
          <w:strike w:val="0"/>
          <w:color w:val="E67800"/>
          <w:u w:val="double" w:color="E67800"/>
        </w:rPr>
        <w:t>This Regulation shall enter into force on the twentieth day following that of its publication in the Official Journal of the European Union.</w:t>
      </w:r>
    </w:p>
    <w:p>
      <w:pPr>
        <w:ind w:left="0"/>
        <w:jc w:val="both"/>
      </w:pPr>
      <w:r>
        <w:rPr>
          <w:strike w:val="0"/>
          <w:color w:val="E67800"/>
          <w:u w:val="double" w:color="E67800"/>
        </w:rPr>
        <w:t>It shall apply from 31 December 2019. However, Article 1 shall apply from 1 January 2021.</w:t>
      </w:r>
    </w:p>
    <w:p>
      <w:pPr>
        <w:ind w:left="0"/>
        <w:jc w:val="center"/>
      </w:pPr>
      <w:r>
        <w:rPr>
          <w:b w:val="0"/>
          <w:i/>
          <w:strike w:val="0"/>
          <w:color w:val="800080"/>
          <w:u w:val="double" w:color="800080"/>
        </w:rPr>
        <w:t>Article 51</w:t>
        <w:br/>
      </w:r>
      <w:r>
        <w:rPr>
          <w:b/>
          <w:i w:val="0"/>
          <w:strike w:val="0"/>
          <w:color w:val="800080"/>
          <w:u w:val="double" w:color="800080"/>
        </w:rPr>
        <w:t>Entry into force and application</w:t>
      </w:r>
    </w:p>
    <w:p>
      <w:pPr>
        <w:ind w:left="0"/>
        <w:jc w:val="both"/>
      </w:pPr>
      <w:r>
        <w:rPr>
          <w:strike w:val="0"/>
          <w:color w:val="800080"/>
          <w:u w:val="double" w:color="800080"/>
        </w:rPr>
        <w:t>This Regulation shall enter into force on the twentieth day following that of its publication in the Official Journal of the European Union.</w:t>
      </w:r>
    </w:p>
    <w:p>
      <w:pPr>
        <w:ind w:left="0"/>
        <w:jc w:val="both"/>
      </w:pPr>
      <w:r>
        <w:rPr>
          <w:strike w:val="0"/>
          <w:color w:val="800080"/>
          <w:u w:val="double" w:color="800080"/>
        </w:rPr>
        <w:t>It shall apply from 10 November 2021.</w:t>
      </w:r>
    </w:p>
    <w:p>
      <w:pPr>
        <w:ind w:left="0"/>
        <w:jc w:val="center"/>
      </w:pPr>
      <w:r>
        <w:rPr>
          <w:b w:val="0"/>
          <w:i/>
          <w:strike w:val="0"/>
          <w:color w:val="0066CC"/>
          <w:u w:val="double" w:color="0066CC"/>
        </w:rPr>
        <w:t>Article 3</w:t>
        <w:br/>
      </w:r>
      <w:r>
        <w:rPr>
          <w:b/>
          <w:i w:val="0"/>
          <w:strike w:val="0"/>
          <w:color w:val="0066CC"/>
          <w:u w:val="double" w:color="0066CC"/>
        </w:rPr>
        <w:t>Entry into force and application</w:t>
      </w:r>
    </w:p>
    <w:p>
      <w:pPr>
        <w:ind w:left="0"/>
        <w:jc w:val="both"/>
      </w:pPr>
      <w:r>
        <w:rPr>
          <w:strike w:val="0"/>
          <w:color w:val="0066CC"/>
          <w:u w:val="double" w:color="0066CC"/>
        </w:rPr>
        <w:t>This Regulation shall enter into force on the twentieth day following that of its publication in the Official Journal of the European Union.</w:t>
      </w: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ind w:left="0"/>
      </w:pPr>
    </w:p>
    <w:p>
      <w:pPr>
        <w:ind w:left="1134"/>
        <w:jc w:val="both"/>
      </w:pPr>
      <w:r>
        <w:rPr>
          <w:strike w:val="0"/>
          <w:color w:val="E67800"/>
          <w:u w:val="double" w:color="E67800"/>
        </w:rPr>
        <w:t>This Regulation shall be binding in its entirety and directly applicable in all Member States.</w:t>
      </w:r>
    </w:p>
    <w:p>
      <w:pPr>
        <w:ind w:left="1134"/>
        <w:jc w:val="both"/>
      </w:pPr>
      <w:r>
        <w:rPr>
          <w:strike w:val="0"/>
          <w:color w:val="E67800"/>
          <w:u w:val="double" w:color="E67800"/>
        </w:rPr>
        <w:t>Done at Strasbourg, 27 November 2019.</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E67800"/>
                <w:u w:val="double" w:color="E67800"/>
              </w:rPr>
              <w:t>For the European Parliament</w:t>
            </w:r>
          </w:p>
          <w:p>
            <w:pPr>
              <w:jc w:val="center"/>
            </w:pPr>
            <w:r>
              <w:rPr>
                <w:i/>
                <w:strike w:val="0"/>
                <w:color w:val="E67800"/>
                <w:u w:val="double" w:color="E67800"/>
              </w:rPr>
              <w:t>The President</w:t>
            </w:r>
          </w:p>
          <w:p>
            <w:pPr>
              <w:jc w:val="center"/>
            </w:pPr>
            <w:r>
              <w:rPr>
                <w:i w:val="0"/>
                <w:strike w:val="0"/>
                <w:color w:val="E67800"/>
                <w:u w:val="double" w:color="E67800"/>
              </w:rPr>
              <w:t>D. M. SASSOLI</w:t>
            </w:r>
          </w:p>
        </w:tc>
        <w:tc>
          <w:tcPr>
            <w:tcW w:type="dxa" w:w="3685"/>
            <w:vAlign w:val="top"/>
          </w:tcPr>
          <w:p>
            <w:pPr>
              <w:jc w:val="center"/>
            </w:pPr>
            <w:r/>
            <w:r>
              <w:rPr>
                <w:i/>
                <w:strike w:val="0"/>
                <w:color w:val="E67800"/>
                <w:u w:val="double" w:color="E67800"/>
              </w:rPr>
              <w:t>For the Council</w:t>
            </w:r>
          </w:p>
          <w:p>
            <w:pPr>
              <w:jc w:val="center"/>
            </w:pPr>
            <w:r>
              <w:rPr>
                <w:i/>
                <w:strike w:val="0"/>
                <w:color w:val="E67800"/>
                <w:u w:val="double" w:color="E67800"/>
              </w:rPr>
              <w:t>The President</w:t>
            </w:r>
          </w:p>
          <w:p>
            <w:pPr>
              <w:jc w:val="center"/>
            </w:pPr>
            <w:r>
              <w:rPr>
                <w:i w:val="0"/>
                <w:strike w:val="0"/>
                <w:color w:val="E67800"/>
                <w:u w:val="double" w:color="E67800"/>
              </w:rPr>
              <w:t>T. TUPPURAINEN</w:t>
            </w:r>
          </w:p>
        </w:tc>
      </w:tr>
    </w:tbl>
    <w:p>
      <w:pPr>
        <w:ind w:left="0"/>
      </w:pPr>
    </w:p>
    <w:p>
      <w:pPr>
        <w:ind w:left="1134"/>
        <w:jc w:val="both"/>
      </w:pPr>
      <w:r>
        <w:rPr>
          <w:strike w:val="0"/>
          <w:color w:val="800080"/>
          <w:u w:val="double" w:color="800080"/>
        </w:rPr>
        <w:t>This Regulation shall be binding in its entirety and directly applicable in all Member States.</w:t>
      </w:r>
    </w:p>
    <w:p>
      <w:pPr>
        <w:ind w:left="1134"/>
        <w:jc w:val="both"/>
      </w:pPr>
      <w:r>
        <w:rPr>
          <w:strike w:val="0"/>
          <w:color w:val="800080"/>
          <w:u w:val="double" w:color="800080"/>
        </w:rPr>
        <w:t>Done at Brussels, 7 October 2020.</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0080"/>
                <w:u w:val="double" w:color="800080"/>
              </w:rPr>
              <w:t>For the European Parliament</w:t>
            </w:r>
          </w:p>
          <w:p>
            <w:pPr>
              <w:jc w:val="center"/>
            </w:pPr>
            <w:r>
              <w:rPr>
                <w:i/>
                <w:strike w:val="0"/>
                <w:color w:val="800080"/>
                <w:u w:val="double" w:color="800080"/>
              </w:rPr>
              <w:t>The President</w:t>
            </w:r>
          </w:p>
          <w:p>
            <w:pPr>
              <w:jc w:val="center"/>
            </w:pPr>
            <w:r>
              <w:rPr>
                <w:i w:val="0"/>
                <w:strike w:val="0"/>
                <w:color w:val="800080"/>
                <w:u w:val="double" w:color="800080"/>
              </w:rPr>
              <w:t>D.M. SASSOLI</w:t>
            </w:r>
          </w:p>
        </w:tc>
        <w:tc>
          <w:tcPr>
            <w:tcW w:type="dxa" w:w="3685"/>
            <w:vAlign w:val="top"/>
          </w:tcPr>
          <w:p>
            <w:pPr>
              <w:jc w:val="center"/>
            </w:pPr>
            <w:r/>
            <w:r>
              <w:rPr>
                <w:i/>
                <w:strike w:val="0"/>
                <w:color w:val="800080"/>
                <w:u w:val="double" w:color="800080"/>
              </w:rPr>
              <w:t>For the Council</w:t>
            </w:r>
          </w:p>
          <w:p>
            <w:pPr>
              <w:jc w:val="center"/>
            </w:pPr>
            <w:r>
              <w:rPr>
                <w:i/>
                <w:strike w:val="0"/>
                <w:color w:val="800080"/>
                <w:u w:val="double" w:color="800080"/>
              </w:rPr>
              <w:t>The President</w:t>
            </w:r>
          </w:p>
          <w:p>
            <w:pPr>
              <w:jc w:val="center"/>
            </w:pPr>
            <w:r>
              <w:rPr>
                <w:i w:val="0"/>
                <w:strike w:val="0"/>
                <w:color w:val="800080"/>
                <w:u w:val="double" w:color="800080"/>
              </w:rPr>
              <w:t>M. ROTH</w:t>
            </w:r>
          </w:p>
        </w:tc>
      </w:tr>
    </w:tbl>
    <w:p>
      <w:pPr>
        <w:ind w:left="0"/>
      </w:pPr>
    </w:p>
    <w:p>
      <w:pPr>
        <w:ind w:left="1134"/>
        <w:jc w:val="both"/>
      </w:pPr>
      <w:r>
        <w:rPr>
          <w:strike w:val="0"/>
          <w:color w:val="0066CC"/>
          <w:u w:val="double" w:color="0066CC"/>
        </w:rPr>
        <w:t>This Regulation shall be binding in its entirety and directly applicable in all Member States.</w:t>
      </w:r>
    </w:p>
    <w:p>
      <w:pPr>
        <w:ind w:left="1134"/>
        <w:jc w:val="both"/>
      </w:pPr>
      <w:r>
        <w:rPr>
          <w:strike w:val="0"/>
          <w:color w:val="0066CC"/>
          <w:u w:val="double" w:color="0066CC"/>
        </w:rPr>
        <w:t>Done at Brussels, 16 February 2021.</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0066CC"/>
                <w:u w:val="double" w:color="0066CC"/>
              </w:rPr>
              <w:t>For the European Parliament</w:t>
            </w:r>
          </w:p>
          <w:p>
            <w:pPr>
              <w:jc w:val="center"/>
            </w:pPr>
            <w:r>
              <w:rPr>
                <w:i/>
                <w:strike w:val="0"/>
                <w:color w:val="0066CC"/>
                <w:u w:val="double" w:color="0066CC"/>
              </w:rPr>
              <w:t>The President</w:t>
            </w:r>
          </w:p>
          <w:p>
            <w:pPr>
              <w:jc w:val="center"/>
            </w:pPr>
            <w:r>
              <w:rPr>
                <w:i w:val="0"/>
                <w:strike w:val="0"/>
                <w:color w:val="0066CC"/>
                <w:u w:val="double" w:color="0066CC"/>
              </w:rPr>
              <w:t>D. M. SASSOLI</w:t>
            </w:r>
          </w:p>
        </w:tc>
        <w:tc>
          <w:tcPr>
            <w:tcW w:type="dxa" w:w="3685"/>
            <w:vAlign w:val="top"/>
          </w:tcPr>
          <w:p>
            <w:pPr>
              <w:jc w:val="center"/>
            </w:pPr>
            <w:r/>
            <w:r>
              <w:rPr>
                <w:i/>
                <w:strike w:val="0"/>
                <w:color w:val="0066CC"/>
                <w:u w:val="double" w:color="0066CC"/>
              </w:rPr>
              <w:t>For the Council</w:t>
            </w:r>
          </w:p>
          <w:p>
            <w:pPr>
              <w:jc w:val="center"/>
            </w:pPr>
            <w:r>
              <w:rPr>
                <w:i/>
                <w:strike w:val="0"/>
                <w:color w:val="0066CC"/>
                <w:u w:val="double" w:color="0066CC"/>
              </w:rPr>
              <w:t>The President</w:t>
            </w:r>
          </w:p>
          <w:p>
            <w:pPr>
              <w:jc w:val="center"/>
            </w:pPr>
            <w:r>
              <w:rPr>
                <w:i w:val="0"/>
                <w:strike w:val="0"/>
                <w:color w:val="0066CC"/>
                <w:u w:val="double" w:color="0066CC"/>
              </w:rPr>
              <w:t>A. P. ZACARIAS</w:t>
            </w:r>
          </w:p>
        </w:tc>
      </w:tr>
    </w:tbl>
    <w:p>
      <w:pPr>
        <w:pageBreakBefore/>
        <w:spacing w:before="120" w:after="120" w:line="278" w:lineRule="auto"/>
        <w:ind w:left="0"/>
        <w:jc w:val="center"/>
      </w:pPr>
      <w:r>
        <w:rPr>
          <w:rFonts w:ascii="Arial" w:hAnsi="Arial" w:eastAsia="Arial"/>
          <w:b w:val="0"/>
          <w:i/>
          <w:sz w:val="22"/>
        </w:rPr>
        <w:t>ANNEX I</w:t>
        <w:br/>
      </w:r>
      <w:r>
        <w:rPr>
          <w:rFonts w:ascii="Arial" w:hAnsi="Arial" w:eastAsia="Arial"/>
          <w:b/>
          <w:i w:val="0"/>
          <w:sz w:val="22"/>
        </w:rPr>
        <w:t>PROSPECTUS</w:t>
      </w:r>
    </w:p>
    <w:p>
      <w:pPr>
        <w:spacing w:before="120" w:after="120" w:line="278" w:lineRule="auto"/>
        <w:ind w:left="567" w:hanging="567"/>
        <w:jc w:val="both"/>
      </w:pPr>
      <w:r>
        <w:rPr>
          <w:rFonts w:ascii="Arial" w:hAnsi="Arial" w:eastAsia="Arial"/>
          <w:b w:val="0"/>
          <w:i w:val="0"/>
          <w:sz w:val="22"/>
        </w:rPr>
        <w:t>I.</w:t>
        <w:tab/>
        <w:t>Summary</w:t>
      </w:r>
    </w:p>
    <w:p>
      <w:pPr>
        <w:spacing w:before="120" w:after="120" w:line="278" w:lineRule="auto"/>
        <w:ind w:left="567" w:hanging="567"/>
        <w:jc w:val="both"/>
      </w:pPr>
      <w:r>
        <w:rPr>
          <w:rFonts w:ascii="Arial" w:hAnsi="Arial" w:eastAsia="Arial"/>
          <w:b w:val="0"/>
          <w:i w:val="0"/>
          <w:sz w:val="22"/>
        </w:rPr>
        <w:t>II.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IV.</w:t>
        <w:tab/>
        <w:t>Essential information</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V.</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 and equipment</w:t>
      </w:r>
    </w:p>
    <w:p>
      <w:pPr>
        <w:spacing w:before="120" w:after="120" w:line="278" w:lineRule="auto"/>
        <w:ind w:left="567" w:hanging="567"/>
        <w:jc w:val="both"/>
      </w:pPr>
      <w:r>
        <w:rPr>
          <w:rFonts w:ascii="Arial" w:hAnsi="Arial" w:eastAsia="Arial"/>
          <w:b w:val="0"/>
          <w:i w:val="0"/>
          <w:sz w:val="22"/>
        </w:rPr>
        <w:t>VI.</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VII.</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VIII.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IX.</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X.</w:t>
        <w:tab/>
        <w:t>Details of the offer and admission to trading details</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Holders of securities who are selling</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XI.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Exchange controls</w:t>
      </w:r>
    </w:p>
    <w:p>
      <w:pPr>
        <w:spacing w:before="120" w:after="120" w:line="278" w:lineRule="auto"/>
        <w:ind w:left="1134" w:hanging="567"/>
        <w:jc w:val="both"/>
      </w:pPr>
      <w:r>
        <w:rPr>
          <w:rFonts w:ascii="Arial" w:hAnsi="Arial" w:eastAsia="Arial"/>
          <w:b w:val="0"/>
          <w:i w:val="0"/>
          <w:sz w:val="22"/>
        </w:rPr>
        <w:t>E.</w:t>
        <w:tab/>
        <w:t>Warning on tax consequences</w:t>
      </w:r>
    </w:p>
    <w:p>
      <w:pPr>
        <w:spacing w:before="120" w:after="120" w:line="278" w:lineRule="auto"/>
        <w:ind w:left="1134" w:hanging="567"/>
        <w:jc w:val="both"/>
      </w:pPr>
      <w:r>
        <w:rPr>
          <w:rFonts w:ascii="Arial" w:hAnsi="Arial" w:eastAsia="Arial"/>
          <w:b w:val="0"/>
          <w:i w:val="0"/>
          <w:sz w:val="22"/>
        </w:rPr>
        <w:t>F.</w:t>
        <w:tab/>
        <w:t>Dividends and paying agents</w:t>
      </w:r>
    </w:p>
    <w:p>
      <w:pPr>
        <w:spacing w:before="120" w:after="120" w:line="278" w:lineRule="auto"/>
        <w:ind w:left="1134" w:hanging="567"/>
        <w:jc w:val="both"/>
      </w:pPr>
      <w:r>
        <w:rPr>
          <w:rFonts w:ascii="Arial" w:hAnsi="Arial" w:eastAsia="Arial"/>
          <w:b w:val="0"/>
          <w:i w:val="0"/>
          <w:sz w:val="22"/>
        </w:rPr>
        <w:t>G.</w:t>
        <w:tab/>
        <w:t>Statement by experts</w:t>
      </w:r>
    </w:p>
    <w:p>
      <w:pPr>
        <w:spacing w:before="120" w:after="120" w:line="278" w:lineRule="auto"/>
        <w:ind w:left="1134" w:hanging="567"/>
        <w:jc w:val="both"/>
      </w:pPr>
      <w:r>
        <w:rPr>
          <w:rFonts w:ascii="Arial" w:hAnsi="Arial" w:eastAsia="Arial"/>
          <w:b w:val="0"/>
          <w:i w:val="0"/>
          <w:sz w:val="22"/>
        </w:rPr>
        <w:t>H.</w:t>
        <w:tab/>
        <w:t>Documents on display</w:t>
      </w:r>
    </w:p>
    <w:p>
      <w:pPr>
        <w:spacing w:before="120" w:after="120" w:line="278" w:lineRule="auto"/>
        <w:ind w:left="1134" w:hanging="567"/>
        <w:jc w:val="both"/>
      </w:pPr>
      <w:r>
        <w:rPr>
          <w:rFonts w:ascii="Arial" w:hAnsi="Arial" w:eastAsia="Arial"/>
          <w:b w:val="0"/>
          <w:i w:val="0"/>
          <w:sz w:val="22"/>
        </w:rPr>
        <w:t>I.</w:t>
        <w:tab/>
        <w:t>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Risk factors relating to the issuer</w:t>
      </w:r>
    </w:p>
    <w:p>
      <w:pPr>
        <w:spacing w:before="120" w:after="120" w:line="278" w:lineRule="auto"/>
        <w:ind w:left="567" w:hanging="567"/>
        <w:jc w:val="both"/>
      </w:pPr>
      <w:r>
        <w:rPr>
          <w:rFonts w:ascii="Arial" w:hAnsi="Arial" w:eastAsia="Arial"/>
          <w:b w:val="0"/>
          <w:i w:val="0"/>
          <w:sz w:val="22"/>
        </w:rPr>
        <w:t>III.</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plants and equipment</w:t>
      </w:r>
    </w:p>
    <w:p>
      <w:pPr>
        <w:spacing w:before="120" w:after="120" w:line="278" w:lineRule="auto"/>
        <w:ind w:left="567" w:hanging="567"/>
        <w:jc w:val="both"/>
      </w:pPr>
      <w:r>
        <w:rPr>
          <w:rFonts w:ascii="Arial" w:hAnsi="Arial" w:eastAsia="Arial"/>
          <w:b w:val="0"/>
          <w:i w:val="0"/>
          <w:sz w:val="22"/>
        </w:rPr>
        <w:t>IV.</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VII.</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VIII.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spacing w:before="120" w:after="120" w:line="278" w:lineRule="auto"/>
        <w:ind w:left="1134" w:hanging="567"/>
        <w:jc w:val="both"/>
      </w:pPr>
      <w:r>
        <w:rPr>
          <w:rFonts w:ascii="Arial" w:hAnsi="Arial" w:eastAsia="Arial"/>
          <w:b w:val="0"/>
          <w:i w:val="0"/>
          <w:sz w:val="22"/>
        </w:rPr>
        <w:t>F.</w:t>
        <w:tab/>
        <w:t>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Capitalisation and indebtedness (for equity securities only)</w:t>
      </w:r>
    </w:p>
    <w:p>
      <w:pPr>
        <w:spacing w:before="120" w:after="120" w:line="278" w:lineRule="auto"/>
        <w:ind w:left="1134" w:hanging="567"/>
        <w:jc w:val="both"/>
      </w:pPr>
      <w:r>
        <w:rPr>
          <w:rFonts w:ascii="Arial" w:hAnsi="Arial" w:eastAsia="Arial"/>
          <w:b w:val="0"/>
          <w:i w:val="0"/>
          <w:sz w:val="22"/>
        </w:rPr>
        <w:t>B.</w:t>
        <w:tab/>
        <w:t>Information concerning working capital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IV.</w:t>
        <w:tab/>
        <w:t>Essential information about the securities</w:t>
      </w:r>
    </w:p>
    <w:p>
      <w:pPr>
        <w:spacing w:before="120" w:after="120" w:line="278" w:lineRule="auto"/>
        <w:ind w:left="567" w:firstLine="0"/>
        <w:jc w:val="both"/>
      </w:pPr>
      <w:r>
        <w:rPr>
          <w:rFonts w:ascii="Arial" w:hAnsi="Arial" w:eastAsia="Arial"/>
          <w:b w:val="0"/>
          <w:i w:val="0"/>
          <w:sz w:val="22"/>
        </w:rPr>
        <w:t>The purpose is to provide essential information about the securities to be offered to the public and/or admitted to trading.</w:t>
      </w:r>
    </w:p>
    <w:p>
      <w:pPr>
        <w:spacing w:before="120" w:after="120" w:line="278" w:lineRule="auto"/>
        <w:ind w:left="1134" w:hanging="567"/>
        <w:jc w:val="both"/>
      </w:pPr>
      <w:r>
        <w:rPr>
          <w:rFonts w:ascii="Arial" w:hAnsi="Arial" w:eastAsia="Arial"/>
          <w:b w:val="0"/>
          <w:i w:val="0"/>
          <w:sz w:val="22"/>
        </w:rPr>
        <w:t>A.</w:t>
        <w:tab/>
        <w:t>A description of the type and class of the securities being offered to the public and/or admitted to trading</w:t>
      </w:r>
    </w:p>
    <w:p>
      <w:pPr>
        <w:spacing w:before="120" w:after="120" w:line="278" w:lineRule="auto"/>
        <w:ind w:left="1134" w:hanging="567"/>
        <w:jc w:val="both"/>
      </w:pPr>
      <w:r>
        <w:rPr>
          <w:rFonts w:ascii="Arial" w:hAnsi="Arial" w:eastAsia="Arial"/>
          <w:b w:val="0"/>
          <w:i w:val="0"/>
          <w:sz w:val="22"/>
        </w:rPr>
        <w:t>B.</w:t>
        <w:tab/>
        <w:t>Currency of the securities issued</w:t>
      </w:r>
    </w:p>
    <w:p>
      <w:pPr>
        <w:spacing w:before="120" w:after="120" w:line="278" w:lineRule="auto"/>
        <w:ind w:left="1134" w:hanging="567"/>
        <w:jc w:val="both"/>
      </w:pPr>
      <w:r>
        <w:rPr>
          <w:rFonts w:ascii="Arial" w:hAnsi="Arial" w:eastAsia="Arial"/>
          <w:b w:val="0"/>
          <w:i w:val="0"/>
          <w:sz w:val="22"/>
        </w:rPr>
        <w:t>C.</w:t>
        <w:tab/>
        <w:t>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rFonts w:ascii="Arial" w:hAnsi="Arial" w:eastAsia="Arial"/>
          <w:b w:val="0"/>
          <w:i w:val="0"/>
          <w:sz w:val="22"/>
        </w:rPr>
        <w:t>D.</w:t>
        <w:tab/>
        <w:t>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rFonts w:ascii="Arial" w:hAnsi="Arial" w:eastAsia="Arial"/>
          <w:b w:val="0"/>
          <w:i w:val="0"/>
          <w:sz w:val="22"/>
        </w:rPr>
        <w:t>E.</w:t>
        <w:tab/>
        <w:t>A description of any rights attached to the securities, including any limitations of those rights, and the procedure for the exercise of those rights</w:t>
      </w:r>
    </w:p>
    <w:p>
      <w:pPr>
        <w:spacing w:before="120" w:after="120" w:line="278" w:lineRule="auto"/>
        <w:ind w:left="567" w:hanging="567"/>
        <w:jc w:val="both"/>
      </w:pPr>
      <w:r>
        <w:rPr>
          <w:rFonts w:ascii="Arial" w:hAnsi="Arial" w:eastAsia="Arial"/>
          <w:b w:val="0"/>
          <w:i w:val="0"/>
          <w:sz w:val="22"/>
        </w:rPr>
        <w:t>V.</w:t>
        <w:tab/>
        <w:t>Interests of experts</w:t>
      </w:r>
    </w:p>
    <w:p>
      <w:pPr>
        <w:spacing w:before="120" w:after="120" w:line="278" w:lineRule="auto"/>
        <w:ind w:left="567" w:firstLine="0"/>
        <w:jc w:val="both"/>
      </w:pPr>
      <w:r>
        <w:rPr>
          <w:rFonts w:ascii="Arial" w:hAnsi="Arial" w:eastAsia="Arial"/>
          <w:b w:val="0"/>
          <w:i w:val="0"/>
          <w:sz w:val="22"/>
        </w:rPr>
        <w:t>The purpose is to provide information regarding transactions the company has entered into with experts or advisers employed on a contingent basis.</w:t>
      </w:r>
    </w:p>
    <w:p>
      <w:pPr>
        <w:spacing w:before="120" w:after="120" w:line="278" w:lineRule="auto"/>
        <w:ind w:left="567" w:hanging="567"/>
        <w:jc w:val="both"/>
      </w:pPr>
      <w:r>
        <w:rPr>
          <w:rFonts w:ascii="Arial" w:hAnsi="Arial" w:eastAsia="Arial"/>
          <w:b w:val="0"/>
          <w:i w:val="0"/>
          <w:sz w:val="22"/>
        </w:rPr>
        <w:t>VI.</w:t>
        <w:tab/>
        <w:t>Details of the offer and admission to trading</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Selling securities holders</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VII.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Exchange controls</w:t>
      </w:r>
    </w:p>
    <w:p>
      <w:pPr>
        <w:spacing w:before="120" w:after="120" w:line="278" w:lineRule="auto"/>
        <w:ind w:left="1134" w:hanging="567"/>
        <w:jc w:val="both"/>
      </w:pPr>
      <w:r>
        <w:rPr>
          <w:rFonts w:ascii="Arial" w:hAnsi="Arial" w:eastAsia="Arial"/>
          <w:b w:val="0"/>
          <w:i w:val="0"/>
          <w:sz w:val="22"/>
        </w:rPr>
        <w:t>B.</w:t>
        <w:tab/>
        <w:t>Warning on tax consequences</w:t>
      </w:r>
    </w:p>
    <w:p>
      <w:pPr>
        <w:spacing w:before="120" w:after="120" w:line="278" w:lineRule="auto"/>
        <w:ind w:left="1134" w:hanging="567"/>
        <w:jc w:val="both"/>
      </w:pPr>
      <w:r>
        <w:rPr>
          <w:rFonts w:ascii="Arial" w:hAnsi="Arial" w:eastAsia="Arial"/>
          <w:b w:val="0"/>
          <w:i w:val="0"/>
          <w:sz w:val="22"/>
        </w:rPr>
        <w:t>C.</w:t>
        <w:tab/>
        <w:t>Dividends and paying agents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pageBreakBefore/>
        <w:spacing w:before="120" w:after="120" w:line="278" w:lineRule="auto"/>
        <w:ind w:left="0"/>
        <w:jc w:val="center"/>
      </w:pPr>
      <w:r>
        <w:rPr>
          <w:rFonts w:ascii="Arial" w:hAnsi="Arial" w:eastAsia="Arial"/>
          <w:b w:val="0"/>
          <w:i/>
          <w:sz w:val="22"/>
        </w:rPr>
        <w:t>ANNEX IV</w:t>
        <w:br/>
      </w:r>
      <w:r>
        <w:rPr>
          <w:rFonts w:ascii="Arial" w:hAnsi="Arial" w:eastAsia="Arial"/>
          <w:b/>
          <w:i w:val="0"/>
          <w:sz w:val="22"/>
        </w:rPr>
        <w:t>REGISTRATION DOCUMENT FOR THE EU GROWTH PROSPECTUS</w:t>
      </w:r>
    </w:p>
    <w:p>
      <w:pPr>
        <w:spacing w:before="120" w:after="120" w:line="278" w:lineRule="auto"/>
        <w:ind w:left="567" w:hanging="567"/>
        <w:jc w:val="both"/>
      </w:pPr>
      <w:r>
        <w:rPr>
          <w:rFonts w:ascii="Arial" w:hAnsi="Arial" w:eastAsia="Arial"/>
          <w:b w:val="0"/>
          <w:i w:val="0"/>
          <w:sz w:val="22"/>
        </w:rPr>
        <w:t>I.</w:t>
        <w:tab/>
        <w:t>Responsibility for the registration document</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rPr>
          <w:rFonts w:ascii="Arial" w:hAnsi="Arial" w:eastAsia="Arial"/>
          <w:b w:val="0"/>
          <w:i w:val="0"/>
          <w:sz w:val="22"/>
        </w:rPr>
        <w:t>II.</w:t>
        <w:tab/>
        <w:t>Strategy, performance and business environment</w:t>
      </w:r>
    </w:p>
    <w:p>
      <w:pPr>
        <w:spacing w:before="120" w:after="120" w:line="278" w:lineRule="auto"/>
        <w:ind w:left="567" w:firstLine="0"/>
        <w:jc w:val="both"/>
      </w:pPr>
      <w:r>
        <w:rPr>
          <w:rFonts w:ascii="Arial" w:hAnsi="Arial" w:eastAsia="Arial"/>
          <w:b w:val="0"/>
          <w:i w:val="0"/>
          <w:sz w:val="22"/>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rPr>
          <w:rFonts w:ascii="Arial" w:hAnsi="Arial" w:eastAsia="Arial"/>
          <w:b w:val="0"/>
          <w:i w:val="0"/>
          <w:sz w:val="22"/>
        </w:rPr>
        <w:t>III.</w:t>
        <w:tab/>
        <w:t>Corporate governance</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567" w:hanging="567"/>
        <w:jc w:val="both"/>
      </w:pPr>
      <w:r>
        <w:rPr>
          <w:rFonts w:ascii="Arial" w:hAnsi="Arial" w:eastAsia="Arial"/>
          <w:b w:val="0"/>
          <w:i w:val="0"/>
          <w:sz w:val="22"/>
        </w:rPr>
        <w:t>IV.</w:t>
        <w:tab/>
        <w:t>Financial statements and key performance indicators</w:t>
      </w:r>
    </w:p>
    <w:p>
      <w:pPr>
        <w:spacing w:before="120" w:after="120" w:line="278" w:lineRule="auto"/>
        <w:ind w:left="567" w:firstLine="0"/>
        <w:jc w:val="both"/>
      </w:pPr>
      <w:r>
        <w:rPr>
          <w:rFonts w:ascii="Arial" w:hAnsi="Arial" w:eastAsia="Arial"/>
          <w:b w:val="0"/>
          <w:i w:val="0"/>
          <w:sz w:val="22"/>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spacing w:before="120" w:after="120" w:line="278" w:lineRule="auto"/>
        <w:ind w:left="567" w:hanging="567"/>
        <w:jc w:val="both"/>
      </w:pPr>
      <w:r>
        <w:rPr>
          <w:rFonts w:ascii="Arial" w:hAnsi="Arial" w:eastAsia="Arial"/>
          <w:b w:val="0"/>
          <w:i w:val="0"/>
          <w:sz w:val="22"/>
        </w:rPr>
        <w:t>V.</w:t>
        <w:tab/>
        <w:t>Operating and financial review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spacing w:before="120" w:after="120" w:line="278" w:lineRule="auto"/>
        <w:ind w:left="567" w:hanging="567"/>
        <w:jc w:val="both"/>
      </w:pPr>
      <w:r>
        <w:rPr>
          <w:rFonts w:ascii="Arial" w:hAnsi="Arial" w:eastAsia="Arial"/>
          <w:b w:val="0"/>
          <w:i w:val="0"/>
          <w:sz w:val="22"/>
        </w:rPr>
        <w:t>VI.</w:t>
        <w:tab/>
        <w:t>Shareholders’ information</w:t>
      </w:r>
    </w:p>
    <w:p>
      <w:pPr>
        <w:spacing w:before="120" w:after="120" w:line="278" w:lineRule="auto"/>
        <w:ind w:left="567" w:firstLine="0"/>
        <w:jc w:val="both"/>
      </w:pPr>
      <w:r>
        <w:rPr>
          <w:rFonts w:ascii="Arial" w:hAnsi="Arial" w:eastAsia="Arial"/>
          <w:b w:val="0"/>
          <w:i w:val="0"/>
          <w:sz w:val="22"/>
        </w:rPr>
        <w:t>The purpose is to provide information about legal and arbitration proceedings, conflicts of interest and related-party transactions as well as information on the share capital.</w:t>
      </w:r>
    </w:p>
    <w:p>
      <w:pPr>
        <w:pageBreakBefore/>
        <w:spacing w:before="120" w:after="120" w:line="278" w:lineRule="auto"/>
        <w:ind w:left="0"/>
        <w:jc w:val="center"/>
      </w:pPr>
      <w:r>
        <w:rPr>
          <w:rFonts w:ascii="Arial" w:hAnsi="Arial" w:eastAsia="Arial"/>
          <w:b w:val="0"/>
          <w:i/>
          <w:sz w:val="22"/>
        </w:rPr>
        <w:t>ANNEX V</w:t>
        <w:br/>
      </w:r>
      <w:r>
        <w:rPr>
          <w:rFonts w:ascii="Arial" w:hAnsi="Arial" w:eastAsia="Arial"/>
          <w:b/>
          <w:i w:val="0"/>
          <w:sz w:val="22"/>
        </w:rPr>
        <w:t>SECURITIES NOTE FOR THE EU GROWH PROSPECTUS</w:t>
      </w:r>
    </w:p>
    <w:p>
      <w:pPr>
        <w:spacing w:before="120" w:after="120" w:line="278" w:lineRule="auto"/>
        <w:ind w:left="567" w:hanging="567"/>
        <w:jc w:val="both"/>
      </w:pPr>
      <w:r>
        <w:rPr>
          <w:rFonts w:ascii="Arial" w:hAnsi="Arial" w:eastAsia="Arial"/>
          <w:b w:val="0"/>
          <w:i w:val="0"/>
          <w:sz w:val="22"/>
        </w:rPr>
        <w:t>I.</w:t>
        <w:tab/>
        <w:t>Responsibility for the securities note</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t>II.</w:t>
        <w:tab/>
      </w:r>
      <w:r>
        <w:rPr>
          <w:strike/>
          <w:color w:val="E67800"/>
        </w:rPr>
        <w:t xml:space="preserve">Working capital statement and </w:t>
      </w:r>
      <w:r>
        <w:rPr>
          <w:strike w:val="0"/>
        </w:rPr>
        <w:t>Statement of capitalisation and indebtedness (only for equity securities issued by companies with market capitalisation above EUR 200 000 000)</w:t>
      </w:r>
      <w:r>
        <w:rPr>
          <w:b w:val="0"/>
          <w:strike w:val="0"/>
          <w:color w:val="E67800"/>
          <w:u w:val="double"/>
        </w:rPr>
        <w:t xml:space="preserve"> and working capital statement (only for equity securities)</w:t>
      </w:r>
      <w:r>
        <w:rPr>
          <w:strike w:val="0"/>
        </w:rPr>
        <w:t>.</w:t>
      </w:r>
    </w:p>
    <w:p>
      <w:pPr>
        <w:spacing w:before="120" w:after="120" w:line="278" w:lineRule="auto"/>
        <w:ind w:left="567" w:firstLine="0"/>
        <w:jc w:val="both"/>
      </w:pPr>
      <w:r>
        <w:rPr>
          <w:strike w:val="0"/>
        </w:rPr>
        <w:t xml:space="preserve">The purpose is to provide information on the issuer’s capitalisation and indebtedness and information as to whether the working capital is sufficient </w:t>
      </w:r>
      <w:r>
        <w:rPr>
          <w:strike/>
          <w:color w:val="E67800"/>
        </w:rPr>
        <w:t>for</w:t>
      </w:r>
      <w:r>
        <w:rPr>
          <w:strike/>
          <w:color w:val="E67800"/>
        </w:rPr>
        <w:t xml:space="preserve"> </w:t>
      </w:r>
      <w:r>
        <w:rPr>
          <w:b w:val="0"/>
          <w:strike w:val="0"/>
          <w:color w:val="E67800"/>
          <w:u w:val="double"/>
        </w:rPr>
        <w:t>to meet</w:t>
      </w:r>
      <w:r>
        <w:rPr>
          <w:b w:val="0"/>
          <w:strike w:val="0"/>
          <w:color w:val="E67800"/>
          <w:u w:val="double" w:color="E67800"/>
        </w:rPr>
        <w:t xml:space="preserve"> </w:t>
      </w:r>
      <w:r>
        <w:rPr>
          <w:strike w:val="0"/>
        </w:rPr>
        <w:t>the issuer’s present requirements or, if not, how the issuer proposes to provide the additional working capital needed.</w:t>
      </w:r>
    </w:p>
    <w:p>
      <w:pPr>
        <w:spacing w:before="120" w:after="120" w:line="278" w:lineRule="auto"/>
        <w:ind w:left="567" w:hanging="567"/>
        <w:jc w:val="both"/>
      </w:pPr>
      <w:r>
        <w:rPr>
          <w:rFonts w:ascii="Arial" w:hAnsi="Arial" w:eastAsia="Arial"/>
          <w:b w:val="0"/>
          <w:i w:val="0"/>
          <w:sz w:val="22"/>
        </w:rPr>
        <w:t>III.</w:t>
        <w:tab/>
        <w:t>Terms and conditions of the securities</w:t>
      </w:r>
    </w:p>
    <w:p>
      <w:pPr>
        <w:spacing w:before="120" w:after="120" w:line="278" w:lineRule="auto"/>
        <w:ind w:left="567" w:firstLine="0"/>
        <w:jc w:val="both"/>
      </w:pPr>
      <w:r>
        <w:rPr>
          <w:rFonts w:ascii="Arial" w:hAnsi="Arial" w:eastAsia="Arial"/>
          <w:b w:val="0"/>
          <w:i w:val="0"/>
          <w:sz w:val="22"/>
        </w:rPr>
        <w:t>The purpose is to provide essential information regarding the terms and conditions of the securities and a description of any rights attached to the securities. Furthermore, the risk factors specific to the securities must be included.</w:t>
      </w:r>
    </w:p>
    <w:p>
      <w:pPr>
        <w:spacing w:before="120" w:after="120" w:line="278" w:lineRule="auto"/>
        <w:ind w:left="567" w:hanging="567"/>
        <w:jc w:val="both"/>
      </w:pPr>
      <w:r>
        <w:rPr>
          <w:rFonts w:ascii="Arial" w:hAnsi="Arial" w:eastAsia="Arial"/>
          <w:b w:val="0"/>
          <w:i w:val="0"/>
          <w:sz w:val="22"/>
        </w:rPr>
        <w:t>IV.</w:t>
        <w:tab/>
        <w:t>Details of the offer and expected timetable</w:t>
      </w:r>
    </w:p>
    <w:p>
      <w:pPr>
        <w:spacing w:before="120" w:after="120" w:line="278" w:lineRule="auto"/>
        <w:ind w:left="567" w:firstLine="0"/>
        <w:jc w:val="both"/>
      </w:pPr>
      <w:r>
        <w:rPr>
          <w:rFonts w:ascii="Arial" w:hAnsi="Arial" w:eastAsia="Arial"/>
          <w:b w:val="0"/>
          <w:i w:val="0"/>
          <w:sz w:val="22"/>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spacing w:before="120" w:after="120" w:line="278" w:lineRule="auto"/>
        <w:ind w:left="567" w:hanging="567"/>
        <w:jc w:val="both"/>
      </w:pPr>
      <w:r>
        <w:rPr>
          <w:rFonts w:ascii="Arial" w:hAnsi="Arial" w:eastAsia="Arial"/>
          <w:b w:val="0"/>
          <w:i w:val="0"/>
          <w:sz w:val="22"/>
        </w:rPr>
        <w:t>V.</w:t>
        <w:tab/>
        <w:t>Information on the guarantor</w:t>
      </w:r>
    </w:p>
    <w:p>
      <w:pPr>
        <w:spacing w:before="120" w:after="120" w:line="278" w:lineRule="auto"/>
        <w:ind w:left="567" w:firstLine="0"/>
        <w:jc w:val="both"/>
      </w:pPr>
      <w:r>
        <w:rPr>
          <w:rFonts w:ascii="Arial" w:hAnsi="Arial" w:eastAsia="Arial"/>
          <w:b w:val="0"/>
          <w:i w:val="0"/>
          <w:sz w:val="22"/>
        </w:rPr>
        <w:t>The purpose is to provide information on the guarantor of the securities where applicable, including essential information about the guarantee attached to the securities, the risk factors and financial information specific to the guarantor.</w:t>
      </w:r>
    </w:p>
    <w:p>
      <w:pPr>
        <w:pageBreakBefore/>
        <w:ind w:left="0"/>
        <w:jc w:val="center"/>
      </w:pPr>
      <w:r>
        <w:rPr>
          <w:b w:val="0"/>
          <w:i/>
          <w:strike w:val="0"/>
          <w:color w:val="0066CC"/>
          <w:u w:val="double" w:color="0066CC"/>
        </w:rPr>
        <w:t>ANNEX Va</w:t>
        <w:br/>
      </w:r>
      <w:r>
        <w:rPr>
          <w:b/>
          <w:i w:val="0"/>
          <w:strike w:val="0"/>
          <w:color w:val="0066CC"/>
          <w:u w:val="double" w:color="0066CC"/>
        </w:rPr>
        <w:t>MINIMUM INFORMATION TO BE INCLUDED IN THE EU RECOVERY PROSPECTUS</w:t>
      </w:r>
    </w:p>
    <w:p>
      <w:pPr>
        <w:ind w:left="567" w:hanging="567"/>
        <w:jc w:val="both"/>
      </w:pPr>
      <w:r>
        <w:rPr>
          <w:strike w:val="0"/>
          <w:color w:val="0066CC"/>
          <w:u w:val="double" w:color="0066CC"/>
        </w:rPr>
        <w:t>I.</w:t>
        <w:tab/>
        <w:t>Summary</w:t>
      </w:r>
    </w:p>
    <w:p>
      <w:pPr>
        <w:ind w:left="567"/>
        <w:jc w:val="both"/>
      </w:pPr>
      <w:r>
        <w:rPr>
          <w:strike w:val="0"/>
          <w:color w:val="0066CC"/>
          <w:u w:val="double" w:color="0066CC"/>
        </w:rPr>
        <w:t>The EU Recovery prospectus must include a summary drawn up in accordance with Article 7(12a).</w:t>
      </w:r>
    </w:p>
    <w:p>
      <w:pPr>
        <w:ind w:left="567" w:hanging="567"/>
        <w:jc w:val="both"/>
      </w:pPr>
      <w:r>
        <w:rPr>
          <w:strike w:val="0"/>
          <w:color w:val="0066CC"/>
          <w:u w:val="double" w:color="0066CC"/>
        </w:rPr>
        <w:t>II.</w:t>
        <w:tab/>
        <w:t>Name of the issuer, country of incorporation, link to the issuer’s website</w:t>
      </w:r>
    </w:p>
    <w:p>
      <w:pPr>
        <w:ind w:left="567"/>
        <w:jc w:val="both"/>
      </w:pPr>
      <w:r>
        <w:rPr>
          <w:strike w:val="0"/>
          <w:color w:val="0066CC"/>
          <w:u w:val="double" w:color="0066CC"/>
        </w:rPr>
        <w:t>Identify the company issuing shares, including its legal entity identifier (LEI), its legal and commercial name, its country of incorporation and the website where investors can find information on the company’s business operations, the products it makes or the services it provides, the principal markets where it competes, its major shareholders, the composition of its administrative, management and supervisory bodies and of its senior management and, where applicable, information incorporated by reference (with a disclaimer that the information on the website does not form part of the prospectus unless that information is incorporated by reference into the prospectus).</w:t>
      </w:r>
    </w:p>
    <w:p>
      <w:pPr>
        <w:ind w:left="567" w:hanging="567"/>
        <w:jc w:val="both"/>
      </w:pPr>
      <w:r>
        <w:rPr>
          <w:strike w:val="0"/>
          <w:color w:val="0066CC"/>
          <w:u w:val="double" w:color="0066CC"/>
        </w:rPr>
        <w:t>III.</w:t>
        <w:tab/>
        <w:t>Responsibility statement and statement on the competent authority</w:t>
      </w:r>
    </w:p>
    <w:p>
      <w:pPr>
        <w:ind w:left="1134" w:hanging="567"/>
        <w:jc w:val="both"/>
      </w:pPr>
      <w:r>
        <w:rPr>
          <w:strike w:val="0"/>
          <w:color w:val="0066CC"/>
          <w:u w:val="double" w:color="0066CC"/>
        </w:rPr>
        <w:t>1.</w:t>
        <w:tab/>
        <w:t>Responsibility statement</w:t>
      </w:r>
    </w:p>
    <w:p>
      <w:pPr>
        <w:ind w:left="1134"/>
        <w:jc w:val="both"/>
      </w:pPr>
      <w:r>
        <w:rPr>
          <w:strike w:val="0"/>
          <w:color w:val="0066CC"/>
          <w:u w:val="double" w:color="0066CC"/>
        </w:rPr>
        <w:t>Identify the persons responsible for drawing up the EU Recovery prospectus and include a statement by those persons that, to the best of their knowledge, the information contained in the EU Recovery prospectus is in accordance with the facts and that the EU Recovery prospectus makes no omission likely to affect its import.</w:t>
      </w:r>
    </w:p>
    <w:p>
      <w:pPr>
        <w:ind w:left="1134"/>
        <w:jc w:val="both"/>
      </w:pPr>
      <w:r>
        <w:rPr>
          <w:strike w:val="0"/>
          <w:color w:val="0066CC"/>
          <w:u w:val="double" w:color="0066CC"/>
        </w:rPr>
        <w:t>Where applicable, the statement must contain information sourced from third parties, including the source(s) of that information, and statements or reports attributed to a person as an expert and the following details of that person:</w:t>
      </w:r>
    </w:p>
    <w:p>
      <w:pPr>
        <w:ind w:left="1701" w:hanging="567"/>
        <w:jc w:val="both"/>
      </w:pPr>
      <w:r>
        <w:rPr>
          <w:strike w:val="0"/>
          <w:color w:val="0066CC"/>
          <w:u w:val="double" w:color="0066CC"/>
        </w:rPr>
        <w:t>(a)</w:t>
        <w:tab/>
        <w:t>name;</w:t>
      </w:r>
    </w:p>
    <w:p>
      <w:pPr>
        <w:ind w:left="1701" w:hanging="567"/>
        <w:jc w:val="both"/>
      </w:pPr>
      <w:r>
        <w:rPr>
          <w:strike w:val="0"/>
          <w:color w:val="0066CC"/>
          <w:u w:val="double" w:color="0066CC"/>
        </w:rPr>
        <w:t>(b)</w:t>
        <w:tab/>
        <w:t>business address;</w:t>
      </w:r>
    </w:p>
    <w:p>
      <w:pPr>
        <w:ind w:left="1701" w:hanging="567"/>
        <w:jc w:val="both"/>
      </w:pPr>
      <w:r>
        <w:rPr>
          <w:strike w:val="0"/>
          <w:color w:val="0066CC"/>
          <w:u w:val="double" w:color="0066CC"/>
        </w:rPr>
        <w:t>(c)</w:t>
        <w:tab/>
        <w:t>qualifications; and</w:t>
      </w:r>
    </w:p>
    <w:p>
      <w:pPr>
        <w:ind w:left="1701" w:hanging="567"/>
        <w:jc w:val="both"/>
      </w:pPr>
      <w:r>
        <w:rPr>
          <w:strike w:val="0"/>
          <w:color w:val="0066CC"/>
          <w:u w:val="double" w:color="0066CC"/>
        </w:rPr>
        <w:t>(d)</w:t>
        <w:tab/>
        <w:t>material interest (if any) in the issuer.</w:t>
      </w:r>
    </w:p>
    <w:p>
      <w:pPr>
        <w:ind w:left="1134" w:hanging="567"/>
        <w:jc w:val="both"/>
      </w:pPr>
      <w:r>
        <w:rPr>
          <w:strike w:val="0"/>
          <w:color w:val="0066CC"/>
          <w:u w:val="double" w:color="0066CC"/>
        </w:rPr>
        <w:t>2.</w:t>
        <w:tab/>
        <w:t>Statement on the competent authority</w:t>
      </w:r>
    </w:p>
    <w:p>
      <w:pPr>
        <w:ind w:left="1134"/>
        <w:jc w:val="both"/>
      </w:pPr>
      <w:r>
        <w:rPr>
          <w:strike w:val="0"/>
          <w:color w:val="0066CC"/>
          <w:u w:val="double" w:color="0066CC"/>
        </w:rPr>
        <w:t>The statement must indicate the competent authority that has approved, in accordance with this Regulation, the EU Recovery prospectus, specify that such approval is not an endorsement of the issuer nor of the quality of the shares to which the EU Recovery prospectus relates, that the competent authority has only approved the EU Recovery prospectus as meeting the standards of completeness, comprehensibility and consistency imposed by this Regulation, and specify that the EU Recovery prospectus has been drawn up in accordance with Article 14a.</w:t>
      </w:r>
    </w:p>
    <w:p>
      <w:pPr>
        <w:ind w:left="567" w:hanging="567"/>
        <w:jc w:val="both"/>
      </w:pPr>
      <w:r>
        <w:rPr>
          <w:strike w:val="0"/>
          <w:color w:val="0066CC"/>
          <w:u w:val="double" w:color="0066CC"/>
        </w:rPr>
        <w:t>IV.</w:t>
        <w:tab/>
        <w:t>Risk factors</w:t>
      </w:r>
    </w:p>
    <w:p>
      <w:pPr>
        <w:ind w:left="567"/>
        <w:jc w:val="both"/>
      </w:pPr>
      <w:r>
        <w:rPr>
          <w:strike w:val="0"/>
          <w:color w:val="0066CC"/>
          <w:u w:val="double" w:color="0066CC"/>
        </w:rPr>
        <w:t>A description of the material risks that are specific to the issuer and a description of the material risks that are specific to the shares being offered to the public and/or admitted to trading on a regulated market, in a limited number of categories, in a section headed “Risk Factors”.</w:t>
      </w:r>
    </w:p>
    <w:p>
      <w:pPr>
        <w:ind w:left="567"/>
        <w:jc w:val="both"/>
      </w:pPr>
      <w:r>
        <w:rPr>
          <w:strike w:val="0"/>
          <w:color w:val="0066CC"/>
          <w:u w:val="double" w:color="0066CC"/>
        </w:rPr>
        <w:t>In each category, the most material risks, in the assessment undertaken by the issuer, offeror or person asking for admission to trading on a regulated market, taking into account the negative impact on the issuer as well as on the shares being offered to the public and/or admitted to trading on a regulated market and the probability of their occurrence, shall be set out first. The risks shall be corroborated by the content of the EU Recovery prospectus.</w:t>
      </w:r>
    </w:p>
    <w:p>
      <w:pPr>
        <w:ind w:left="567" w:hanging="567"/>
        <w:jc w:val="both"/>
      </w:pPr>
      <w:r>
        <w:rPr>
          <w:strike w:val="0"/>
          <w:color w:val="0066CC"/>
          <w:u w:val="double" w:color="0066CC"/>
        </w:rPr>
        <w:t>V.</w:t>
        <w:tab/>
        <w:t>Financial statements</w:t>
      </w:r>
    </w:p>
    <w:p>
      <w:pPr>
        <w:ind w:left="567"/>
        <w:jc w:val="both"/>
      </w:pPr>
      <w:r>
        <w:rPr>
          <w:strike w:val="0"/>
          <w:color w:val="0066CC"/>
          <w:u w:val="double" w:color="0066CC"/>
        </w:rPr>
        <w:t>The EU Recovery prospectus must include the financial statements (annual and half-yearly) published over the period of 12 months prior to the approval of the EU Recovery prospectus. Where both annual and half-yearly financial statements have been published, only the annual statements must be required where they postdate the half-yearly financial statements.</w:t>
      </w:r>
    </w:p>
    <w:p>
      <w:pPr>
        <w:ind w:left="567"/>
        <w:jc w:val="both"/>
      </w:pPr>
      <w:r>
        <w:rPr>
          <w:strike w:val="0"/>
          <w:color w:val="0066CC"/>
          <w:u w:val="double" w:color="0066CC"/>
        </w:rPr>
        <w:t>The annual financial statements must be independently audited. The audit report must be prepared in accordance with Directive 2006/43/EC of the European Parliament and of the Council</w:t>
      </w:r>
      <w:r>
        <w:rPr>
          <w:rStyle w:val="FootnoteReference"/>
          <w:rFonts w:ascii="Arial" w:hAnsi="Arial"/>
          <w:color w:val="0066CC"/>
          <w:u w:val="double" w:color="0066CC"/>
          <w:sz w:val="22"/>
          <w:szCs w:val="22"/>
          <w:vertAlign w:val="superscript"/>
        </w:rPr>
        <w:footnoteReference w:id="63"/>
      </w:r>
      <w:r>
        <w:rPr>
          <w:strike w:val="0"/>
          <w:color w:val="0066CC"/>
          <w:u w:val="double" w:color="0066CC"/>
        </w:rPr>
        <w:t xml:space="preserve"> and Regulation (EU) No 537/2014 of the European Parliament and of the Council</w:t>
      </w:r>
      <w:r>
        <w:rPr>
          <w:rStyle w:val="FootnoteReference"/>
          <w:rFonts w:ascii="Arial" w:hAnsi="Arial"/>
          <w:color w:val="0066CC"/>
          <w:u w:val="double" w:color="0066CC"/>
          <w:sz w:val="22"/>
          <w:szCs w:val="22"/>
          <w:vertAlign w:val="superscript"/>
        </w:rPr>
        <w:footnoteReference w:id="64"/>
      </w:r>
      <w:r>
        <w:rPr>
          <w:strike w:val="0"/>
          <w:color w:val="0066CC"/>
          <w:u w:val="double" w:color="0066CC"/>
        </w:rPr>
        <w:t>.</w:t>
      </w:r>
    </w:p>
    <w:p>
      <w:pPr>
        <w:ind w:left="567"/>
        <w:jc w:val="both"/>
      </w:pPr>
      <w:r>
        <w:rPr>
          <w:strike w:val="0"/>
          <w:color w:val="0066CC"/>
          <w:u w:val="double" w:color="0066CC"/>
        </w:rPr>
        <w:t>Where Directive 2006/43/EC and Regulation (EU) No 537/2014 do not apply, the annual financial statements must be audited or reported on as to whether or not, for the purposes of the EU Recovery prospectus, they give a true and fair view in accordance with auditing standards applicable in a Member State or an equivalent standard. Otherwise, the following information must be included in the EU Recovery prospectus:</w:t>
      </w:r>
    </w:p>
    <w:p>
      <w:pPr>
        <w:ind w:left="1134" w:hanging="567"/>
        <w:jc w:val="both"/>
      </w:pPr>
      <w:r>
        <w:rPr>
          <w:strike w:val="0"/>
          <w:color w:val="0066CC"/>
          <w:u w:val="double" w:color="0066CC"/>
        </w:rPr>
        <w:t>(a)</w:t>
        <w:tab/>
        <w:t>a prominent statement disclosing which auditing standards have been applied;</w:t>
      </w:r>
    </w:p>
    <w:p>
      <w:pPr>
        <w:ind w:left="1134" w:hanging="567"/>
        <w:jc w:val="both"/>
      </w:pPr>
      <w:r>
        <w:rPr>
          <w:strike w:val="0"/>
          <w:color w:val="0066CC"/>
          <w:u w:val="double" w:color="0066CC"/>
        </w:rPr>
        <w:t>(b)</w:t>
        <w:tab/>
        <w:t>an explanation of any significant departures from International Standards on Auditing.</w:t>
      </w:r>
    </w:p>
    <w:p>
      <w:pPr>
        <w:ind w:left="567"/>
        <w:jc w:val="both"/>
      </w:pPr>
      <w:r>
        <w:rPr>
          <w:strike w:val="0"/>
          <w:color w:val="0066CC"/>
          <w:u w:val="double" w:color="0066CC"/>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jc w:val="both"/>
      </w:pPr>
      <w:r>
        <w:rPr>
          <w:strike w:val="0"/>
          <w:color w:val="0066CC"/>
          <w:u w:val="double" w:color="0066CC"/>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jc w:val="both"/>
      </w:pPr>
      <w:r>
        <w:rPr>
          <w:strike w:val="0"/>
          <w:color w:val="0066CC"/>
          <w:u w:val="double" w:color="0066CC"/>
        </w:rPr>
        <w:t>Where applicable, pro forma information must also be included.</w:t>
      </w:r>
    </w:p>
    <w:p>
      <w:pPr>
        <w:ind w:left="567" w:hanging="567"/>
        <w:jc w:val="both"/>
      </w:pPr>
      <w:r>
        <w:rPr>
          <w:strike w:val="0"/>
          <w:color w:val="0066CC"/>
          <w:u w:val="double" w:color="0066CC"/>
        </w:rPr>
        <w:t>VI.</w:t>
        <w:tab/>
        <w:t>Dividend policy</w:t>
      </w:r>
    </w:p>
    <w:p>
      <w:pPr>
        <w:ind w:left="567"/>
        <w:jc w:val="both"/>
      </w:pPr>
      <w:r>
        <w:rPr>
          <w:strike w:val="0"/>
          <w:color w:val="0066CC"/>
          <w:u w:val="double" w:color="0066CC"/>
        </w:rPr>
        <w:t>A description of the issuer’s policy on dividend distributions and any current restrictions thereon, as well as on share repurchases.</w:t>
      </w:r>
    </w:p>
    <w:p>
      <w:pPr>
        <w:ind w:left="567" w:hanging="567"/>
        <w:jc w:val="both"/>
      </w:pPr>
      <w:r>
        <w:rPr>
          <w:strike w:val="0"/>
          <w:color w:val="0066CC"/>
          <w:u w:val="double" w:color="0066CC"/>
        </w:rPr>
        <w:t>VII.</w:t>
        <w:tab/>
        <w:t>Trend information</w:t>
      </w:r>
    </w:p>
    <w:p>
      <w:pPr>
        <w:ind w:left="567"/>
        <w:jc w:val="both"/>
      </w:pPr>
      <w:r>
        <w:rPr>
          <w:strike w:val="0"/>
          <w:color w:val="0066CC"/>
          <w:u w:val="double" w:color="0066CC"/>
        </w:rPr>
        <w:t>A description of:</w:t>
      </w:r>
    </w:p>
    <w:p>
      <w:pPr>
        <w:ind w:left="1134" w:hanging="567"/>
        <w:jc w:val="both"/>
      </w:pPr>
      <w:r>
        <w:rPr>
          <w:strike w:val="0"/>
          <w:color w:val="0066CC"/>
          <w:u w:val="double" w:color="0066CC"/>
        </w:rPr>
        <w:t>(a)</w:t>
        <w:tab/>
        <w:t>the most significant recent trends in production, sales and inventory, and costs and selling prices since the end of the last financial year to the date of the EU Recovery prospectus;</w:t>
      </w:r>
    </w:p>
    <w:p>
      <w:pPr>
        <w:ind w:left="1134" w:hanging="567"/>
        <w:jc w:val="both"/>
      </w:pPr>
      <w:r>
        <w:rPr>
          <w:strike w:val="0"/>
          <w:color w:val="0066CC"/>
          <w:u w:val="double" w:color="0066CC"/>
        </w:rPr>
        <w:t>(b)</w:t>
        <w:tab/>
        <w:t>information on any known trends, uncertainties, demands, commitments or events that are reasonably likely to have a material effect on the issuer’s prospects for at least the current financial year;</w:t>
      </w:r>
    </w:p>
    <w:p>
      <w:pPr>
        <w:ind w:left="1134" w:hanging="567"/>
        <w:jc w:val="both"/>
      </w:pPr>
      <w:r>
        <w:rPr>
          <w:strike w:val="0"/>
          <w:color w:val="0066CC"/>
          <w:u w:val="double" w:color="0066CC"/>
        </w:rPr>
        <w:t>(c)</w:t>
        <w:tab/>
        <w:t>information on the issuer’s short and long-term financial and non-financial business strategy and objectives, including, if applicable, a specific reference of not less than 400 words to the business and financial impact of the COVID-19 pandemic on the issuer and the anticipated future impact of the same.</w:t>
      </w:r>
    </w:p>
    <w:p>
      <w:pPr>
        <w:ind w:left="567"/>
        <w:jc w:val="both"/>
      </w:pPr>
      <w:r>
        <w:rPr>
          <w:strike w:val="0"/>
          <w:color w:val="0066CC"/>
          <w:u w:val="double" w:color="0066CC"/>
        </w:rPr>
        <w:t>If there is no significant change in either of the trends referred to in points (a) or (b) of this section, a statement to that effect is to be made.</w:t>
      </w:r>
    </w:p>
    <w:p>
      <w:pPr>
        <w:ind w:left="567" w:hanging="567"/>
        <w:jc w:val="both"/>
      </w:pPr>
      <w:r>
        <w:rPr>
          <w:strike w:val="0"/>
          <w:color w:val="0066CC"/>
          <w:u w:val="double" w:color="0066CC"/>
        </w:rPr>
        <w:t>VIII.</w:t>
        <w:tab/>
        <w:t>Terms and conditions of the offer, firm commitments and intentions to subscribe and key features of the underwriting and placement agreements</w:t>
      </w:r>
    </w:p>
    <w:p>
      <w:pPr>
        <w:ind w:left="567"/>
        <w:jc w:val="both"/>
      </w:pPr>
      <w:r>
        <w:rPr>
          <w:strike w:val="0"/>
          <w:color w:val="0066CC"/>
          <w:u w:val="double" w:color="0066CC"/>
        </w:rPr>
        <w:t>Set out the offer price, the number of shares offered, the amount of the issue/offer, the conditions to which the offer is subject, and the procedure for the exercise of any right of pre-emption.</w:t>
      </w:r>
    </w:p>
    <w:p>
      <w:pPr>
        <w:ind w:left="567"/>
        <w:jc w:val="both"/>
      </w:pPr>
      <w:r>
        <w:rPr>
          <w:strike w:val="0"/>
          <w:color w:val="0066CC"/>
          <w:u w:val="double" w:color="0066CC"/>
        </w:rPr>
        <w:t>To the extent known to the issuer, provide information on whether major shareholders or members of the issuer’s management, supervisory or administrative bodies intend to subscribe for the offer, or whether any person intends to subscribe for more than 5 % of the offer.</w:t>
      </w:r>
    </w:p>
    <w:p>
      <w:pPr>
        <w:ind w:left="567"/>
        <w:jc w:val="both"/>
      </w:pPr>
      <w:r>
        <w:rPr>
          <w:strike w:val="0"/>
          <w:color w:val="0066CC"/>
          <w:u w:val="double" w:color="0066CC"/>
        </w:rPr>
        <w:t>Present any firm commitments to subscribe for more than 5 % of the offer and all material features of the underwriting and placement agreements, including the name and address of the entities agreeing to underwrite or place the issue on a firm commitment basis or under “best efforts” arrangements and the quotas.</w:t>
      </w:r>
    </w:p>
    <w:p>
      <w:pPr>
        <w:ind w:left="567" w:hanging="567"/>
        <w:jc w:val="both"/>
      </w:pPr>
      <w:r>
        <w:rPr>
          <w:strike w:val="0"/>
          <w:color w:val="0066CC"/>
          <w:u w:val="double" w:color="0066CC"/>
        </w:rPr>
        <w:t>IX.</w:t>
        <w:tab/>
        <w:t>Essential information on the shares and on their subscription</w:t>
      </w:r>
    </w:p>
    <w:p>
      <w:pPr>
        <w:ind w:left="567"/>
        <w:jc w:val="both"/>
      </w:pPr>
      <w:r>
        <w:rPr>
          <w:strike w:val="0"/>
          <w:color w:val="0066CC"/>
          <w:u w:val="double" w:color="0066CC"/>
        </w:rPr>
        <w:t>Provide the following essential information about the shares offered to the public or admitted to trading on a regulated market:</w:t>
      </w:r>
    </w:p>
    <w:p>
      <w:pPr>
        <w:ind w:left="1134" w:hanging="567"/>
        <w:jc w:val="both"/>
      </w:pPr>
      <w:r>
        <w:rPr>
          <w:strike w:val="0"/>
          <w:color w:val="0066CC"/>
          <w:u w:val="double" w:color="0066CC"/>
        </w:rPr>
        <w:t>(a)</w:t>
        <w:tab/>
        <w:t>the international security identification number (ISIN);</w:t>
      </w:r>
    </w:p>
    <w:p>
      <w:pPr>
        <w:ind w:left="1134" w:hanging="567"/>
        <w:jc w:val="both"/>
      </w:pPr>
      <w:r>
        <w:rPr>
          <w:strike w:val="0"/>
          <w:color w:val="0066CC"/>
          <w:u w:val="double" w:color="0066CC"/>
        </w:rPr>
        <w:t>(b)</w:t>
        <w:tab/>
        <w:t>the rights attached to the shares, the procedure for the exercise of those rights and any limitations of those rights;</w:t>
      </w:r>
    </w:p>
    <w:p>
      <w:pPr>
        <w:ind w:left="1134" w:hanging="567"/>
        <w:jc w:val="both"/>
      </w:pPr>
      <w:r>
        <w:rPr>
          <w:strike w:val="0"/>
          <w:color w:val="0066CC"/>
          <w:u w:val="double" w:color="0066CC"/>
        </w:rPr>
        <w:t>(c)</w:t>
        <w:tab/>
        <w:t>where the shares can be subscribed as well as on the time period, including any possible amendments, during which the offer will be open and a description of the application process together with the issue date of new shares.</w:t>
      </w:r>
    </w:p>
    <w:p>
      <w:pPr>
        <w:ind w:left="567" w:hanging="567"/>
        <w:jc w:val="both"/>
      </w:pPr>
      <w:r>
        <w:rPr>
          <w:strike w:val="0"/>
          <w:color w:val="0066CC"/>
          <w:u w:val="double" w:color="0066CC"/>
        </w:rPr>
        <w:t>X.</w:t>
        <w:tab/>
        <w:t>Reasons for the offer and use of proceeds</w:t>
      </w:r>
    </w:p>
    <w:p>
      <w:pPr>
        <w:ind w:left="567"/>
        <w:jc w:val="both"/>
      </w:pPr>
      <w:r>
        <w:rPr>
          <w:strike w:val="0"/>
          <w:color w:val="0066CC"/>
          <w:u w:val="double" w:color="0066CC"/>
        </w:rPr>
        <w:t>Provide information on the reasons for the offer and, where applicable, the estimated net amount of the proceeds broken into each principal intended use and presented in order of priority of such uses.</w:t>
      </w:r>
    </w:p>
    <w:p>
      <w:pPr>
        <w:ind w:left="567"/>
        <w:jc w:val="both"/>
      </w:pPr>
      <w:r>
        <w:rPr>
          <w:strike w:val="0"/>
          <w:color w:val="0066CC"/>
          <w:u w:val="double" w:color="0066CC"/>
        </w:rPr>
        <w:t>Where the issuer is aware that the anticipated proceeds will not be sufficient to fund all the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hanging="567"/>
        <w:jc w:val="both"/>
      </w:pPr>
      <w:r>
        <w:rPr>
          <w:strike w:val="0"/>
          <w:color w:val="0066CC"/>
          <w:u w:val="double" w:color="0066CC"/>
        </w:rPr>
        <w:t>XI.</w:t>
        <w:tab/>
        <w:t>Receipt of state aid support</w:t>
      </w:r>
    </w:p>
    <w:p>
      <w:pPr>
        <w:ind w:left="567"/>
        <w:jc w:val="both"/>
      </w:pPr>
      <w:r>
        <w:rPr>
          <w:strike w:val="0"/>
          <w:color w:val="0066CC"/>
          <w:u w:val="double" w:color="0066CC"/>
        </w:rPr>
        <w:t>Provide a statement with information as to whether the issuer has benefited from state aid in whatever form in the context of the recovery as well as the purpose of the aid, type of instrument and amount of the aid received and conditions attached to it, if any.</w:t>
      </w:r>
    </w:p>
    <w:p>
      <w:pPr>
        <w:ind w:left="567"/>
        <w:jc w:val="both"/>
      </w:pPr>
      <w:r>
        <w:rPr>
          <w:strike w:val="0"/>
          <w:color w:val="0066CC"/>
          <w:u w:val="double" w:color="0066CC"/>
        </w:rPr>
        <w:t>The statement as to whether the issuer received state aid must contain a declaration that the information is provided solely under the responsibility of the persons responsible for the prospectus, as referred to in Article 11(1), that the competent authority’s role in approving the prospectus is to scrutinise its completeness, comprehensibility and consistency, and that therefore in respect of the statement on state aid the competent authority is not obliged to independently verify that statement.</w:t>
      </w:r>
    </w:p>
    <w:p>
      <w:pPr>
        <w:ind w:left="567" w:hanging="567"/>
        <w:jc w:val="both"/>
      </w:pPr>
      <w:r>
        <w:rPr>
          <w:strike w:val="0"/>
          <w:color w:val="0066CC"/>
          <w:u w:val="double" w:color="0066CC"/>
        </w:rPr>
        <w:t>XII.</w:t>
        <w:tab/>
        <w:t>Working capital statement</w:t>
      </w:r>
    </w:p>
    <w:p>
      <w:pPr>
        <w:ind w:left="567"/>
        <w:jc w:val="both"/>
      </w:pPr>
      <w:r>
        <w:rPr>
          <w:strike w:val="0"/>
          <w:color w:val="0066CC"/>
          <w:u w:val="double" w:color="0066CC"/>
        </w:rPr>
        <w:t>Statement by the issuer that, in its opinion, the working capital is sufficient for the issuer’s present requirements or, if not, how the issuer proposes to provide the additional working capital needed.</w:t>
      </w:r>
    </w:p>
    <w:p>
      <w:pPr>
        <w:ind w:left="567" w:hanging="567"/>
        <w:jc w:val="both"/>
      </w:pPr>
      <w:r>
        <w:rPr>
          <w:strike w:val="0"/>
          <w:color w:val="0066CC"/>
          <w:u w:val="double" w:color="0066CC"/>
        </w:rPr>
        <w:t>XIII.</w:t>
        <w:tab/>
        <w:t>Capitalisation and indebtedness</w:t>
      </w:r>
    </w:p>
    <w:p>
      <w:pPr>
        <w:ind w:left="567"/>
        <w:jc w:val="both"/>
      </w:pPr>
      <w:r>
        <w:rPr>
          <w:strike w:val="0"/>
          <w:color w:val="0066CC"/>
          <w:u w:val="double" w:color="0066CC"/>
        </w:rPr>
        <w:t>A statement of capitalisation and indebtedness (distinguishing between guaranteed and unguaranteed, secured and unsecured indebtedness) as of a date no earlier than 90 days prior to the date of the EU Recovery prospectus. The term “indebtedness” also includes indirect and contingent indebtedness.</w:t>
      </w:r>
    </w:p>
    <w:p>
      <w:pPr>
        <w:ind w:left="567"/>
        <w:jc w:val="both"/>
      </w:pPr>
      <w:r>
        <w:rPr>
          <w:strike w:val="0"/>
          <w:color w:val="0066CC"/>
          <w:u w:val="double" w:color="0066CC"/>
        </w:rPr>
        <w:t>In the case of material changes in the capitalisation and indebtedness position of the issuer within the 90 day period, additional information must be given through the presentation of a narrative description of such changes or through the updating of those figures.</w:t>
      </w:r>
    </w:p>
    <w:p>
      <w:pPr>
        <w:ind w:left="567" w:hanging="567"/>
        <w:jc w:val="both"/>
      </w:pPr>
      <w:r>
        <w:rPr>
          <w:strike w:val="0"/>
          <w:color w:val="0066CC"/>
          <w:u w:val="double" w:color="0066CC"/>
        </w:rPr>
        <w:t>XIV.</w:t>
        <w:tab/>
        <w:t>Conflicts of interest</w:t>
      </w:r>
    </w:p>
    <w:p>
      <w:pPr>
        <w:ind w:left="567"/>
        <w:jc w:val="both"/>
      </w:pPr>
      <w:r>
        <w:rPr>
          <w:strike w:val="0"/>
          <w:color w:val="0066CC"/>
          <w:u w:val="double" w:color="0066CC"/>
        </w:rPr>
        <w:t>Provide information about any interests related to the issuance, including conflicts of interest, and details of the persons involved and the nature of the interests.</w:t>
      </w:r>
    </w:p>
    <w:p>
      <w:pPr>
        <w:ind w:left="567" w:hanging="567"/>
        <w:jc w:val="both"/>
      </w:pPr>
      <w:r>
        <w:rPr>
          <w:strike w:val="0"/>
          <w:color w:val="0066CC"/>
          <w:u w:val="double" w:color="0066CC"/>
        </w:rPr>
        <w:t>XV.</w:t>
        <w:tab/>
        <w:t>Dilution and shareholding after the issuance</w:t>
      </w:r>
    </w:p>
    <w:p>
      <w:pPr>
        <w:ind w:left="567"/>
        <w:jc w:val="both"/>
      </w:pPr>
      <w:r>
        <w:rPr>
          <w:strike w:val="0"/>
          <w:color w:val="0066CC"/>
          <w:u w:val="double" w:color="0066CC"/>
        </w:rPr>
        <w:t>Present a comparison of participation in share capital and voting rights for existing shareholders before and after the capital increase resulting from the public offer, with the assumption that existing shareholders do not subscribe for the new shares and, separately, with the assumption that existing shareholders do take up their entitlement.</w:t>
      </w:r>
    </w:p>
    <w:p>
      <w:pPr>
        <w:ind w:left="567" w:hanging="567"/>
        <w:jc w:val="both"/>
      </w:pPr>
      <w:r>
        <w:rPr>
          <w:strike w:val="0"/>
          <w:color w:val="0066CC"/>
          <w:u w:val="double" w:color="0066CC"/>
        </w:rPr>
        <w:t>XVI.</w:t>
        <w:tab/>
        <w:t>Documents available</w:t>
      </w:r>
    </w:p>
    <w:p>
      <w:pPr>
        <w:ind w:left="567"/>
        <w:jc w:val="both"/>
      </w:pPr>
      <w:r>
        <w:rPr>
          <w:strike w:val="0"/>
          <w:color w:val="0066CC"/>
          <w:u w:val="double" w:color="0066CC"/>
        </w:rPr>
        <w:t>A statement that for the term of the EU Recovery prospectus the following documents, where applicable, can be inspected:</w:t>
      </w:r>
    </w:p>
    <w:p>
      <w:pPr>
        <w:ind w:left="1134" w:hanging="567"/>
        <w:jc w:val="both"/>
      </w:pPr>
      <w:r>
        <w:rPr>
          <w:strike w:val="0"/>
          <w:color w:val="0066CC"/>
          <w:u w:val="double" w:color="0066CC"/>
        </w:rPr>
        <w:t>(a)</w:t>
        <w:tab/>
        <w:t>the up to date memorandum and articles of association of the issuer;</w:t>
      </w:r>
    </w:p>
    <w:p>
      <w:pPr>
        <w:ind w:left="1134" w:hanging="567"/>
        <w:jc w:val="both"/>
      </w:pPr>
      <w:r>
        <w:rPr>
          <w:strike w:val="0"/>
          <w:color w:val="0066CC"/>
          <w:u w:val="double" w:color="0066CC"/>
        </w:rPr>
        <w:t>(b)</w:t>
        <w:tab/>
        <w:t>all reports, letters, and other documents, valuations and statements prepared by an expert at the issuer’s request any part of which is included or referred to in the EU Recovery prospectus.</w:t>
      </w:r>
    </w:p>
    <w:p>
      <w:pPr>
        <w:ind w:left="567"/>
        <w:jc w:val="both"/>
      </w:pPr>
      <w:r>
        <w:rPr>
          <w:strike w:val="0"/>
          <w:color w:val="0066CC"/>
          <w:u w:val="double" w:color="0066CC"/>
        </w:rPr>
        <w:t>An indication of the website on which the documents may be inspected.</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1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2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Commission Implementing Regulation (EU) 2016/347 of 10 March 2016 laying down implementing technical standards with regard to the precise format of insider lists and for updating insider lists in accordance with Regulation (EU) No 596/2014 of the European Parliament and of the Council (OJ L 65, 11.3.2016, p. 49).</w:t>
      </w:r>
    </w:p>
  </w:footnote>
  <w:footnote w:id="2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(EC) No 1606/2002 of the European Parliament and of the Council of 19 July 2002 on the application of international accounting standards (OJ L 243, 11.9.2002, p. 1).</w:t>
      </w:r>
    </w:p>
  </w:footnote>
  <w:footnote w:id="23">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2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w:t>
      </w:r>
    </w:p>
  </w:footnote>
  <w:footnote w:id="2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2014/65/EU of the European Parliament and of the Council of 15 May 2014 on markets in financial instruments and amending Directive 2002/92/EC and Directive 2011/61/EU (OJ L 173, 12.6.2014, p. 349).</w:t>
      </w:r>
    </w:p>
  </w:footnote>
  <w:footnote w:id="2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2015/2366 of the European Parliament and of the Council of 25 November 2015 on payment services in the internal market, amending Directives 2002/65/EC, 2009/110/EC and 2013/36/EU and Regulation (EU) No 1093/2010, and repealing Directive 2007/64/EC (OJ L 337, 23.12.2015, p. 35).</w:t>
      </w:r>
    </w:p>
  </w:footnote>
  <w:footnote w:id="2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30">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2009/110/EC of the European Parliament and of the Council of 16 September 2009 on the taking up, pursuit and prudential supervision of the business of electronic money institutions amending Directives 2005/60/EC and 2006/48/EC and repealing Directive 2000/46/EC (OJ L 267, 10.10.2009, p. 7).</w:t>
      </w:r>
    </w:p>
  </w:footnote>
  <w:footnote w:id="31">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32">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97/9/EC of the European Parliament and of the Council of 3 March 1997 on investor-compensation schemes (OJ L 84, 26.3.1997, p. 22).</w:t>
      </w:r>
    </w:p>
  </w:footnote>
  <w:footnote w:id="33">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2014/49/EU of the European Parliament and of the Council of 16 April 2014 on deposit guarantee schemes (OJ L 173, 12.6.2014, p. 149).</w:t>
      </w:r>
    </w:p>
  </w:footnote>
  <w:footnote w:id="3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2019/1937 of the European Parliament and of the Council of 23 October 2019 on the protection of persons who report breaches of Union law (OJ L 305, 26.11.2019, p. 17).</w:t>
      </w:r>
    </w:p>
  </w:footnote>
  <w:footnote w:id="3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OJ L 123, 12.5.2016, p. 1.</w:t>
      </w:r>
    </w:p>
  </w:footnote>
  <w:footnote w:id="3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3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3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3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2020/1504 of the European Parliament and of the Council of 7 October 2020 amending Directive 2014/65/EU on markets in financial instruments (see page 50 of this Official Journal).</w:t>
      </w:r>
    </w:p>
  </w:footnote>
  <w:footnote w:id="40">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41">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2019/980 of 14 March 2019 supplementing Regulation (EU) 2017/1129 of the European Parliament and of the Council as regards the format, content, scrutiny and approval of the prospectus to be published when securities are offered to the public or admitted to trading on a regulated market, and repealing Commission Regulation (EC) No 809/2004 (OJ L 166, 21.6.2019, p. 26).</w:t>
      </w:r>
    </w:p>
  </w:footnote>
  <w:footnote w:id="42">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43">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44">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2017/565 of 25 April 2016 supplementing Directive 2014/65/EU of the European Parliament and of the Council as regards organisational requirements and operating conditions for investment firms and defined terms for the purposes of that Directive (OJ L 87, 31.3.2017, p. 1).</w:t>
      </w:r>
    </w:p>
  </w:footnote>
  <w:footnote w:id="45">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2019/815 of 17 December 2018 supplementing Directive 2004/109/EC of the European Parliament and of the Council with regard to regulatory technical standards on the specification of a single electronic reporting format (OJ L 143, 29.5.2019, p. 1).</w:t>
      </w:r>
    </w:p>
  </w:footnote>
  <w:footnote w:id="4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4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4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4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5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5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5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5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54">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55">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56">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5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5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5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6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6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6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 w:id="63">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64">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537/2014 of the European Parliament and of the Council of 16 April 2014 on specific requirements regarding statutory audit of public-interest entities and repealing Commission Decision 2005/909/EC (OJ L 158, 27.5.2014, p. 77).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