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val="false"/>
          <w:bCs w:val="false"/>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Domestic Enclosures and the Fractured Self:</w:t>
      </w:r>
    </w:p>
    <w:p>
      <w:pPr>
        <w:spacing w:after="0" w:before="0" w:line="480" w:lineRule="auto"/>
        <w:jc w:val="center"/>
      </w:pPr>
      <w:r>
        <w:rPr>
          <w:rFonts w:ascii="Times New Roman" w:cs="Times New Roman" w:eastAsia="Times New Roman" w:hAnsi="Times New Roman"/>
          <w:b w:val="false"/>
          <w:bCs w:val="false"/>
          <w:sz w:val="24"/>
          <w:szCs w:val="24"/>
        </w:rPr>
        <w:t xml:space="preserve">Modernist Narrative, the Angel in the House, and the</w:t>
      </w:r>
    </w:p>
    <w:p>
      <w:pPr>
        <w:spacing w:after="0" w:before="0" w:line="480" w:lineRule="auto"/>
        <w:jc w:val="center"/>
      </w:pPr>
      <w:r>
        <w:rPr>
          <w:rFonts w:ascii="Times New Roman" w:cs="Times New Roman" w:eastAsia="Times New Roman" w:hAnsi="Times New Roman"/>
          <w:b w:val="false"/>
          <w:bCs w:val="false"/>
          <w:sz w:val="24"/>
          <w:szCs w:val="24"/>
        </w:rPr>
        <w:t xml:space="preserve">Imprisoning Space in Virginia Woolf’s To the Lighthouse</w:t>
      </w:r>
    </w:p>
    <w:p>
      <w:pPr>
        <w:spacing w:after="0" w:before="0" w:line="480" w:lineRule="auto"/>
        <w:jc w:val="center"/>
      </w:pPr>
      <w:r>
        <w:rPr>
          <w:rFonts w:ascii="Times New Roman" w:cs="Times New Roman" w:eastAsia="Times New Roman" w:hAnsi="Times New Roman"/>
          <w:b w:val="false"/>
          <w:bCs w:val="false"/>
          <w:sz w:val="24"/>
          <w:szCs w:val="24"/>
        </w:rPr>
        <w:t xml:space="preserve">and Jean Rhys’s Wide Sargasso Sea</w:t>
      </w:r>
    </w:p>
    <w:p>
      <w:pPr>
        <w:spacing w:after="480"/>
      </w:pPr>
      <w:r>
        <w:t xml:space="preserve"/>
      </w:r>
    </w:p>
    <w:p>
      <w:pPr>
        <w:spacing w:after="240" w:before="0" w:line="480" w:lineRule="auto"/>
        <w:ind w:firstLine="720"/>
        <w:jc w:val="both"/>
      </w:pPr>
      <w:r>
        <w:rPr>
          <w:rFonts w:ascii="Times New Roman" w:cs="Times New Roman" w:eastAsia="Times New Roman" w:hAnsi="Times New Roman"/>
          <w:sz w:val="24"/>
          <w:szCs w:val="24"/>
        </w:rPr>
        <w:t xml:space="preserve">In the nineteenth century, Coventry Patmore’s 1854 poem “The Angel in the House” codified the dominant feminine ideal: a selfless, spiritually pure, domestically devoted creature whose identity existed entirely in service to husband and household. By the twentieth century, the modernist novel had begun to dismantle that ideal not only thematically but formally, turning the very structure of prose into an instrument of feminist critique. Virginia Woolf’s To the Lighthouse (1927) and Jean Rhys’s Wide Sargasso Sea (1966) both enact this dismantling, though they do so from markedly different historical and racial positions. Both novels deploy stream of consciousness and interior monologue to reveal the cost of patriarchal femininity; both use domestic space—the Ramsay’s summer house on the Isle of Skye and the West Indian estate of Coulibri—as an architectural figure for psychological entrapment. Yet where Woolf’s Mrs. Ramsay is a voluntary, even loving, architect of the very structure that confines her, Rhys’s Antoinette Cosway is its unwilling prisoner, dispossessed not only of self but of name, language, and home.</w:t>
      </w:r>
    </w:p>
    <w:p>
      <w:pPr>
        <w:spacing w:after="240" w:before="0" w:line="480" w:lineRule="auto"/>
        <w:ind w:firstLine="720"/>
        <w:jc w:val="both"/>
      </w:pPr>
      <w:r>
        <w:rPr>
          <w:rFonts w:ascii="Times New Roman" w:cs="Times New Roman" w:eastAsia="Times New Roman" w:hAnsi="Times New Roman"/>
          <w:sz w:val="24"/>
          <w:szCs w:val="24"/>
        </w:rPr>
        <w:t xml:space="preserve">This essay argues that both Woolf and Rhys employ modernist stream-of-consciousness techniques to undermine any stable notion of feminine “truth,” presenting consciousness as fragmented and contested rather than coherent and authoritative; that both novels expose the Angel in the House as a form of psychic violence that disciplines women into complicity with their own erasure; and that domestic spaces in each text function simultaneously as sites of beauty, belonging, and imprisonment, reflecting the mental states of women who have been taught to love their own confinement.</w:t>
      </w:r>
    </w:p>
    <w:p>
      <w:pPr>
        <w:spacing w:after="120" w:before="320" w:line="480" w:lineRule="auto"/>
        <w:jc w:val="left"/>
      </w:pPr>
      <w:r>
        <w:rPr>
          <w:rFonts w:ascii="Times New Roman" w:cs="Times New Roman" w:eastAsia="Times New Roman" w:hAnsi="Times New Roman"/>
          <w:b/>
          <w:bCs/>
          <w:sz w:val="24"/>
          <w:szCs w:val="24"/>
        </w:rPr>
        <w:t xml:space="preserve">I. Stream of Consciousness and the Problem of “Truth”</w:t>
      </w:r>
    </w:p>
    <w:p>
      <w:pPr>
        <w:spacing w:after="240" w:before="0" w:line="480" w:lineRule="auto"/>
        <w:ind w:firstLine="720"/>
        <w:jc w:val="both"/>
      </w:pPr>
      <w:r>
        <w:rPr>
          <w:rFonts w:ascii="Times New Roman" w:cs="Times New Roman" w:eastAsia="Times New Roman" w:hAnsi="Times New Roman"/>
          <w:sz w:val="24"/>
          <w:szCs w:val="24"/>
        </w:rPr>
        <w:t xml:space="preserve">Modernist narrative technique in both novels refuses to grant any single perspective the authority of objective truth. In To the Lighthouse, Woolf distributes consciousness across multiple registers—Mrs. Ramsay’s interior thoughts, Lily Briscoe’s artistic vision, Mr. Ramsay’s philosophical brooding—so that “reality” becomes an unstable collage assembled from partial, often contradictory impressions. The famous opening of the novel immediately establishes this:</w:t>
      </w:r>
    </w:p>
    <w:p>
      <w:pPr>
        <w:spacing w:after="120" w:before="120" w:line="480" w:lineRule="auto"/>
        <w:ind w:left="720" w:right="720"/>
        <w:jc w:val="both"/>
      </w:pPr>
      <w:r>
        <w:rPr>
          <w:rFonts w:ascii="Times New Roman" w:cs="Times New Roman" w:eastAsia="Times New Roman" w:hAnsi="Times New Roman"/>
          <w:i/>
          <w:iCs/>
          <w:sz w:val="24"/>
          <w:szCs w:val="24"/>
        </w:rPr>
        <w:t xml:space="preserve">“Yes, of course, if it’s fine tomorrow,” said Mrs. Ramsay. “But you’ll have to be up with the lark,” she added. To her son these words conveyed an extraordinary joy, as if it were settled, the expedition were bound to take place, and the wonder to which he had looked forward, for years and years it seemed, was, after a long passage of danger, of waiting… within touch. Since he belonged, even at the age of six, to that great clan which cannot keep this feeling separate from that…” (Woolf, 3).</w:t>
      </w:r>
    </w:p>
    <w:p>
      <w:pPr>
        <w:spacing w:after="240" w:before="0" w:line="480" w:lineRule="auto"/>
        <w:ind w:firstLine="720"/>
        <w:jc w:val="both"/>
      </w:pPr>
      <w:r>
        <w:rPr>
          <w:rFonts w:ascii="Times New Roman" w:cs="Times New Roman" w:eastAsia="Times New Roman" w:hAnsi="Times New Roman"/>
          <w:sz w:val="24"/>
          <w:szCs w:val="24"/>
        </w:rPr>
        <w:t xml:space="preserve">Woolf slides immediately from dialogue into James’s interiority, blurring the boundary between spoken event and felt experience. The technique enacts the novel’s central epistemological claim: that what “happens” can never be separated from how it is received by the consciousness experiencing it. There is no view from nowhere. Truth is always somebody’s truth, inflected by desire, memory, and gender.</w:t>
      </w:r>
    </w:p>
    <w:p>
      <w:pPr>
        <w:spacing w:after="240" w:before="0" w:line="480" w:lineRule="auto"/>
        <w:ind w:firstLine="720"/>
        <w:jc w:val="both"/>
      </w:pPr>
      <w:r>
        <w:rPr>
          <w:rFonts w:ascii="Times New Roman" w:cs="Times New Roman" w:eastAsia="Times New Roman" w:hAnsi="Times New Roman"/>
          <w:sz w:val="24"/>
          <w:szCs w:val="24"/>
        </w:rPr>
        <w:t xml:space="preserve">This principle has direct consequences for how we understand Mrs. Ramsay. We see her largely from the outside—through James’s adoration, through her husband’s dependence, through Lily’s admiring yet critical gaze—and only intermittently from inside her own consciousness. One of the most revealing interior passages occurs when Mrs. Ramsay briefly sheds her social self and becomes “a wedge-shaped core of darkness”:</w:t>
      </w:r>
    </w:p>
    <w:p>
      <w:pPr>
        <w:spacing w:after="120" w:before="120" w:line="480" w:lineRule="auto"/>
        <w:ind w:left="720" w:right="720"/>
        <w:jc w:val="both"/>
      </w:pPr>
      <w:r>
        <w:rPr>
          <w:rFonts w:ascii="Times New Roman" w:cs="Times New Roman" w:eastAsia="Times New Roman" w:hAnsi="Times New Roman"/>
          <w:i/>
          <w:iCs/>
          <w:sz w:val="24"/>
          <w:szCs w:val="24"/>
        </w:rPr>
        <w:t xml:space="preserve">“…losing personality, one lost the fret, the hurry, the stir; and there rose to her lips always some exclamation of triumph over life when things came together in this peace, this rest, this eternity… It was odd, she thought, how if one was alone, one leant to things, inanimate things; trees, streams, flowers; felt they expressed one; felt they were one…” (Woolf, 62).</w:t>
      </w:r>
    </w:p>
    <w:p>
      <w:pPr>
        <w:spacing w:after="240" w:before="0" w:line="480" w:lineRule="auto"/>
        <w:ind w:firstLine="720"/>
        <w:jc w:val="both"/>
      </w:pPr>
      <w:r>
        <w:rPr>
          <w:rFonts w:ascii="Times New Roman" w:cs="Times New Roman" w:eastAsia="Times New Roman" w:hAnsi="Times New Roman"/>
          <w:sz w:val="24"/>
          <w:szCs w:val="24"/>
        </w:rPr>
        <w:t xml:space="preserve">The passage is remarkable because it shows Mrs. Ramsay’s interiority as constituted by the evacuation of her social role. “Truth” for her is accessible only in the cessation of performance—in solitude and darkness, away from husband, children, and guests. The stream of consciousness here does not so much reveal a self as reveal the absence of a stable self beneath the Angel persona. Woolf’s technique thus asks: if the “real” Mrs. Ramsay only exists when she stops being Mrs. Ramsay, what is she?</w:t>
      </w:r>
    </w:p>
    <w:p>
      <w:pPr>
        <w:spacing w:after="240" w:before="0" w:line="480" w:lineRule="auto"/>
        <w:ind w:firstLine="720"/>
        <w:jc w:val="both"/>
      </w:pPr>
      <w:r>
        <w:rPr>
          <w:rFonts w:ascii="Times New Roman" w:cs="Times New Roman" w:eastAsia="Times New Roman" w:hAnsi="Times New Roman"/>
          <w:sz w:val="24"/>
          <w:szCs w:val="24"/>
        </w:rPr>
        <w:t xml:space="preserve">Rhys poses the same question more violently. Wide Sargasso Sea is structured in three narrative voices—Antoinette’s, Rochester’s unnamed first-person, and then Antoinette’s again in the attic—and the effect is to show how a woman’s interior truth can be systematically colonized and overwritten by a man’s. Antoinette’s voice in Part One is lyrical, sensory, and deeply embedded in the Caribbean landscape: “There was never a time when I did not love the road from Coulibri. The sharp smell of bay leaves, the gentle curves of the hills, the smell of wood smoke…” (Rhys, 16). This is interior monologue that roots identity in place, in embodied sensation rather than social role. It establishes Antoinette’s “truth” as inseparable from her landscape.</w:t>
      </w:r>
    </w:p>
    <w:p>
      <w:pPr>
        <w:spacing w:after="240" w:before="0" w:line="480" w:lineRule="auto"/>
        <w:ind w:firstLine="720"/>
        <w:jc w:val="both"/>
      </w:pPr>
      <w:r>
        <w:rPr>
          <w:rFonts w:ascii="Times New Roman" w:cs="Times New Roman" w:eastAsia="Times New Roman" w:hAnsi="Times New Roman"/>
          <w:sz w:val="24"/>
          <w:szCs w:val="24"/>
        </w:rPr>
        <w:t xml:space="preserve">Rochester’s takeover of Part Two performs the novel’s central argument: the colonial-patriarchal system gives him the legal and narrative authority to replace Antoinette’s version of reality with his own. He renames her Bertha—“Antoinette,” he says flatly, “is not a name I will use” (Rhys, 78)—and in doing so performs an act of ontological violence. The stream of consciousness technique makes this visible in a way that third-person omniscience could not: by giving us both interior monologues in direct competition, Rhys shows that the “mad woman in the attic” of Jane Eyre was never mad at all, only heard through one man’s consciousness. Truth, both novels insist, is an effect of whose interiority gets to speak.</w:t>
      </w:r>
    </w:p>
    <w:p>
      <w:pPr>
        <w:spacing w:after="120" w:before="320" w:line="480" w:lineRule="auto"/>
        <w:jc w:val="left"/>
      </w:pPr>
      <w:r>
        <w:rPr>
          <w:rFonts w:ascii="Times New Roman" w:cs="Times New Roman" w:eastAsia="Times New Roman" w:hAnsi="Times New Roman"/>
          <w:b/>
          <w:bCs/>
          <w:sz w:val="24"/>
          <w:szCs w:val="24"/>
        </w:rPr>
        <w:t xml:space="preserve">II. The Angel in the House: Performance, Complicity, and Erasure</w:t>
      </w:r>
    </w:p>
    <w:p>
      <w:pPr>
        <w:spacing w:after="240" w:before="0" w:line="480" w:lineRule="auto"/>
        <w:ind w:firstLine="720"/>
        <w:jc w:val="both"/>
      </w:pPr>
      <w:r>
        <w:rPr>
          <w:rFonts w:ascii="Times New Roman" w:cs="Times New Roman" w:eastAsia="Times New Roman" w:hAnsi="Times New Roman"/>
          <w:sz w:val="24"/>
          <w:szCs w:val="24"/>
        </w:rPr>
        <w:t xml:space="preserve">Both Mrs. Ramsay and Antoinette are shaped, in radically different ways, by the nineteenth-century feminine ideal that Virginia Woolf would famously name in her 1931 essay “Professions for Women”: the Angel in the House who “was intensely sympathetic… immensely charming… utterly unselfish” and who “never had a mind or a wish of her own, but preferred to sympathize always with the minds and wishes of others.” Woolf admitted that she had to kill this Angel before she could write; in To the Lighthouse, she anatomizes the Angel before the killing.</w:t>
      </w:r>
    </w:p>
    <w:p>
      <w:pPr>
        <w:spacing w:after="240" w:before="0" w:line="480" w:lineRule="auto"/>
        <w:ind w:firstLine="720"/>
        <w:jc w:val="both"/>
      </w:pPr>
      <w:r>
        <w:rPr>
          <w:rFonts w:ascii="Times New Roman" w:cs="Times New Roman" w:eastAsia="Times New Roman" w:hAnsi="Times New Roman"/>
          <w:sz w:val="24"/>
          <w:szCs w:val="24"/>
        </w:rPr>
        <w:t xml:space="preserve">Mrs. Ramsay is, in many respects, a triumphant performance of the Angel. She is beautiful, self-sacrificing, and devoted to the emotional management of her household. Her dinner party in Part One, culminating in the Boeuf en Daube, is an act of almost artistic creation—she conjures harmony, warmth, and meaning out of disparate, fractious people. And yet Woolf’s stream of consciousness repeatedly interrupts the performance to show its cost. Mrs. Ramsay’s internal monologue during the dinner reveals an exhaustion beneath the charm:</w:t>
      </w:r>
    </w:p>
    <w:p>
      <w:pPr>
        <w:spacing w:after="120" w:before="120" w:line="480" w:lineRule="auto"/>
        <w:ind w:left="720" w:right="720"/>
        <w:jc w:val="both"/>
      </w:pPr>
      <w:r>
        <w:rPr>
          <w:rFonts w:ascii="Times New Roman" w:cs="Times New Roman" w:eastAsia="Times New Roman" w:hAnsi="Times New Roman"/>
          <w:i/>
          <w:iCs/>
          <w:sz w:val="24"/>
          <w:szCs w:val="24"/>
        </w:rPr>
        <w:t xml:space="preserve">“…she had the whole of the other sex under her protection; for reasons she could not explain, for their chivalry and valour, for the fact that they negotiated treaties, ruled India, controlled finance… she pitied men always as if they lacked something—lacked what she had…” (Woolf, 101).</w:t>
      </w:r>
    </w:p>
    <w:p>
      <w:pPr>
        <w:spacing w:after="240" w:before="0" w:line="480" w:lineRule="auto"/>
        <w:ind w:firstLine="720"/>
        <w:jc w:val="both"/>
      </w:pPr>
      <w:r>
        <w:rPr>
          <w:rFonts w:ascii="Times New Roman" w:cs="Times New Roman" w:eastAsia="Times New Roman" w:hAnsi="Times New Roman"/>
          <w:sz w:val="24"/>
          <w:szCs w:val="24"/>
        </w:rPr>
        <w:t xml:space="preserve">The irony is precise: Mrs. Ramsay “pities” men for their emotional incompetence even as she devotes her whole being to compensating for it. This is the Angel’s trap: the very capacities—empathy, emotional intelligence, social grace—that make her valuable are the capacities that consume her. She is shaped by the patriarchal structure to be its emotional support system, and she has internalized that shaping so deeply that she experiences it as her own nature and even as superiority.</w:t>
      </w:r>
    </w:p>
    <w:p>
      <w:pPr>
        <w:spacing w:after="240" w:before="0" w:line="480" w:lineRule="auto"/>
        <w:ind w:firstLine="720"/>
        <w:jc w:val="both"/>
      </w:pPr>
      <w:r>
        <w:rPr>
          <w:rFonts w:ascii="Times New Roman" w:cs="Times New Roman" w:eastAsia="Times New Roman" w:hAnsi="Times New Roman"/>
          <w:sz w:val="24"/>
          <w:szCs w:val="24"/>
        </w:rPr>
        <w:t xml:space="preserve">Lily Briscoe provides the novel’s counter-voice, both admiring Mrs. Ramsay and seeing clearly the mechanism of her influence. When Charles Tansley makes his misogynist pronouncement that “Women can’t paint, can’t write,” Mrs. Ramsay’s response is not protest but management: she smooths it over, protects Tansley’s feelings, keeps the social fabric intact. Lily understands what this costs: she sees the dinner party as Mrs. Ramsay’s “triumph” but also as her annihilation—her selfhood perpetually deferred in service to others. Woolf’s formal technique, the free indirect discourse that slides between Lily’s perspective and her narration, allows the reader to hold both the beauty of Mrs. Ramsay’s gift and its violence simultaneously.</w:t>
      </w:r>
    </w:p>
    <w:p>
      <w:pPr>
        <w:spacing w:after="240" w:before="0" w:line="480" w:lineRule="auto"/>
        <w:ind w:firstLine="720"/>
        <w:jc w:val="both"/>
      </w:pPr>
      <w:r>
        <w:rPr>
          <w:rFonts w:ascii="Times New Roman" w:cs="Times New Roman" w:eastAsia="Times New Roman" w:hAnsi="Times New Roman"/>
          <w:sz w:val="24"/>
          <w:szCs w:val="24"/>
        </w:rPr>
        <w:t xml:space="preserve">In Wide Sargasso Sea, the Angel ideal operates differently because Antoinette is denied access to it by race. As a white Creole—neither fully English nor Black Caribbean—Antoinette is already doubly excluded: not respectable enough for the colonial English hierarchy and, after emancipation, resented by the Black community. The childhood scene at Coulibri is paradigmatic: the young Tia, Antoinette’s only friend, calls her “white cockroach” and throws a stone at her after the house is burned (Rhys, 45). Antoinette belongs nowhere.</w:t>
      </w:r>
    </w:p>
    <w:p>
      <w:pPr>
        <w:spacing w:after="240" w:before="0" w:line="480" w:lineRule="auto"/>
        <w:ind w:firstLine="720"/>
        <w:jc w:val="both"/>
      </w:pPr>
      <w:r>
        <w:rPr>
          <w:rFonts w:ascii="Times New Roman" w:cs="Times New Roman" w:eastAsia="Times New Roman" w:hAnsi="Times New Roman"/>
          <w:sz w:val="24"/>
          <w:szCs w:val="24"/>
        </w:rPr>
        <w:t xml:space="preserve">Rochester’s marriage to Antoinette is a transaction: he needs her money, she is offered to him as a colonial commodity. The patriarchal structure here is inseparable from the colonial one. The Angel ideal—purity, domesticity, selflessness—is deployed against Antoinette rather than through her. Rochester receives anonymous letters accusing her of hereditary madness and sexual license, and rather than investigate, he uses these accusations to justify withdrawing from her emotionally and ultimately imprisoning her. Antoinette tries, desperately, to perform the role of devoted wife: “I did not always know what I was doing or why, but I knew that Rochester was watching me…” (Rhys, 64)—but the performance is legible only as evidence of madness because Rochester has already decided she is mad. The Angel ideal, Rhys shows, was always a white English ideal, and the woman who cannot conform to it is not pitied but destroyed.</w:t>
      </w:r>
    </w:p>
    <w:p>
      <w:pPr>
        <w:spacing w:after="120" w:before="320" w:line="480" w:lineRule="auto"/>
        <w:jc w:val="left"/>
      </w:pPr>
      <w:r>
        <w:rPr>
          <w:rFonts w:ascii="Times New Roman" w:cs="Times New Roman" w:eastAsia="Times New Roman" w:hAnsi="Times New Roman"/>
          <w:b/>
          <w:bCs/>
          <w:sz w:val="24"/>
          <w:szCs w:val="24"/>
        </w:rPr>
        <w:t xml:space="preserve">III. Domestic Space as Psychological Architecture</w:t>
      </w:r>
    </w:p>
    <w:p>
      <w:pPr>
        <w:spacing w:after="240" w:before="0" w:line="480" w:lineRule="auto"/>
        <w:ind w:firstLine="720"/>
        <w:jc w:val="both"/>
      </w:pPr>
      <w:r>
        <w:rPr>
          <w:rFonts w:ascii="Times New Roman" w:cs="Times New Roman" w:eastAsia="Times New Roman" w:hAnsi="Times New Roman"/>
          <w:sz w:val="24"/>
          <w:szCs w:val="24"/>
        </w:rPr>
        <w:t xml:space="preserve">Both novels use houses not merely as settings but as externalizations of their characters’ mental and emotional states. The Ramsay’s summer house on Skye and the Coulibri estate in Jamaica are deeply ambivalent spaces—simultaneously beloved and imprisoning, beautiful and decaying—that map the inner lives of the women who inhabit them.</w:t>
      </w:r>
    </w:p>
    <w:p>
      <w:pPr>
        <w:spacing w:after="240" w:before="0" w:line="480" w:lineRule="auto"/>
        <w:ind w:firstLine="720"/>
        <w:jc w:val="both"/>
      </w:pPr>
      <w:r>
        <w:rPr>
          <w:rFonts w:ascii="Times New Roman" w:cs="Times New Roman" w:eastAsia="Times New Roman" w:hAnsi="Times New Roman"/>
          <w:sz w:val="24"/>
          <w:szCs w:val="24"/>
        </w:rPr>
        <w:t xml:space="preserve">In To the Lighthouse, the house on Skye is saturated with Mrs. Ramsay’s presence throughout Part One, and its meaning shifts completely in “Time Passes,” where Woolf allows the house to exist without her. The second section—brief, almost parenthetical—describes the house falling into disrepair during the war years:</w:t>
      </w:r>
    </w:p>
    <w:p>
      <w:pPr>
        <w:spacing w:after="120" w:before="120" w:line="480" w:lineRule="auto"/>
        <w:ind w:left="720" w:right="720"/>
        <w:jc w:val="both"/>
      </w:pPr>
      <w:r>
        <w:rPr>
          <w:rFonts w:ascii="Times New Roman" w:cs="Times New Roman" w:eastAsia="Times New Roman" w:hAnsi="Times New Roman"/>
          <w:i/>
          <w:iCs/>
          <w:sz w:val="24"/>
          <w:szCs w:val="24"/>
        </w:rPr>
        <w:t xml:space="preserve">“…the swallows nested in the drawing room; the carpet was ruined… Tortoiseshell butterflies burst from the chrysalis and pattered their life out on the window-pane. Poppies sowed themselves among the dahlias…” (Woolf, 137).</w:t>
      </w:r>
    </w:p>
    <w:p>
      <w:pPr>
        <w:spacing w:after="240" w:before="0" w:line="480" w:lineRule="auto"/>
        <w:ind w:firstLine="720"/>
        <w:jc w:val="both"/>
      </w:pPr>
      <w:r>
        <w:rPr>
          <w:rFonts w:ascii="Times New Roman" w:cs="Times New Roman" w:eastAsia="Times New Roman" w:hAnsi="Times New Roman"/>
          <w:sz w:val="24"/>
          <w:szCs w:val="24"/>
        </w:rPr>
        <w:t xml:space="preserve">The house without its mistress becomes nature’s property; the domestic order Mrs. Ramsay maintained against entropy dissolves the moment she is gone. This is Woolf’s most devastating critique of the Angel ideal: Mrs. Ramsay’s entire identity has been invested in a structure that outlasts her by only a few years and then crumbles. The house was always an extension of her psychic labor, and “Time Passes” strips that labor bare by showing what happens without it.</w:t>
      </w:r>
    </w:p>
    <w:p>
      <w:pPr>
        <w:spacing w:after="240" w:before="0" w:line="480" w:lineRule="auto"/>
        <w:ind w:firstLine="720"/>
        <w:jc w:val="both"/>
      </w:pPr>
      <w:r>
        <w:rPr>
          <w:rFonts w:ascii="Times New Roman" w:cs="Times New Roman" w:eastAsia="Times New Roman" w:hAnsi="Times New Roman"/>
          <w:sz w:val="24"/>
          <w:szCs w:val="24"/>
        </w:rPr>
        <w:t xml:space="preserve">Yet the house is also genuinely beloved. Lily’s return in Part Three is haunted by the specific textures of Mrs. Ramsay’s domesticity—the particular quality of the garden, the light on the water, the shape of the hedge. These details accumulate into a portrait of a woman whose inner world was inseparable from her domestic world. Woolf does not simply condemn the house; she mourns it, and mourns Mrs. Ramsay, precisely because the beauty of what the Angel creates is real even when the structure that demands it is unjust. The lighthouse itself, ever-present and unreachable across the bay, functions as the novel’s central symbol of longing and the unattainable: James wants to cross to it from the first page, and the crossing that finally occurs in Part Three comes after Mrs. Ramsay’s death and changes nothing.</w:t>
      </w:r>
    </w:p>
    <w:p>
      <w:pPr>
        <w:spacing w:after="240" w:before="0" w:line="480" w:lineRule="auto"/>
        <w:ind w:firstLine="720"/>
        <w:jc w:val="both"/>
      </w:pPr>
      <w:r>
        <w:rPr>
          <w:rFonts w:ascii="Times New Roman" w:cs="Times New Roman" w:eastAsia="Times New Roman" w:hAnsi="Times New Roman"/>
          <w:sz w:val="24"/>
          <w:szCs w:val="24"/>
        </w:rPr>
        <w:t xml:space="preserve">In Wide Sargasso Sea, Coulibri is established from Antoinette’s very first sentences as a house in decline: “Our garden was large and beautiful as that garden in the Bible—the tree of life grew there. But it had gone wild. The paths were overgrown and a smell of dead flowers mixed with the fresh living smell. Underneath the tree ferns, tall as forest tree ferns, the light was green. Everywhere else was burnt or bleached or in shadow” (Rhys, 16–17). The garden-as-paradise-gone-wild is a condensed image of Antoinette’s situation: she exists in a space of extraordinary beauty that has become untended, liminal, neither cultivated nor truly wild. The post-emancipation plantation is a space in between orders, and Antoinette inhabits that in-between—belonging to the old colonial world that is gone, excluded from the new one.</w:t>
      </w:r>
    </w:p>
    <w:p>
      <w:pPr>
        <w:spacing w:after="240" w:before="0" w:line="480" w:lineRule="auto"/>
        <w:ind w:firstLine="720"/>
        <w:jc w:val="both"/>
      </w:pPr>
      <w:r>
        <w:rPr>
          <w:rFonts w:ascii="Times New Roman" w:cs="Times New Roman" w:eastAsia="Times New Roman" w:hAnsi="Times New Roman"/>
          <w:sz w:val="24"/>
          <w:szCs w:val="24"/>
        </w:rPr>
        <w:t xml:space="preserve">When Coulibri is burned, Antoinette does not simply lose a house; she loses the material anchor of her identity. The psychological consequences are immediate and permanent: “Was it because I remembered that that made it so difficult? I would try to forget. But it was as if the house and the garden and the land and the sky had all been taken away, and I was left with nothing” (Rhys, 45). The house was not merely a residence but a self. Its destruction anticipates the later destruction of Antoinette’s name and identity by Rochester.</w:t>
      </w:r>
    </w:p>
    <w:p>
      <w:pPr>
        <w:spacing w:after="240" w:before="0" w:line="480" w:lineRule="auto"/>
        <w:ind w:firstLine="720"/>
        <w:jc w:val="both"/>
      </w:pPr>
      <w:r>
        <w:rPr>
          <w:rFonts w:ascii="Times New Roman" w:cs="Times New Roman" w:eastAsia="Times New Roman" w:hAnsi="Times New Roman"/>
          <w:sz w:val="24"/>
          <w:szCs w:val="24"/>
        </w:rPr>
        <w:t xml:space="preserve">The final domestic space—the attic at Thornfield—completes the pattern. Rhys gives us only Antoinette’s dream-vision of the attic in Part Three, written in a hallucinatory interior monologue that mirrors her fractured consciousness:</w:t>
      </w:r>
    </w:p>
    <w:p>
      <w:pPr>
        <w:spacing w:after="120" w:before="120" w:line="480" w:lineRule="auto"/>
        <w:ind w:left="720" w:right="720"/>
        <w:jc w:val="both"/>
      </w:pPr>
      <w:r>
        <w:rPr>
          <w:rFonts w:ascii="Times New Roman" w:cs="Times New Roman" w:eastAsia="Times New Roman" w:hAnsi="Times New Roman"/>
          <w:i/>
          <w:iCs/>
          <w:sz w:val="24"/>
          <w:szCs w:val="24"/>
        </w:rPr>
        <w:t xml:space="preserve">“I went into the hall again with the tall candle in my hand. It was then that I saw her—the ghost. The woman with streaming hair. She was surrounded by a gilt frame but I knew her. I dropped the candle. She was gone and there was darkness and when I saw the wax I thought, I have been asleep…” (Rhys, 154).</w:t>
      </w:r>
    </w:p>
    <w:p>
      <w:pPr>
        <w:spacing w:after="240" w:before="0" w:line="480" w:lineRule="auto"/>
        <w:ind w:firstLine="720"/>
        <w:jc w:val="both"/>
      </w:pPr>
      <w:r>
        <w:rPr>
          <w:rFonts w:ascii="Times New Roman" w:cs="Times New Roman" w:eastAsia="Times New Roman" w:hAnsi="Times New Roman"/>
          <w:sz w:val="24"/>
          <w:szCs w:val="24"/>
        </w:rPr>
        <w:t xml:space="preserve">The woman in the mirror is Antoinette’s own reflection, which she no longer recognizes as herself. The domestic space—the English house, the attic—has completed its work: it has so thoroughly separated Antoinette from her Caribbean self, from her memories of Coulibri and the smell of dead flowers, that she sees her own face as a stranger’s, a ghost’s. The attic that Charlotte Brontë used as a space of containment Rhys reclaims as a space of psychological devastation, and the interior monologue is the only adequate form for it because it is a consciousness dissolving from the inside.</w:t>
      </w:r>
    </w:p>
    <w:p>
      <w:pPr>
        <w:spacing w:after="120" w:before="320" w:line="480" w:lineRule="auto"/>
        <w:jc w:val="left"/>
      </w:pPr>
      <w:r>
        <w:rPr>
          <w:rFonts w:ascii="Times New Roman" w:cs="Times New Roman" w:eastAsia="Times New Roman" w:hAnsi="Times New Roman"/>
          <w:b/>
          <w:bCs/>
          <w:sz w:val="24"/>
          <w:szCs w:val="24"/>
        </w:rPr>
        <w:t xml:space="preserve">Conclusion</w:t>
      </w:r>
    </w:p>
    <w:p>
      <w:pPr>
        <w:spacing w:after="240" w:before="0" w:line="480" w:lineRule="auto"/>
        <w:ind w:firstLine="720"/>
        <w:jc w:val="both"/>
      </w:pPr>
      <w:r>
        <w:rPr>
          <w:rFonts w:ascii="Times New Roman" w:cs="Times New Roman" w:eastAsia="Times New Roman" w:hAnsi="Times New Roman"/>
          <w:sz w:val="24"/>
          <w:szCs w:val="24"/>
        </w:rPr>
        <w:t xml:space="preserve">Both To the Lighthouse and Wide Sargasso Sea use the formal resources of literary modernism—stream of consciousness, free indirect discourse, multiple competing perspectives—to perform what could not be stated directly: that the feminine “truth” produced by the nineteenth century was always a construction, always an imposition, always purchased at the cost of women’s inner lives. Woolf traces this cost in the beautiful, exhausted interiority of Mrs. Ramsay, a woman who has so thoroughly inhabited the Angel that she can only find herself in darkness and solitude, in the cessation of performance. Rhys traces it in the violent dispossession of Antoinette, a woman denied even the consolation of the Angel ideal and destroyed by the colonial-patriarchal machinery that Mrs. Ramsay’s world depends upon but never examines.</w:t>
      </w:r>
    </w:p>
    <w:p>
      <w:pPr>
        <w:spacing w:after="240" w:before="0" w:line="480" w:lineRule="auto"/>
        <w:ind w:firstLine="720"/>
        <w:jc w:val="both"/>
      </w:pPr>
      <w:r>
        <w:rPr>
          <w:rFonts w:ascii="Times New Roman" w:cs="Times New Roman" w:eastAsia="Times New Roman" w:hAnsi="Times New Roman"/>
          <w:sz w:val="24"/>
          <w:szCs w:val="24"/>
        </w:rPr>
        <w:t xml:space="preserve">The houses they inhabit—the summer house on Skye, the burning ruins of Coulibri, the attic at Thornfield—are not merely settings but psychic topographies, architectural correlatives of consciousness in various stages of confinement and collapse. Woolf mourns the beauty of the world the Angel maintained even as she diagnoses its injustice. Rhys offers no such ambivalence: for Antoinette, the domestic space is a trap without elegance, a prison without the comfort of being called home.</w:t>
      </w:r>
    </w:p>
    <w:p>
      <w:pPr>
        <w:spacing w:after="240" w:before="0" w:line="480" w:lineRule="auto"/>
        <w:ind w:firstLine="720"/>
        <w:jc w:val="both"/>
      </w:pPr>
      <w:r>
        <w:rPr>
          <w:rFonts w:ascii="Times New Roman" w:cs="Times New Roman" w:eastAsia="Times New Roman" w:hAnsi="Times New Roman"/>
          <w:sz w:val="24"/>
          <w:szCs w:val="24"/>
        </w:rPr>
        <w:t xml:space="preserve">Together, the novels constitute a sweeping modernist argument: that the Angel in the House was never a figure of feminine flourishing but of feminine annihilation, and that the domestic spaces she was assigned to beautify were always, in the most intimate and architectural sense, her cage. It took the fragmented, polyphonic, deeply interior form of the modernist novel to make that visible—because only by inhabiting women’s consciousness from the inside could literature show what it cost to live there.</w:t>
      </w:r>
    </w:p>
    <w:p>
      <w:pPr>
        <w:spacing w:after="240" w:before="480" w:line="480" w:lineRule="auto"/>
        <w:jc w:val="center"/>
      </w:pPr>
      <w:r>
        <w:rPr>
          <w:rFonts w:ascii="Times New Roman" w:cs="Times New Roman" w:eastAsia="Times New Roman" w:hAnsi="Times New Roman"/>
          <w:b/>
          <w:bCs/>
          <w:sz w:val="24"/>
          <w:szCs w:val="24"/>
        </w:rPr>
        <w:t xml:space="preserve">Works Cited</w:t>
      </w:r>
    </w:p>
    <w:p>
      <w:pPr>
        <w:spacing w:after="240" w:before="0" w:line="480" w:lineRule="auto"/>
        <w:ind w:left="720" w:hanging="720"/>
        <w:jc w:val="both"/>
      </w:pPr>
      <w:r>
        <w:rPr>
          <w:rFonts w:ascii="Times New Roman" w:cs="Times New Roman" w:eastAsia="Times New Roman" w:hAnsi="Times New Roman"/>
          <w:sz w:val="24"/>
          <w:szCs w:val="24"/>
        </w:rPr>
        <w:t xml:space="preserve">Patmore, Coventry. The Angel in the House. John W. Parker and Son, 1854.</w:t>
      </w:r>
    </w:p>
    <w:p>
      <w:pPr>
        <w:spacing w:after="240" w:before="0" w:line="480" w:lineRule="auto"/>
        <w:ind w:left="720" w:hanging="720"/>
        <w:jc w:val="both"/>
      </w:pPr>
      <w:r>
        <w:rPr>
          <w:rFonts w:ascii="Times New Roman" w:cs="Times New Roman" w:eastAsia="Times New Roman" w:hAnsi="Times New Roman"/>
          <w:sz w:val="24"/>
          <w:szCs w:val="24"/>
        </w:rPr>
        <w:t xml:space="preserve">Rhys, Jean. Wide Sargasso Sea. 1966. Norton, 1999.</w:t>
      </w:r>
    </w:p>
    <w:p>
      <w:pPr>
        <w:spacing w:after="240" w:before="0" w:line="480" w:lineRule="auto"/>
        <w:ind w:left="720" w:hanging="720"/>
        <w:jc w:val="both"/>
      </w:pPr>
      <w:r>
        <w:rPr>
          <w:rFonts w:ascii="Times New Roman" w:cs="Times New Roman" w:eastAsia="Times New Roman" w:hAnsi="Times New Roman"/>
          <w:sz w:val="24"/>
          <w:szCs w:val="24"/>
        </w:rPr>
        <w:t xml:space="preserve">Woolf, Virginia. To the Lighthouse. 1927. Harcourt, 1981.</w:t>
      </w:r>
    </w:p>
    <w:p>
      <w:pPr>
        <w:spacing w:after="240" w:before="0" w:line="480" w:lineRule="auto"/>
        <w:ind w:left="720" w:hanging="720"/>
        <w:jc w:val="both"/>
      </w:pPr>
      <w:r>
        <w:rPr>
          <w:rFonts w:ascii="Times New Roman" w:cs="Times New Roman" w:eastAsia="Times New Roman" w:hAnsi="Times New Roman"/>
          <w:sz w:val="24"/>
          <w:szCs w:val="24"/>
        </w:rPr>
        <w:t xml:space="preserve">Woolf, Virginia. “Professions for Women.” The Death of the Moth and Other Essays, Harcourt, 1942, pp. 235–242.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24"/>
        <w:szCs w:val="24"/>
      </w:rPr>
      <w:t xml:space="preserve">DOMESTIC ENCLOSURES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2026-05-23T11:38:03.735Z</dcterms:created>
  <dcterms:modified xsi:type="dcterms:W3CDTF">2026-05-23T11:38:03.735Z</dcterms:modified>
</cp:coreProperties>
</file>

<file path=docProps/custom.xml><?xml version="1.0" encoding="utf-8"?>
<Properties xmlns="http://schemas.openxmlformats.org/officeDocument/2006/custom-properties" xmlns:vt="http://schemas.openxmlformats.org/officeDocument/2006/docPropsVTypes"/>
</file>