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6C775">
      <w:pPr>
        <w:pStyle w:val="2"/>
      </w:pPr>
      <w:r>
        <w:t>Blockchain Technology and Applications</w:t>
      </w:r>
    </w:p>
    <w:p w14:paraId="30650C29">
      <w:pPr>
        <w:pStyle w:val="3"/>
      </w:pPr>
      <w:r>
        <w:t>35-Part Study Division — Ahmed Banafa</w:t>
      </w:r>
    </w:p>
    <w:p w14:paraId="7E255F16">
      <w:pPr>
        <w:spacing w:after="10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Book: </w:t>
      </w:r>
      <w:r>
        <w:rPr>
          <w:rFonts w:ascii="Arial" w:hAnsi="Arial" w:eastAsia="Arial" w:cs="Arial"/>
          <w:sz w:val="20"/>
          <w:szCs w:val="20"/>
        </w:rPr>
        <w:t>Blockchain Technology and Applications</w:t>
      </w:r>
      <w:r>
        <w:rPr>
          <w:rFonts w:ascii="Arial" w:hAnsi="Arial" w:eastAsia="Arial" w:cs="Arial"/>
          <w:color w:val="94A3B8"/>
          <w:sz w:val="20"/>
          <w:szCs w:val="20"/>
        </w:rPr>
        <w:t xml:space="preserve">   |  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Author: </w:t>
      </w:r>
      <w:r>
        <w:rPr>
          <w:rFonts w:ascii="Arial" w:hAnsi="Arial" w:eastAsia="Arial" w:cs="Arial"/>
          <w:sz w:val="20"/>
          <w:szCs w:val="20"/>
        </w:rPr>
        <w:t xml:space="preserve">Ahmed Banafa   |  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Total content pages: </w:t>
      </w:r>
      <w:r>
        <w:rPr>
          <w:rFonts w:ascii="Arial" w:hAnsi="Arial" w:eastAsia="Arial" w:cs="Arial"/>
          <w:sz w:val="20"/>
          <w:szCs w:val="20"/>
        </w:rPr>
        <w:t xml:space="preserve">140   |  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Pages per part: </w:t>
      </w:r>
      <w:r>
        <w:rPr>
          <w:rFonts w:ascii="Arial" w:hAnsi="Arial" w:eastAsia="Arial" w:cs="Arial"/>
          <w:sz w:val="20"/>
          <w:szCs w:val="20"/>
        </w:rPr>
        <w:t>4 pages</w:t>
      </w:r>
    </w:p>
    <w:p w14:paraId="372809C2">
      <w:pPr>
        <w:pBdr>
          <w:bottom w:val="single" w:color="2563EB" w:sz="6" w:space="1"/>
        </w:pBdr>
        <w:spacing w:after="200"/>
      </w:pPr>
      <w:r>
        <w:rPr>
          <w:rFonts w:ascii="Arial" w:hAnsi="Arial" w:eastAsia="Arial" w:cs="Arial"/>
          <w:b/>
          <w:bCs/>
          <w:color w:val="1E3A5F"/>
          <w:sz w:val="20"/>
          <w:szCs w:val="20"/>
        </w:rPr>
        <w:t xml:space="preserve">How to use: </w:t>
      </w:r>
      <w:r>
        <w:rPr>
          <w:rFonts w:ascii="Arial" w:hAnsi="Arial" w:eastAsia="Arial" w:cs="Arial"/>
          <w:sz w:val="20"/>
          <w:szCs w:val="20"/>
        </w:rPr>
        <w:t xml:space="preserve">Each student reads their assigned part number. Use </w:t>
      </w:r>
      <w:r>
        <w:rPr>
          <w:rFonts w:ascii="Arial" w:hAnsi="Arial" w:eastAsia="Arial" w:cs="Arial"/>
          <w:b/>
          <w:bCs/>
          <w:sz w:val="20"/>
          <w:szCs w:val="20"/>
        </w:rPr>
        <w:t>Book Pages</w:t>
      </w:r>
      <w:r>
        <w:rPr>
          <w:rFonts w:ascii="Arial" w:hAnsi="Arial" w:eastAsia="Arial" w:cs="Arial"/>
          <w:sz w:val="20"/>
          <w:szCs w:val="20"/>
        </w:rPr>
        <w:t xml:space="preserve"> to navigate the printed book, or </w:t>
      </w:r>
      <w:r>
        <w:rPr>
          <w:rFonts w:ascii="Arial" w:hAnsi="Arial" w:eastAsia="Arial" w:cs="Arial"/>
          <w:b/>
          <w:bCs/>
          <w:sz w:val="20"/>
          <w:szCs w:val="20"/>
        </w:rPr>
        <w:t>PDF Pages</w:t>
      </w:r>
      <w:r>
        <w:rPr>
          <w:rFonts w:ascii="Arial" w:hAnsi="Arial" w:eastAsia="Arial" w:cs="Arial"/>
          <w:sz w:val="20"/>
          <w:szCs w:val="20"/>
        </w:rPr>
        <w:t xml:space="preserve"> to navigate the digital file.</w:t>
      </w:r>
    </w:p>
    <w:p w14:paraId="398BCCDB">
      <w:pPr>
        <w:spacing w:after="160"/>
      </w:pPr>
    </w:p>
    <w:tbl>
      <w:tblPr>
        <w:tblStyle w:val="9"/>
        <w:tblW w:w="10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1064"/>
        <w:gridCol w:w="4305"/>
        <w:gridCol w:w="4305"/>
      </w:tblGrid>
      <w:tr w14:paraId="3DCAB926">
        <w:trPr>
          <w:tblHeader/>
        </w:trPr>
        <w:tc>
          <w:tcPr>
            <w:tcW w:w="684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CE7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Part #</w:t>
            </w:r>
          </w:p>
        </w:tc>
        <w:tc>
          <w:tcPr>
            <w:tcW w:w="1064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FC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Book Pages</w:t>
            </w:r>
          </w:p>
        </w:tc>
        <w:tc>
          <w:tcPr>
            <w:tcW w:w="4305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AB5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Chapter / Content</w:t>
            </w:r>
          </w:p>
        </w:tc>
        <w:tc>
          <w:tcPr>
            <w:tcW w:w="4305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A85D1">
            <w:pPr>
              <w:jc w:val="center"/>
              <w:rPr>
                <w:rFonts w:hint="default" w:ascii="Arial" w:hAnsi="Arial" w:eastAsia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FFFFFF"/>
                <w:sz w:val="20"/>
                <w:szCs w:val="20"/>
                <w:lang w:val="en-US"/>
              </w:rPr>
              <w:t>Student Name &amp; ID:</w:t>
            </w:r>
          </w:p>
        </w:tc>
      </w:tr>
      <w:tr w14:paraId="2B5EAA81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BF15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886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3–6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9A52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Ch.1: Introduction to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4D691A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5AE2901E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5C07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EA7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7–10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BE6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Ch.1: Introduction to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4D3BFF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53F2F7BD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D504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F164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11–14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C0B2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Ch.1: Introduction to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BF8D3B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7F75686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F580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4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E2A1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15–18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738E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Ch.2: Consensus Protocols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929526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7F8D9C6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AABE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5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0956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19–22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0EEC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Ch.2: Consensus Protocols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0EE41C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18BC5AE5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F82F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6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340F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23–26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D203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Ch.3: Key Blockchain Use Cases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EA05F3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6BF7FEF9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FE73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7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3997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27–30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731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Ch.3: Key Blockchain Use Cases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5D898C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3E74F50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43DD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8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2C75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31–34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276C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Ch.3 end + Ch.4: Important Topics in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B4011A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2651C8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1F4F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9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7F27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35–38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6BC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Ch.4: Important Topics in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8331BE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03764758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73DB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10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2E9A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39–42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488A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Ch.4: Important Topics in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DB80A0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9644BD1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DAF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11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419E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43–46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3BB2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Ch.5: Decentralized Applications (DApps)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12DFF8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4B2FF1D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1E91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12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82D3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47–50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AA45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Ch.5: Decentralized Applications (DApps)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8F251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1A3B63F9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3F8F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13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5EBE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51–54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E259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Ch.6: Using Blockchain to Secure IoT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5B09CD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79B78DC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A6C1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14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F802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55–58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4DA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Ch.6: Using Blockchain to Secure IoT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CEC5CF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903AED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D71A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15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F35E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59–62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94F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Ch.7: IoT and Blockchain: Challenges and Risks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B863B2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259101E1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82D4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16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241F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63–66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DC6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Ch.7: IoT and Blockchain: Challenges and Risks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B4B77A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2935A6D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A93C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17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03EB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67–70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2C84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Ch.8: IoT, AI and Blockchain: Catalysts for Digital Transformation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E68760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B90454C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EE86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18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B53A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71–74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7D3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Ch.8 end + Ch.9: Myths about Blockchain Technology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31DCA7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02B5648B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6255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19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B6BD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75–78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9584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Ch.9: Myths about Blockchain Technology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9C283E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7F1D1DF0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4044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20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8D9C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79–82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493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Ch.9 end + Ch.10: Cybersecurity &amp;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BDA234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6274D52B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0AA3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21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3AFC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83–86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044C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Ch.10: Cybersecurity &amp;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2B4B21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54C42852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C78C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22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E8FB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87–90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C4CB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Ch.10 end + Ch.11: Blockchain and AI: A Perfect Match?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EC7DC1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58D51436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8699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23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525D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91–94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605A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Ch.11: Blockchain and AI: A Perfect Match?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64D5FF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9D4522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60DB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24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64BE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95–98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BAB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Ch.12: Quantum Computing and Blockchain: Facts and Myths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4B4F28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613A892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C5E8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25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81C6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99–102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F38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Ch.12: Quantum Computing and Blockchain: Facts and Myths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8BADA3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6B3B2B8C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9BC8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26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6A5A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103–106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645D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Ch.13: Cryptocurrency: To Libra or not To Libra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CCE7B0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ED2294C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6D36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27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9DAF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107–110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351A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Ch.13: Cryptocurrency: To Libra or not To Libra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DCC19C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E221C5C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1828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28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AF87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111–114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7ABD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Ch.13: Cryptocurrency: To Libra or not To Libra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710480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1CD2B3B3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5347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29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EA4A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115–118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29A8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Ch.13: Cryptocurrency: To Libra or not To Libra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39B1B5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9F3F179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2F4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30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EBBE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119–122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9019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Ch.13 end + Ch.14: Future Trends of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6A34D4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7B7C719C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0B55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31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771E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123–126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306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Ch.14: Future Trends of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6EBCB2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68B1C545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B0DF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32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1113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127–130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1C0E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Ch.14: Future Trends of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021BD2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D494374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CFAD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33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CF3A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131–134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29EE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Ch.14: Future Trends of Blockchain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923657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0F714323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B61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34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5DD9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135–138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84B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Ch.14 end + Ch.15: Blockchain Technology and COVID-19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83635F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6B90335F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6A4D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Part 35</w:t>
            </w: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5998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139–142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F664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>Ch.15: Blockchain Technology and COVID-19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8D8E71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7E62A52A">
        <w:tc>
          <w:tcPr>
            <w:tcW w:w="10358" w:type="dxa"/>
            <w:gridSpan w:val="4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15A289">
            <w:pPr>
              <w:jc w:val="center"/>
              <w:rPr>
                <w:rFonts w:hint="default"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color w:val="1E293B"/>
                <w:sz w:val="32"/>
                <w:szCs w:val="32"/>
                <w:lang w:val="en-US"/>
              </w:rPr>
              <w:t>Teacher given topics for presentation</w:t>
            </w:r>
          </w:p>
        </w:tc>
      </w:tr>
      <w:tr w14:paraId="402267E7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6BE59F">
            <w:pPr>
              <w:jc w:val="both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3F14BB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0656DE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Byzantine Fault Tolerance (BFT)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606F15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3D924048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C34667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09F632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903D9E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Leased Proof of Stake (LPoS)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435EFC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27D39CA6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1821DE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621966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369548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Proof of Elapsed Time (PoET)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1D3289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5AAFF88A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A7C657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E35BC6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15A6A0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Proof of Activity (PoA)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8C07EB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03370241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43A592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4A4167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C5451F">
            <w:pPr>
              <w:jc w:val="left"/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Proof of Importance (PoI)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2E6D8D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44874493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DF3C0A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75EA47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243247">
            <w:pPr>
              <w:jc w:val="left"/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Proof of Capacity (PoC)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383E65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  <w:tr w14:paraId="02857112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23B14A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9E3B8F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3D9432">
            <w:pPr>
              <w:jc w:val="left"/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</w:pPr>
            <w:r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  <w:t>Proof of Burn (PoB)</w:t>
            </w: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796DAF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  <w:bookmarkStart w:id="0" w:name="_GoBack"/>
            <w:bookmarkEnd w:id="0"/>
          </w:p>
        </w:tc>
      </w:tr>
      <w:tr w14:paraId="0E84DCDE">
        <w:tc>
          <w:tcPr>
            <w:tcW w:w="68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A192C4">
            <w:pPr>
              <w:jc w:val="center"/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C862F0">
            <w:pPr>
              <w:jc w:val="center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7992F5">
            <w:pPr>
              <w:jc w:val="left"/>
              <w:rPr>
                <w:rFonts w:hint="default" w:ascii="Arial" w:hAnsi="Arial" w:eastAsia="Arial"/>
                <w:b w:val="0"/>
                <w:bCs w:val="0"/>
                <w:color w:val="1E293B"/>
                <w:sz w:val="20"/>
                <w:szCs w:val="20"/>
              </w:rPr>
            </w:pPr>
          </w:p>
        </w:tc>
        <w:tc>
          <w:tcPr>
            <w:tcW w:w="4305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79DBD3">
            <w:pPr>
              <w:jc w:val="left"/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</w:pPr>
          </w:p>
        </w:tc>
      </w:tr>
    </w:tbl>
    <w:p w14:paraId="5B2757D8">
      <w:pPr>
        <w:spacing w:before="300" w:after="8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Notes</w:t>
      </w:r>
    </w:p>
    <w:p w14:paraId="10344F3C">
      <w:pPr>
        <w:spacing w:after="6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•  </w:t>
      </w:r>
      <w:r>
        <w:rPr>
          <w:rFonts w:ascii="Arial" w:hAnsi="Arial" w:eastAsia="Arial" w:cs="Arial"/>
          <w:sz w:val="20"/>
          <w:szCs w:val="20"/>
        </w:rPr>
        <w:t>Parts where two chapters overlap (e.g. Part 8, 18, 20, 22, 30, 34) include the final pages of one chapter and the opening pages of the next.</w:t>
      </w:r>
    </w:p>
    <w:p w14:paraId="1C27B322">
      <w:pPr>
        <w:spacing w:after="60"/>
      </w:pPr>
      <w:r>
        <w:rPr>
          <w:rFonts w:ascii="Arial" w:hAnsi="Arial" w:eastAsia="Arial" w:cs="Arial"/>
          <w:b/>
          <w:bCs/>
          <w:color w:val="2563EB"/>
          <w:sz w:val="20"/>
          <w:szCs w:val="20"/>
        </w:rPr>
        <w:t xml:space="preserve">•  </w:t>
      </w:r>
      <w:r>
        <w:rPr>
          <w:rFonts w:ascii="Arial" w:hAnsi="Arial" w:eastAsia="Arial" w:cs="Arial"/>
          <w:sz w:val="20"/>
          <w:szCs w:val="20"/>
        </w:rPr>
        <w:t>The book has 15 chapters and 140 content pages, split evenly into 4 pages per part.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7FDA5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00" w:after="16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3">
    <w:name w:val="heading 2"/>
    <w:next w:val="1"/>
    <w:qFormat/>
    <w:uiPriority w:val="0"/>
    <w:pPr>
      <w:spacing w:before="160" w:after="100"/>
      <w:outlineLvl w:val="1"/>
    </w:pPr>
    <w:rPr>
      <w:rFonts w:ascii="Arial" w:hAnsi="Arial" w:eastAsia="Arial" w:cs="Arial"/>
      <w:b/>
      <w:bCs/>
      <w:color w:val="2563E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Muhammadsodiq Shukurillayev</cp:lastModifiedBy>
  <dcterms:modified xsi:type="dcterms:W3CDTF">2026-04-04T12:50:04Z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62A4A45A57CAF4D56C8AD0699434934F_42</vt:lpwstr>
  </property>
</Properties>
</file>