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sz w:val="32"/>
          <w:szCs w:val="32"/>
          <w:b w:val="1"/>
          <w:bCs w:val="1"/>
        </w:rPr>
        <w:t xml:space="preserve">Товарный чек</w:t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Товарный чек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Код товара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Наименование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Количество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Стоимость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Сухой корм для беременных и кормящих кошек, для котят Royal Canin Mother &amp; Babycat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99</w:t>
            </w:r>
          </w:p>
        </w:tc>
      </w:tr>
    </w:tbl>
    <w:p>
      <w:pPr/>
      <w:r>
        <w:rPr>
          <w:sz w:val="32"/>
          <w:szCs w:val="32"/>
          <w:b w:val="1"/>
          <w:bCs w:val="1"/>
        </w:rPr>
        <w:t xml:space="preserve">Итоговая стоимость: 99 руб.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Товарный чек">
    <w:name w:val="Товарный чек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1266f1;"/>
        </w:tblBorders>
        <w:tcPr>
          <w:shd w:val="clear" w:fill="F93154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2021-06-19T22:04:38+00:00</dcterms:created>
  <dcterms:modified xsi:type="dcterms:W3CDTF">2021-06-19T22:04:38+00:00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