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46BFF" w:rsidP="00426301">
      <w:pPr>
        <w:pStyle w:val="Heading1"/>
        <w:spacing w:before="0"/>
      </w:pPr>
      <w:r>
        <w:t>Linkages between freshwater nutrient cycles revealed through time series metagenomics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426301" w:rsidRPr="00426301">
        <w:rPr>
          <w:vertAlign w:val="superscript"/>
        </w:rPr>
        <w:t>3</w:t>
      </w:r>
      <w:r>
        <w:t>, Rex R. Malmstrom</w:t>
      </w:r>
      <w:r w:rsidR="00426301" w:rsidRPr="00426301">
        <w:rPr>
          <w:vertAlign w:val="superscript"/>
        </w:rPr>
        <w:t>4</w:t>
      </w:r>
      <w:r>
        <w:t>, Stefan Bertilsson</w:t>
      </w:r>
      <w:r w:rsidR="00426301" w:rsidRPr="00426301">
        <w:rPr>
          <w:vertAlign w:val="superscript"/>
        </w:rPr>
        <w:t>5</w:t>
      </w:r>
      <w:r>
        <w:t>, Katherine D. McMahon</w:t>
      </w:r>
      <w:r w:rsidR="00426301" w:rsidRPr="00426301">
        <w:rPr>
          <w:vertAlign w:val="superscript"/>
        </w:rPr>
        <w:t>1,3</w:t>
      </w:r>
    </w:p>
    <w:p w:rsidR="00426301" w:rsidRDefault="00A15AC4" w:rsidP="00426301">
      <w:pPr>
        <w:rPr>
          <w:vertAlign w:val="superscript"/>
        </w:rPr>
      </w:pPr>
      <w:r w:rsidRPr="00426301">
        <w:rPr>
          <w:vertAlign w:val="superscript"/>
        </w:rPr>
        <w:t>1</w:t>
      </w:r>
      <w:r w:rsidR="00426301">
        <w:t xml:space="preserve">Department of Bacteriology, University of Wisconsin – Madison, </w:t>
      </w:r>
      <w:r w:rsidRPr="00426301">
        <w:rPr>
          <w:vertAlign w:val="superscript"/>
        </w:rPr>
        <w:t>2</w:t>
      </w:r>
      <w:r w:rsidR="00426301">
        <w:t xml:space="preserve">Department of Biochemistry, University of Wisconsin – Madison, </w:t>
      </w:r>
      <w:r>
        <w:rPr>
          <w:vertAlign w:val="superscript"/>
        </w:rPr>
        <w:t>3</w:t>
      </w:r>
      <w:r w:rsidR="00426301">
        <w:t>Department of Civil and Environmental Engineering, University of Wisconsin – Madison</w:t>
      </w:r>
      <w:r w:rsidR="00426301" w:rsidRPr="00426301">
        <w:t xml:space="preserve">, </w:t>
      </w:r>
      <w:r>
        <w:rPr>
          <w:vertAlign w:val="superscript"/>
        </w:rPr>
        <w:t>4</w:t>
      </w:r>
      <w:r w:rsidR="00426301">
        <w:t xml:space="preserve">Department of Energy Joint Genome Institute, </w:t>
      </w:r>
      <w:r>
        <w:rPr>
          <w:vertAlign w:val="superscript"/>
        </w:rPr>
        <w:t>5</w:t>
      </w:r>
      <w:r w:rsidR="005555E0">
        <w:t>Department of Ecology and Genetics, Limnology and Science for Life Laboratory</w:t>
      </w:r>
      <w:r w:rsidR="00426301">
        <w:t>, Uppsala Universi</w:t>
      </w:r>
      <w:r w:rsidR="005555E0">
        <w:t>ty</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275</w:t>
      </w:r>
    </w:p>
    <w:p w:rsidR="00426301" w:rsidRDefault="00E240CC" w:rsidP="00426301">
      <w:r>
        <w:t>Article</w:t>
      </w:r>
      <w:r w:rsidR="00426301">
        <w:t xml:space="preserve"> word count:</w:t>
      </w:r>
      <w:r w:rsidR="00DC3B2C">
        <w:t xml:space="preserve"> 5,028 (including citations)</w:t>
      </w:r>
    </w:p>
    <w:p w:rsidR="00426301" w:rsidRDefault="00426301" w:rsidP="00426301"/>
    <w:p w:rsidR="00426301" w:rsidRDefault="00426301" w:rsidP="00426301">
      <w:r>
        <w:t>Running title: Linkages between freshwater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t>Because microbes are responsible for much of the nutrient cycling in freshwater, metabolic processes at the microbial scale influence ecosystem</w:t>
      </w:r>
      <w:r w:rsidR="00A15AC4">
        <w:t>-level</w:t>
      </w:r>
      <w:r>
        <w:t xml:space="preserve"> functions. One approach to predicting the metabolic capabilities of microbial communities is searching for functional marker genes in metagenomes. However, this method does not provide </w:t>
      </w:r>
      <w:r w:rsidR="005555E0">
        <w:t xml:space="preserve">information </w:t>
      </w:r>
      <w:r>
        <w:t xml:space="preserve">about the populations carrying these marker genes, such as detailed taxonomy and co-occurrence with other </w:t>
      </w:r>
      <w:r w:rsidR="005555E0">
        <w:t>metabolic traits</w:t>
      </w:r>
      <w:r w:rsidR="00A15AC4">
        <w:t xml:space="preserve"> at an organism-scale</w:t>
      </w:r>
      <w:r>
        <w:t xml:space="preserve">. In this </w:t>
      </w:r>
      <w:r w:rsidR="00A15AC4">
        <w:t>study</w:t>
      </w:r>
      <w:r>
        <w:t>, we combine a functional marker gene analysis with pathway prediction of metagenome-assembled genomes from a metagenomic time series to ask how nutrient cycles are linked in freshwater</w:t>
      </w:r>
      <w:r w:rsidR="005555E0">
        <w:t xml:space="preserve"> bacterioplankton</w:t>
      </w:r>
      <w:r>
        <w:t xml:space="preserve">. Comparing our results across Lake Mendota, a eutrophic lake, and Trout Bog, a </w:t>
      </w:r>
      <w:proofErr w:type="spellStart"/>
      <w:r>
        <w:t>humic</w:t>
      </w:r>
      <w:proofErr w:type="spellEnd"/>
      <w:r>
        <w:t xml:space="preserve"> lake, revealed both similarities and differences in microbial nutrient cycling. </w:t>
      </w:r>
      <w:proofErr w:type="spellStart"/>
      <w:r>
        <w:t>Phototrophy</w:t>
      </w:r>
      <w:proofErr w:type="spellEnd"/>
      <w:r>
        <w:t>, carbon fixation, and nitrogen fixation</w:t>
      </w:r>
      <w:r w:rsidR="003F0487">
        <w:t xml:space="preserve"> pathways</w:t>
      </w:r>
      <w:r>
        <w:t xml:space="preserve"> were linked in </w:t>
      </w:r>
      <w:r w:rsidR="00A15AC4">
        <w:t xml:space="preserve">Cyanobacteria </w:t>
      </w:r>
      <w:r>
        <w:t xml:space="preserve">populations in Lake Mendota and in </w:t>
      </w:r>
      <w:proofErr w:type="spellStart"/>
      <w:r>
        <w:t>Chlorobiales</w:t>
      </w:r>
      <w:proofErr w:type="spellEnd"/>
      <w:r>
        <w:t xml:space="preserve"> in Trout Bog. Using our time series, we show that populations of Cyanobacteria strongly correlated to functional marker genes for nitrogen fixation in several years. Genes encoding steps in the nitrogen and sulfur cycles varied in abundance and taxonomy by lake, presumably reflecting the availability and composition of inorganic nutrients in these systems. We were also able to identify which populations contained the greatest density and diversity of genes encoding glycoside hydrolases</w:t>
      </w:r>
      <w:r w:rsidR="00426301">
        <w:t xml:space="preserve"> </w:t>
      </w:r>
      <w:r>
        <w:t xml:space="preserve">and found that chitinases and cellulases were the most </w:t>
      </w:r>
      <w:r w:rsidR="00A15AC4">
        <w:t xml:space="preserve">frequently </w:t>
      </w:r>
      <w:r>
        <w:t>observed types of these enzymes in our freshwater groups. Populations with many glycoside hydrolases also encoded pathways for sugar degradation. Using both genomes and marker genes, we are better able to link function to specific taxonomic groups in our metagenomic time series. These genome-enabled insights and others presented here enable a more detailed understanding of freshwater microbial nutrient cycling.</w:t>
      </w:r>
    </w:p>
    <w:p w:rsidR="008853A5" w:rsidRDefault="00046BFF" w:rsidP="00DC3B2C">
      <w:pPr>
        <w:pStyle w:val="Heading1"/>
        <w:spacing w:before="0"/>
      </w:pPr>
      <w:r>
        <w:lastRenderedPageBreak/>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We have learned much about freshwater microbes through</w:t>
      </w:r>
      <w:r>
        <w:t xml:space="preserve"> previous research has revealed high levels of diversity and change over time in freshwater microbial communities </w:t>
      </w:r>
      <w:r w:rsidR="00F433E3">
        <w:fldChar w:fldCharType="begin" w:fldLock="1"/>
      </w:r>
      <w:r w:rsidR="00F91AC0">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et al.,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level information about microbial metabolisms is currently not incorporated</w:t>
      </w:r>
      <w:r w:rsidR="00613B0C">
        <w:t xml:space="preserve"> well</w:t>
      </w:r>
      <w:r>
        <w:t xml:space="preserve"> into </w:t>
      </w:r>
      <w:r w:rsidR="00613B0C">
        <w:t xml:space="preserve">conceptual </w:t>
      </w:r>
      <w:r>
        <w:t xml:space="preserve">models of freshwater nutrient cycling.  </w:t>
      </w:r>
    </w:p>
    <w:p w:rsidR="003F0487" w:rsidRDefault="003F0487" w:rsidP="003F0487">
      <w:pPr>
        <w:ind w:firstLine="720"/>
      </w:pPr>
      <w:r>
        <w:t xml:space="preserve">Although aquatic microbes </w:t>
      </w:r>
      <w:r w:rsidR="00613B0C">
        <w:t>are often classified</w:t>
      </w:r>
      <w:r>
        <w:t xml:space="preserve"> exclusively </w:t>
      </w:r>
      <w:r w:rsidR="00613B0C">
        <w:t xml:space="preserve">as </w:t>
      </w:r>
      <w:r>
        <w:t xml:space="preserve">decomposers or phytoplankton, their role and relative importance in the food chain </w:t>
      </w:r>
      <w:r w:rsidR="00613B0C">
        <w:t>is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Dissolved organic carbon (DOC) is produced at every trophic level, but this carbon is often not in a form directly available to be consumed by secondary or tertiary trophic levels. Instead, microbes are responsible for processing this DOC, producing biomass, and subsequently being consumed. This process of maintaining lost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t xml:space="preserve"> or provide energy to chemo</w:t>
      </w:r>
      <w:r w:rsidR="00613B0C">
        <w:t>litho</w:t>
      </w:r>
      <w:r>
        <w:t>trophs that is u</w:t>
      </w:r>
      <w:r w:rsidR="00613B0C">
        <w:t>sed</w:t>
      </w:r>
      <w:r>
        <w:t xml:space="preserve"> by other trophic levels.  Microbial conversions of inorganic </w:t>
      </w:r>
      <w:r>
        <w:lastRenderedPageBreak/>
        <w:t>compounds are often just as crucial to freshwater nutrient cycling as the degradation of organic compounds.</w:t>
      </w:r>
      <w:r>
        <w:tab/>
      </w:r>
    </w:p>
    <w:p w:rsidR="008853A5" w:rsidRDefault="00046BFF" w:rsidP="00DC3B2C">
      <w:r>
        <w:tab/>
        <w:t xml:space="preserve">Previously, we used time series metagenomics to assemble nearly 200 </w:t>
      </w:r>
      <w:r w:rsidR="003F0487">
        <w:t xml:space="preserve">medium to </w:t>
      </w:r>
      <w:r>
        <w:t>high</w:t>
      </w:r>
      <w:r w:rsidR="003F0487">
        <w:t xml:space="preserve"> </w:t>
      </w:r>
      <w:r>
        <w:t>quality</w:t>
      </w:r>
      <w:r w:rsidR="00613B0C">
        <w:t xml:space="preserve"> (metagenome-assembled genomes)</w:t>
      </w:r>
      <w:r>
        <w:t xml:space="preserve"> MAGs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3F0487">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3F0487">
        <w:fldChar w:fldCharType="separate"/>
      </w:r>
      <w:r w:rsidR="003F0487" w:rsidRPr="003F0487">
        <w:rPr>
          <w:noProof/>
        </w:rPr>
        <w:t>(Bowers et al., 2017)</w:t>
      </w:r>
      <w:r w:rsidR="003F0487">
        <w:fldChar w:fldCharType="end"/>
      </w:r>
      <w:r>
        <w:t xml:space="preserve">. </w:t>
      </w:r>
      <w:r w:rsidR="00622EC1">
        <w:t>T</w:t>
      </w:r>
      <w:r>
        <w:t>his dataset ha</w:t>
      </w:r>
      <w:r w:rsidR="003F0487">
        <w:t>s</w:t>
      </w:r>
      <w:r>
        <w:t xml:space="preserve"> been used to 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in Lake Mendota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Lake Mendota and Trout Bog were chosen as the study sites for 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 their previous 16S</w:t>
      </w:r>
      <w:r w:rsidR="00613B0C">
        <w:t xml:space="preserve"> rRNA gene-based</w:t>
      </w:r>
      <w:r>
        <w:t xml:space="preserve"> time series analyses </w:t>
      </w:r>
      <w:r w:rsidR="00622EC1">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622EC1">
        <w:fldChar w:fldCharType="separate"/>
      </w:r>
      <w:r w:rsidR="00622EC1" w:rsidRPr="00622EC1">
        <w:rPr>
          <w:noProof/>
        </w:rPr>
        <w:t>(Hall et al., 2017; Linz et al., 2017)</w:t>
      </w:r>
      <w:r w:rsidR="00622EC1">
        <w:fldChar w:fldCharType="end"/>
      </w:r>
      <w:r w:rsidR="00622EC1">
        <w:t xml:space="preserve">, </w:t>
      </w:r>
      <w:r>
        <w:t>and their contrasting limnological attributes (Table 1</w:t>
      </w:r>
      <w:r w:rsidR="00832F7B">
        <w:t>, Table S1</w:t>
      </w:r>
      <w:r>
        <w:t>).</w:t>
      </w:r>
    </w:p>
    <w:p w:rsidR="008853A5" w:rsidRDefault="00046BFF" w:rsidP="00DC3B2C">
      <w:r>
        <w:tab/>
        <w:t xml:space="preserve">While gene-centric methods </w:t>
      </w:r>
      <w:r w:rsidR="00613B0C">
        <w:t>are one method that can</w:t>
      </w:r>
      <w:r w:rsidR="005555E0">
        <w:t xml:space="preserve"> be used to infer</w:t>
      </w:r>
      <w:r>
        <w:t xml:space="preserve"> </w:t>
      </w:r>
      <w:r w:rsidR="005555E0">
        <w:t xml:space="preserve">the potential metabolic processes occurring </w:t>
      </w:r>
      <w:r w:rsidR="00613B0C">
        <w:t>at a</w:t>
      </w:r>
      <w:r w:rsidR="005555E0">
        <w:t xml:space="preserve"> community</w:t>
      </w:r>
      <w:r w:rsidR="00613B0C">
        <w:t xml:space="preserve"> level</w:t>
      </w:r>
      <w:r>
        <w:t xml:space="preserve">, these approaches cannot address the critical role of coupled metabolic processes taking place within the boundary of a cell. In this research, </w:t>
      </w:r>
      <w:r w:rsidR="00770B63">
        <w:t xml:space="preserve">we </w:t>
      </w:r>
      <w:r>
        <w:t xml:space="preserve">use functional marker genes and metagenome-assembled genomes (MAGs) from two freshwater lakes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Some types of metabolism were found in both lakes, but in different taxonomic groups. We demonstrate how MAGs and metagenomic time series can be used to track specific phylogenetic groups capable of key biogeochemical transformations. Finally, we introduce the </w:t>
      </w:r>
      <w:r w:rsidR="00613B0C">
        <w:lastRenderedPageBreak/>
        <w:t>MAG collection as a valuable community resource for other freshwater microbial ecologists to mine and incorporate into comparative studies across lakes around the world.</w:t>
      </w:r>
    </w:p>
    <w:p w:rsidR="008853A5" w:rsidRDefault="00046BFF" w:rsidP="00DC3B2C">
      <w:pPr>
        <w:pStyle w:val="Heading1"/>
      </w:pPr>
      <w:r>
        <w:t>Methods</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xml:space="preserve">.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 throughout the water column; the sampling depths were most often 0-2 meters for the epilimnion and 2-7 meters for the hypolimnion. DNA was collected by filtering 150 mL of the integrated samples on 0.2-um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Kit (MP Biomedicals, Burlingame, CA, USA).</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sequenced using the Illumina </w:t>
      </w:r>
      <w:proofErr w:type="spellStart"/>
      <w:r>
        <w:t>TruSeq</w:t>
      </w:r>
      <w:proofErr w:type="spellEnd"/>
      <w:r>
        <w:t xml:space="preserve"> protocol on the Illumina </w:t>
      </w:r>
      <w:proofErr w:type="spellStart"/>
      <w:r>
        <w:t>GAIIx</w:t>
      </w:r>
      <w:proofErr w:type="spellEnd"/>
      <w:r>
        <w:t xml:space="preserve"> platform (Illumina) </w:t>
      </w:r>
      <w:r w:rsidR="00A917DD">
        <w:t xml:space="preserve">(Data S1). </w:t>
      </w:r>
      <w:r w:rsidR="00613B0C">
        <w:t>Paired-end sequencing reads were merged with FLASH v1.0.3 with a mismatch value of less than 0.25 and a minimum of 10 overlapping bases, resulting in merge read lengths of 150-290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amplicon </w:t>
      </w:r>
      <w:proofErr w:type="spellStart"/>
      <w:r>
        <w:t>iTag</w:t>
      </w:r>
      <w:proofErr w:type="spellEnd"/>
      <w:r>
        <w:t xml:space="preserve"> sequencing was also performed on these samples</w:t>
      </w:r>
      <w:r w:rsidR="00A87224" w:rsidRPr="00A87224">
        <w:t xml:space="preserve">. Samples from Trout Bog were sequenced </w:t>
      </w:r>
      <w:r w:rsidR="00A87224">
        <w:t xml:space="preserve">on a 454 GS FLX-Titanium; the V6-V8 region was </w:t>
      </w:r>
      <w:r w:rsidR="00A87224">
        <w:lastRenderedPageBreak/>
        <w:t>targeted using primers 926F and 1392R</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A87224">
        <w:t xml:space="preserve">. Samples from Lake Mendota were sequenced on an Illumina </w:t>
      </w:r>
      <w:proofErr w:type="spellStart"/>
      <w:r w:rsidR="00A87224">
        <w:t>MiSeq</w:t>
      </w:r>
      <w:proofErr w:type="spellEnd"/>
      <w:r w:rsidR="00A87224">
        <w:t xml:space="preserve">, and the V4 region was targeted using primers 525F and 806F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16S rRNA amplicon data was analyzed in </w:t>
      </w:r>
      <w:proofErr w:type="spellStart"/>
      <w:r w:rsidR="00D81AA1">
        <w:t>mothur</w:t>
      </w:r>
      <w:proofErr w:type="spellEnd"/>
      <w:r w:rsidR="00D81AA1">
        <w:t xml:space="preserve"> and classified using the freshwater-specific </w:t>
      </w:r>
      <w:proofErr w:type="spellStart"/>
      <w:r w:rsidR="00D81AA1">
        <w:t>TaxAss</w:t>
      </w:r>
      <w:proofErr w:type="spellEnd"/>
      <w:r w:rsidR="00D81AA1">
        <w:t xml:space="preserve"> workflow as previously described </w:t>
      </w:r>
      <w:r w:rsidR="00D81AA1">
        <w:fldChar w:fldCharType="begin" w:fldLock="1"/>
      </w:r>
      <w:r w:rsidR="009E1F39">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"id" : "ITEM-3",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"ITEM-3",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"(Schloss et al., 2009; Hall et al., 2017; Linz et al., 2017)", "plainTextFormattedCitation" : "(Schloss et al., 2009; Hall et al., 2017; Linz et al., 2017)", "previouslyFormattedCitation" : "(Schloss et al., 2009; Hall et al., 2017; Linz et al., 2017)" }, "properties" : {  }, "schema" : "https://github.com/citation-style-language/schema/raw/master/csl-citation.json" }</w:instrText>
      </w:r>
      <w:r w:rsidR="00D81AA1">
        <w:fldChar w:fldCharType="separate"/>
      </w:r>
      <w:r w:rsidR="00D81AA1" w:rsidRPr="00D81AA1">
        <w:rPr>
          <w:noProof/>
        </w:rPr>
        <w:t>(Schloss et al., 2009; Hall et al., 2017; Linz et al., 2017)</w:t>
      </w:r>
      <w:r w:rsidR="00D81AA1">
        <w:fldChar w:fldCharType="end"/>
      </w:r>
      <w:r w:rsidR="00D81AA1">
        <w:t>.</w:t>
      </w:r>
    </w:p>
    <w:p w:rsidR="008853A5" w:rsidRDefault="00046BFF" w:rsidP="00DC3B2C">
      <w:pPr>
        <w:ind w:firstLine="720"/>
      </w:pPr>
      <w:r>
        <w:t>To analyze functional marker genes in the metagenomes, we used a custom database of reference protein sequences</w:t>
      </w:r>
      <w:r w:rsidR="00D115FB">
        <w:t xml:space="preserve"> (Data S2)</w:t>
      </w:r>
      <w:r>
        <w:t xml:space="preserve"> </w:t>
      </w:r>
      <w:r w:rsidRPr="00D05772">
        <w:rPr>
          <w:highlight w:val="yellow"/>
        </w:rPr>
        <w:t>(Karthik - any citation needed?)</w:t>
      </w:r>
      <w:r>
        <w:t xml:space="preserve"> and identified open reading frames </w:t>
      </w:r>
      <w:r w:rsidR="001D2345">
        <w:t xml:space="preserve">(ORFs) </w:t>
      </w:r>
      <w:r>
        <w:t xml:space="preserve">in our unassembled metagenomic time series using Prodigal </w:t>
      </w:r>
      <w:r w:rsidR="00D05772">
        <w:fldChar w:fldCharType="begin" w:fldLock="1"/>
      </w:r>
      <w:r w:rsidR="00D05772">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rsidR="00D05772">
        <w:fldChar w:fldCharType="separate"/>
      </w:r>
      <w:r w:rsidR="00D05772" w:rsidRPr="00D05772">
        <w:rPr>
          <w:noProof/>
        </w:rPr>
        <w:t>(Hyatt et al., 2010)</w:t>
      </w:r>
      <w:r w:rsidR="00D05772">
        <w:fldChar w:fldCharType="end"/>
      </w:r>
      <w:r>
        <w:t xml:space="preserve">. </w:t>
      </w:r>
      <w:r w:rsidR="001D2345">
        <w:t xml:space="preserve">This analysis was conducted on merged reads. </w:t>
      </w:r>
      <w:r>
        <w:t xml:space="preserve">The protein sequences and </w:t>
      </w:r>
      <w:r w:rsidR="001D2345">
        <w:t>ORFs</w:t>
      </w:r>
      <w:r>
        <w:t xml:space="preserve"> were compared using </w:t>
      </w:r>
      <w:proofErr w:type="spellStart"/>
      <w:r>
        <w:t>BLASTx</w:t>
      </w:r>
      <w:proofErr w:type="spellEnd"/>
      <w:r>
        <w:t xml:space="preserve"> </w:t>
      </w:r>
      <w:r w:rsidR="00D05772">
        <w:fldChar w:fldCharType="begin" w:fldLock="1"/>
      </w:r>
      <w:r w:rsidR="00D05772">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rsidR="00D05772">
        <w:fldChar w:fldCharType="separate"/>
      </w:r>
      <w:r w:rsidR="00D05772" w:rsidRPr="00D05772">
        <w:rPr>
          <w:noProof/>
        </w:rPr>
        <w:t>(Camacho et al., 2009)</w:t>
      </w:r>
      <w:r w:rsidR="00D05772">
        <w:fldChar w:fldCharType="end"/>
      </w:r>
      <w:r>
        <w:t xml:space="preserve">, with a cutoff of 30% ID across the length of the </w:t>
      </w:r>
      <w:r w:rsidR="001D2345">
        <w:t>ORF</w:t>
      </w:r>
      <w:r>
        <w:t xml:space="preserve">. Significant differences in gene frequency between sites were tested using </w:t>
      </w:r>
      <w:proofErr w:type="spellStart"/>
      <w:r>
        <w:t>LEfSE</w:t>
      </w:r>
      <w:proofErr w:type="spellEnd"/>
      <w:r>
        <w:t xml:space="preserve"> </w:t>
      </w:r>
      <w:r w:rsidR="00D05772">
        <w:fldChar w:fldCharType="begin" w:fldLock="1"/>
      </w:r>
      <w:r w:rsidR="00751BEC">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rsidR="00D05772">
        <w:fldChar w:fldCharType="separate"/>
      </w:r>
      <w:r w:rsidR="00D05772" w:rsidRPr="00D05772">
        <w:rPr>
          <w:noProof/>
        </w:rPr>
        <w:t>(Segata et al., 2012)</w:t>
      </w:r>
      <w:r w:rsidR="00D05772">
        <w:fldChar w:fldCharType="end"/>
      </w:r>
      <w:r>
        <w:t xml:space="preserve">. </w:t>
      </w:r>
    </w:p>
    <w:p w:rsidR="008853A5" w:rsidRPr="002C4D58" w:rsidRDefault="00046BFF" w:rsidP="00DC3B2C">
      <w:pPr>
        <w:ind w:firstLine="720"/>
      </w:pPr>
      <w:r>
        <w:t>To recover MAGS,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w:t>
      </w:r>
      <w:proofErr w:type="spellStart"/>
      <w:r>
        <w:t>SOAPdenovo</w:t>
      </w:r>
      <w:proofErr w:type="spellEnd"/>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A total of</w:t>
      </w:r>
      <w:r w:rsidR="00D81AA1">
        <w:t xml:space="preserve"> </w:t>
      </w:r>
      <w:r>
        <w:t>94 samples were pooled for Lake Mendota, while 47 metagenomes were pooled for each layer in Trout Bog (</w:t>
      </w:r>
      <w:r w:rsidR="00832F7B">
        <w:t>Table</w:t>
      </w:r>
      <w:r>
        <w:t xml:space="preserve"> S2). Contigs from the combined assemblies were binned using </w:t>
      </w:r>
      <w:proofErr w:type="spellStart"/>
      <w:r>
        <w:t>MetaBat</w:t>
      </w:r>
      <w:proofErr w:type="spellEnd"/>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metagenomic reads were mapped to the assembled contigs using the Burrows-Wheeler Aligner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allowing time-series resolved binning. DOE JGI’s Integrated Microbial Genome (IMG) database tool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annotation and prediction. </w:t>
      </w:r>
      <w:r w:rsidR="001D2345">
        <w:t xml:space="preserve">Annotated MAGs can be retrieved directly from the IMG database and JGI’s Genome </w:t>
      </w:r>
      <w:r w:rsidR="001D2345">
        <w:lastRenderedPageBreak/>
        <w:t xml:space="preserve">Portal using the IMG Genome ID provided (also known as IMG Taxon ID). </w:t>
      </w:r>
      <w:r>
        <w:t xml:space="preserve">MAG completeness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8853A5" w:rsidRPr="002C4D58" w:rsidRDefault="00046BFF" w:rsidP="002C4D58">
      <w:pPr>
        <w:pStyle w:val="NoSpacing"/>
        <w:spacing w:line="480" w:lineRule="auto"/>
        <w:rPr>
          <w:color w:val="000000"/>
          <w:bdr w:val="none" w:sz="0" w:space="0" w:color="auto" w:frame="1"/>
        </w:rPr>
      </w:pPr>
      <w:r w:rsidRPr="002C4D58">
        <w:tab/>
        <w:t xml:space="preserve">Only MAGs 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at least a medium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Pathways were analyzed by exporting IMG’s functional annotations for the MAGs, including KEGG, COG, </w:t>
      </w:r>
      <w:r w:rsidR="00087969" w:rsidRPr="002C4D58">
        <w:t>PFAM</w:t>
      </w:r>
      <w:r w:rsidRPr="002C4D58">
        <w:t xml:space="preserve">, and TIGR annotations, and aggregating annotations by the pathways in which they participate. To </w:t>
      </w:r>
      <w:r w:rsidR="005555E0" w:rsidRPr="002C4D58">
        <w:t>score presence</w:t>
      </w:r>
      <w:r w:rsidRPr="002C4D58">
        <w:t xml:space="preserve">, a pathway must have had at least 50% of the required enzymes encoded by genes in a MAG and, if there were steps unique to a pathway, at least one gene encoding a unique step.  Glycoside hydrolases were annotated using </w:t>
      </w:r>
      <w:proofErr w:type="spellStart"/>
      <w:r w:rsidRPr="002C4D58">
        <w:t>dbCAN</w:t>
      </w:r>
      <w:proofErr w:type="spellEnd"/>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lastRenderedPageBreak/>
        <w:t>Results/Discussion</w:t>
      </w:r>
    </w:p>
    <w:p w:rsidR="008853A5" w:rsidRDefault="00046BFF" w:rsidP="00DC3B2C">
      <w:pPr>
        <w:pStyle w:val="Heading2"/>
      </w:pPr>
      <w:bookmarkStart w:id="0" w:name="_wkxuqpnkgwuw" w:colFirst="0" w:colLast="0"/>
      <w:bookmarkEnd w:id="0"/>
      <w:r>
        <w:t>Functional Marker Gene Analysis</w:t>
      </w:r>
    </w:p>
    <w:p w:rsidR="008853A5" w:rsidRDefault="00046BFF" w:rsidP="00DC3B2C">
      <w:r>
        <w:tab/>
        <w:t>To assess potential differences in microbial metabolisms between Lake Mendota and Trout Bog, we first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the comparison </w:t>
      </w:r>
      <w:r w:rsidR="001D2345">
        <w:t>illogical</w:t>
      </w:r>
      <w:r>
        <w:t>. Many genes differed significantly by site, indicating contrasting gene content between lakes and layers (</w:t>
      </w:r>
      <w:r w:rsidR="009E6A17">
        <w:t>Data S3</w:t>
      </w:r>
      <w:r>
        <w:t>). To further infer differences in microbial metabolism from th</w:t>
      </w:r>
      <w:r w:rsidR="001D2345">
        <w:t>e</w:t>
      </w:r>
      <w:r>
        <w:t>s</w:t>
      </w:r>
      <w:r w:rsidR="001D2345">
        <w:t>e</w:t>
      </w:r>
      <w:r>
        <w:t xml:space="preserve"> data,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p>
    <w:p w:rsidR="008853A5" w:rsidRDefault="00046BFF" w:rsidP="00DC3B2C">
      <w:pPr>
        <w:ind w:firstLine="720"/>
      </w:pPr>
      <w:r>
        <w:t xml:space="preserve">This analysis revealed that </w:t>
      </w:r>
      <w:proofErr w:type="spellStart"/>
      <w:r>
        <w:t>RubisCo</w:t>
      </w:r>
      <w:proofErr w:type="spellEnd"/>
      <w:r>
        <w:t>, the marker gene for carbon fixation via the Calvin-Benson-</w:t>
      </w:r>
      <w:proofErr w:type="spellStart"/>
      <w:r>
        <w:t>Bassham</w:t>
      </w:r>
      <w:proofErr w:type="spellEnd"/>
      <w:r>
        <w:t xml:space="preserve"> cycle, was most frequently observed in the epilimnion of Trout Bog (Figure 1, </w:t>
      </w:r>
      <w:r w:rsidR="00F90674">
        <w:t>Table S3</w:t>
      </w:r>
      <w:r>
        <w:t>). Citrate lyase, the marker for carbon fixation via the reverse TCA cycle, was observed more often in the hypolimnion of Trout Bog than in the two epilimnion sites. Most nitrogen cycling genes differed significantly across all three sites, with the Trout Bog hypolimnion typically having greater numbers of hits for these genes. Sulfur cycling genes showed fewer significant difference</w:t>
      </w:r>
      <w:r w:rsidR="005555E0">
        <w:t>s</w:t>
      </w:r>
      <w:r>
        <w:t xml:space="preserve"> between sites, with sulfur oxidation (SOX) and sulfide reduction (sulfide quinone reductase) genes more abundant in Trout Bog compared to Mendota. These contrasts in the abundance of functional </w:t>
      </w:r>
      <w:r>
        <w:lastRenderedPageBreak/>
        <w:t>marker genes suggest</w:t>
      </w:r>
      <w:r w:rsidR="001D2345">
        <w:t>ed</w:t>
      </w:r>
      <w:r>
        <w:t xml:space="preserve"> significant differences in the metabolisms of microbial communities between lakes. </w:t>
      </w:r>
    </w:p>
    <w:p w:rsidR="008853A5" w:rsidRDefault="00046BFF" w:rsidP="00DC3B2C">
      <w:pPr>
        <w:pStyle w:val="Heading2"/>
      </w:pPr>
      <w:r>
        <w:t>Overview of the MAGs</w:t>
      </w:r>
    </w:p>
    <w:p w:rsidR="00D81AA1" w:rsidRDefault="00046BFF" w:rsidP="00DC3B2C">
      <w:pPr>
        <w:ind w:firstLine="720"/>
      </w:pPr>
      <w:r>
        <w:t>While our functional marker gene analysis demonstrated significant differences in gene content between our study sites, it cannot</w:t>
      </w:r>
      <w:r w:rsidR="00D81AA1">
        <w:t xml:space="preserve"> always</w:t>
      </w:r>
      <w:r>
        <w:t xml:space="preserve"> provide</w:t>
      </w:r>
      <w:r w:rsidR="00D81AA1">
        <w:t xml:space="preserve"> reliable</w:t>
      </w:r>
      <w:r>
        <w:t xml:space="preserve"> information about the phylogeny of the microorganisms carrying these genes or about the co-occurrence of these genes within the same populations.</w:t>
      </w:r>
      <w:r w:rsidR="00D81AA1">
        <w:t xml:space="preserve"> Different evolutionary rates and horizontal gene transfer make inferring taxonomy from a single gene problematic.</w:t>
      </w:r>
      <w:r>
        <w:t xml:space="preserve"> To address these questions, we assembled MAGs from the same metagenomic time series and predicted metabolic pathways present in freshwater populations based on genomic content. </w:t>
      </w:r>
    </w:p>
    <w:p w:rsidR="008853A5" w:rsidRDefault="00046BFF" w:rsidP="00DC3B2C">
      <w:pPr>
        <w:ind w:firstLine="720"/>
      </w:pPr>
      <w:r>
        <w:t>A total of 194</w:t>
      </w:r>
      <w:r w:rsidR="005F1EC7">
        <w:t xml:space="preserve"> medium to</w:t>
      </w:r>
      <w:r>
        <w:t xml:space="preserve"> high quality bacterial metagenome assembled genomes (MAGs) were recovered from the two metagenomic time series in Trout Bog and Lake Mendota</w:t>
      </w:r>
      <w:r w:rsidR="005F572D">
        <w:t xml:space="preserve"> (Data S5)</w:t>
      </w:r>
      <w:r>
        <w:t xml:space="preserve">. These genomes ranged in </w:t>
      </w:r>
      <w:r w:rsidR="001D2345">
        <w:t xml:space="preserve">estimated </w:t>
      </w:r>
      <w:r>
        <w:t>completeness from 50</w:t>
      </w:r>
      <w:r w:rsidR="001D2345">
        <w:t xml:space="preserve"> to </w:t>
      </w:r>
      <w:r>
        <w:t>99%</w:t>
      </w:r>
      <w:r w:rsidR="005F572D">
        <w:t xml:space="preserve">. </w:t>
      </w:r>
      <w:r>
        <w:t>Of the 194 MAGs, 100 were recovered from Lake Mendota, 31 were recovered from the Trout Bog</w:t>
      </w:r>
      <w:r w:rsidR="001D2345">
        <w:t xml:space="preserve"> epilimnion</w:t>
      </w:r>
      <w:r>
        <w:t>, and 63 were recovered from the Trout Bog</w:t>
      </w:r>
      <w:r w:rsidR="001D2345">
        <w:t xml:space="preserve"> hypolimnion</w:t>
      </w:r>
      <w:r>
        <w:t xml:space="preserve">.  Several MAGs </w:t>
      </w:r>
      <w:r w:rsidR="001D2345">
        <w:t>from</w:t>
      </w:r>
      <w:r>
        <w:t xml:space="preserve"> the</w:t>
      </w:r>
      <w:r w:rsidR="001D2345">
        <w:t xml:space="preserve"> Trout Bog</w:t>
      </w:r>
      <w:r>
        <w:t xml:space="preserve"> epilimnion and hypolimnion appeared to be from the same population based on average nucleotide identities greater than 99% using JGI’s ANI calculator</w:t>
      </w:r>
      <w:r w:rsidR="005F572D">
        <w:t xml:space="preserve"> (Data S6)</w:t>
      </w:r>
      <w:r>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t xml:space="preserve">This is likely because </w:t>
      </w:r>
      <w:r w:rsidR="001D2345">
        <w:t>assembly and binning were carried out separately for each thermal layer, even though some populations were present throughout the water column</w:t>
      </w:r>
      <w:r>
        <w:t xml:space="preserve">. </w:t>
      </w:r>
      <w:r w:rsidR="005F572D">
        <w:t>To assess the diversity of our MAGs, we constructed a</w:t>
      </w:r>
      <w:r>
        <w:t xml:space="preserve">n approximate maximum likelihood tree of all the MAGs in </w:t>
      </w:r>
      <w:proofErr w:type="spellStart"/>
      <w:r>
        <w:t>FastTree</w:t>
      </w:r>
      <w:proofErr w:type="spellEnd"/>
      <w:r>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t>using whole genome alignments</w:t>
      </w:r>
      <w:r w:rsidR="005F572D">
        <w:t xml:space="preserve"> (Figure S1)</w:t>
      </w:r>
      <w:r>
        <w:t xml:space="preserve">. </w:t>
      </w:r>
      <w:r w:rsidR="001D2345">
        <w:t>The tree</w:t>
      </w:r>
      <w:r>
        <w:t xml:space="preserve"> is not intended to infer </w:t>
      </w:r>
      <w:r w:rsidR="001D2345">
        <w:t xml:space="preserve">detailed </w:t>
      </w:r>
      <w:r>
        <w:t xml:space="preserve">evolutionary history, </w:t>
      </w:r>
      <w:r w:rsidR="001D2345">
        <w:t>but to provide an overall picture of</w:t>
      </w:r>
      <w:r>
        <w:t xml:space="preserve"> similarity between genomes.</w:t>
      </w:r>
    </w:p>
    <w:p w:rsidR="00D81AA1" w:rsidRPr="00D81AA1" w:rsidRDefault="00D81AA1" w:rsidP="00D81AA1">
      <w:pPr>
        <w:ind w:firstLine="720"/>
      </w:pPr>
      <w:r>
        <w:lastRenderedPageBreak/>
        <w:t xml:space="preserve">The phylum-level assignments of our MAGs were largely consistent with the classifications of 16S rRNA gene amplicon sequencing results, presumably because MAGs were more likely to be recovered from abundant populations in the community (Figure 2, </w:t>
      </w:r>
      <w:r w:rsidRPr="00CB4C7D">
        <w:t>Data S4</w:t>
      </w:r>
      <w:r>
        <w:t xml:space="preserve">). Some </w:t>
      </w:r>
      <w:r w:rsidR="00CC5549">
        <w:t>taxa</w:t>
      </w:r>
      <w:r>
        <w:t xml:space="preserve"> such as </w:t>
      </w:r>
      <w:proofErr w:type="spellStart"/>
      <w:r>
        <w:t>Tenericutes</w:t>
      </w:r>
      <w:proofErr w:type="spellEnd"/>
      <w:r>
        <w:t xml:space="preserve">, </w:t>
      </w:r>
      <w:proofErr w:type="spellStart"/>
      <w:r>
        <w:t>Ignavibacteria</w:t>
      </w:r>
      <w:proofErr w:type="spellEnd"/>
      <w:r>
        <w:t xml:space="preserve">, </w:t>
      </w:r>
      <w:proofErr w:type="spellStart"/>
      <w:r w:rsidR="00CC5549">
        <w:t>Epsilonproteobacteria</w:t>
      </w:r>
      <w:proofErr w:type="spellEnd"/>
      <w:r w:rsidR="00CC5549">
        <w:t xml:space="preserve">, </w:t>
      </w:r>
      <w:r>
        <w:t xml:space="preserve">and </w:t>
      </w:r>
      <w:proofErr w:type="spellStart"/>
      <w:r>
        <w:t>Chlamydiae</w:t>
      </w:r>
      <w:proofErr w:type="spellEnd"/>
      <w:r>
        <w:t xml:space="preserve"> were represented by MAGs, but not by 16S rRNA sequences. </w:t>
      </w:r>
      <w:proofErr w:type="spellStart"/>
      <w:r>
        <w:t>Chlorobi</w:t>
      </w:r>
      <w:proofErr w:type="spellEnd"/>
      <w:r>
        <w:t xml:space="preserve"> appeared overrepresented by MAG coverage compared to 16S rRNA gene counts, while Proteobacteria</w:t>
      </w:r>
      <w:r w:rsidR="00CC5549">
        <w:t>l groups</w:t>
      </w:r>
      <w:r>
        <w:t xml:space="preserve"> appeared to comprise more of the community by 16S than by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or assembly bias in</w:t>
      </w:r>
      <w:r w:rsidR="001D2345">
        <w:t xml:space="preserve"> MAG</w:t>
      </w:r>
      <w:r>
        <w:t xml:space="preserve"> recovery. The observed community compositions are consistent with other 16S-based studies for these sites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Detecting similar phyla using both methods suggest</w:t>
      </w:r>
      <w:r w:rsidR="00CC5549">
        <w:t>s</w:t>
      </w:r>
      <w:r>
        <w:t xml:space="preserve"> that our MAG datasets are</w:t>
      </w:r>
      <w:r w:rsidR="001D2345">
        <w:t xml:space="preserve"> largely</w:t>
      </w:r>
      <w:r>
        <w:t xml:space="preserve"> representative of the</w:t>
      </w:r>
      <w:r w:rsidR="001D2345">
        <w:t xml:space="preserve"> resident microbial</w:t>
      </w:r>
      <w:r>
        <w:t xml:space="preserve"> communities. </w:t>
      </w:r>
    </w:p>
    <w:p w:rsidR="008853A5" w:rsidRDefault="00046BFF" w:rsidP="00DC3B2C">
      <w:pPr>
        <w:pStyle w:val="Heading2"/>
      </w:pPr>
      <w:bookmarkStart w:id="1" w:name="_se2pvlkacpgg" w:colFirst="0" w:colLast="0"/>
      <w:bookmarkEnd w:id="1"/>
      <w:r>
        <w:t>Nitrogen Cycling</w:t>
      </w:r>
    </w:p>
    <w:p w:rsidR="00D81AA1" w:rsidRDefault="00046BFF" w:rsidP="00DC3B2C">
      <w:pPr>
        <w:ind w:firstLine="720"/>
      </w:pPr>
      <w:r>
        <w:t xml:space="preserve">Nitrogen availability is an important factor structuring freshwater </w:t>
      </w:r>
      <w:r w:rsidR="001D2345">
        <w:t>microbia</w:t>
      </w:r>
      <w:r>
        <w:t>l communities. Our analysis of nitrogen-related marker genes revealed many significant differences in the abundance of these markers in Lake Mendota, the Trout Bog epilimnion, and the Trout Bog hypolimnion</w:t>
      </w:r>
      <w:r w:rsidR="005F572D">
        <w:t xml:space="preserve"> (Figure 1)</w:t>
      </w:r>
      <w:r>
        <w:t xml:space="preserve">. Genes encoding nitrogenase subunits were observed most frequently in the hypolimnion of Trout Bog, followed by the epilimnion of Trout Bog, and lastly Lake Mendota. As the nitrogenase enzyme is inhibited by oxygen, nitrogen fixation may be most favorable in the anoxic layer of Trout Bog. </w:t>
      </w:r>
    </w:p>
    <w:p w:rsidR="008853A5" w:rsidRDefault="00046BFF" w:rsidP="00DC3B2C">
      <w:pPr>
        <w:ind w:firstLine="720"/>
      </w:pPr>
      <w:r>
        <w:t>Analysis of genes encoding nitrogenases in the MAGs showed differences in the taxonomy of putative diazotrophs between the two ecosystems (</w:t>
      </w:r>
      <w:r w:rsidR="005F572D">
        <w:t xml:space="preserve">Figure 3, </w:t>
      </w:r>
      <w:r>
        <w:t>Fig</w:t>
      </w:r>
      <w:r w:rsidR="005F572D">
        <w:t>ure S1</w:t>
      </w:r>
      <w:r>
        <w:t xml:space="preserve">). In Lake Mendota, every MAG classified as Cyanobacteria contained genes encoding the nitrogen fixation pathway, with a handful of additional putative diazotrophs assigned to Betaproteobacteria, and </w:t>
      </w:r>
      <w:proofErr w:type="spellStart"/>
      <w:r>
        <w:lastRenderedPageBreak/>
        <w:t>Gammaproteobacteria</w:t>
      </w:r>
      <w:proofErr w:type="spellEnd"/>
      <w:r>
        <w:t xml:space="preserve">. This strong association between Cyanobacteria and nitrogen fixation genes supports the documented links between cyanobacterial bloom toxicity and nitrogen fixation in Lake Mendota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 xml:space="preserve">. </w:t>
      </w:r>
      <w:r>
        <w:t xml:space="preserve">MAGs containing genes encoding nitrogen fixation were more phylogenetically diverse in Trout Bog, including Deltaproteobacteria, </w:t>
      </w:r>
      <w:proofErr w:type="spellStart"/>
      <w:r>
        <w:t>Gammaproteobacteria</w:t>
      </w:r>
      <w:proofErr w:type="spellEnd"/>
      <w:r>
        <w:t xml:space="preserve">, </w:t>
      </w:r>
      <w:proofErr w:type="spellStart"/>
      <w:r>
        <w:t>Epsilonproteobacteria</w:t>
      </w:r>
      <w:proofErr w:type="spellEnd"/>
      <w:r>
        <w:t xml:space="preserve">, </w:t>
      </w:r>
      <w:proofErr w:type="spellStart"/>
      <w:r>
        <w:t>Acidobacteria</w:t>
      </w:r>
      <w:proofErr w:type="spellEnd"/>
      <w:r>
        <w:t xml:space="preserve">, </w:t>
      </w:r>
      <w:proofErr w:type="spellStart"/>
      <w:r>
        <w:t>Verrucomicrobia</w:t>
      </w:r>
      <w:proofErr w:type="spellEnd"/>
      <w:r>
        <w:t xml:space="preserve">, </w:t>
      </w:r>
      <w:proofErr w:type="spellStart"/>
      <w:r>
        <w:t>Chlorobi</w:t>
      </w:r>
      <w:proofErr w:type="spellEnd"/>
      <w:r>
        <w:t xml:space="preserve">, and Bacteroidetes. </w:t>
      </w:r>
      <w:r w:rsidR="008F3E06">
        <w:t>The increased diversity of diazotrophs in Trout Bog compared to Lake Mendota suggests that nitrogen fixation genes may be horizontally transferred with populations in Trout Bog.</w:t>
      </w:r>
    </w:p>
    <w:p w:rsidR="008853A5" w:rsidRDefault="00046BFF" w:rsidP="00DC3B2C">
      <w:pPr>
        <w:ind w:firstLine="720"/>
      </w:pPr>
      <w:r>
        <w:t xml:space="preserve">Marker genes for denitrification pathways show a similar pattern as genes encoding nitrogenase subunits; they were observed most frequently in the Trout Bog hypolimnion, </w:t>
      </w:r>
      <w:r w:rsidR="005F572D">
        <w:t>except for</w:t>
      </w:r>
      <w:r>
        <w:t xml:space="preserve"> nitrous oxide reductase, which was most abundant in Lake Mendota. Putative denitrification pathways were widespread in MAGs from both lakes (Fig</w:t>
      </w:r>
      <w:r w:rsidR="005F572D">
        <w:t>ure</w:t>
      </w:r>
      <w:r>
        <w:t xml:space="preserve"> 3). Genes encoding urease</w:t>
      </w:r>
      <w:r w:rsidR="001D2345">
        <w:t>s</w:t>
      </w:r>
      <w:r>
        <w:t xml:space="preserve"> were not found significantly more often in any site, and urea degradation pathways were predicted in MAGs from both lakes. This is consistent with research showing that urea is a common nitrogen source for bacteria in multiple freshwater types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t xml:space="preserve">. </w:t>
      </w:r>
    </w:p>
    <w:p w:rsidR="008853A5" w:rsidRDefault="00046BFF" w:rsidP="00DC3B2C">
      <w:pPr>
        <w:ind w:firstLine="720"/>
      </w:pPr>
      <w:r>
        <w:t>Genes encoding the biosynthesis and degradation of polyamines such as spermidine and putrescine were prevalent in many diverse MAGs from both lakes, including Actinobacteria as has been previously observed</w:t>
      </w:r>
      <w:r w:rsidR="00873AF2">
        <w:t xml:space="preserve"> </w:t>
      </w:r>
      <w:r w:rsidR="00873AF2">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873AF2">
        <w:fldChar w:fldCharType="separate"/>
      </w:r>
      <w:r w:rsidR="00873AF2" w:rsidRPr="00873AF2">
        <w:rPr>
          <w:noProof/>
        </w:rPr>
        <w:t>(Ghylin et al., 2014)</w:t>
      </w:r>
      <w:r w:rsidR="00873AF2">
        <w:fldChar w:fldCharType="end"/>
      </w:r>
      <w:r w:rsidR="00873AF2">
        <w:t xml:space="preserve">. </w:t>
      </w:r>
      <w:r>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t>the ecological role</w:t>
      </w:r>
      <w:r w:rsidR="00873AF2">
        <w:t xml:space="preserve"> of these compounds in freshwater</w:t>
      </w:r>
      <w:r>
        <w:t xml:space="preserve"> is not yet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t xml:space="preserve">, and the exchange of these nitrogen compounds between populations may be a factor structuring freshwater microbial communities. </w:t>
      </w:r>
      <w:r>
        <w:lastRenderedPageBreak/>
        <w:t xml:space="preserve">One additional source of polyamines is higher trophic levels such as fish or zooplankton, as these compounds can result from </w:t>
      </w:r>
      <w:r w:rsidR="00B844B8">
        <w:t>bacterial</w:t>
      </w:r>
      <w:r>
        <w:t xml:space="preserve"> decomposition of amino acids</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t>. The frequent appearance of polyamine-related pathways in our MAGs lends support to the hypothesis that these compounds are important parts of the dissolved organic nitrogen pool in freshwater ecosystems.</w:t>
      </w:r>
    </w:p>
    <w:p w:rsidR="008853A5" w:rsidRDefault="00046BFF" w:rsidP="00DC3B2C">
      <w:pPr>
        <w:ind w:firstLine="720"/>
      </w:pPr>
      <w:r>
        <w:t>Properties of genomes themselves may also provide information about nitrogen limitation</w:t>
      </w:r>
      <w:r w:rsidR="00873AF2">
        <w:t xml:space="preserve"> (Data S5) </w:t>
      </w:r>
      <w:r w:rsidR="00873AF2">
        <w:fldChar w:fldCharType="begin" w:fldLock="1"/>
      </w:r>
      <w:r w:rsidR="00873AF2">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873AF2">
        <w:fldChar w:fldCharType="separate"/>
      </w:r>
      <w:r w:rsidR="00873AF2" w:rsidRPr="00873AF2">
        <w:rPr>
          <w:noProof/>
        </w:rPr>
        <w:t>(Bragg, 2011)</w:t>
      </w:r>
      <w:r w:rsidR="00873AF2">
        <w:fldChar w:fldCharType="end"/>
      </w:r>
      <w:r>
        <w:t xml:space="preserve">. We observed a bias in MAGs from Trout Bog towards encoding amino acids with </w:t>
      </w:r>
      <w:r w:rsidR="00873AF2" w:rsidRPr="00873AF2">
        <w:t>1% less</w:t>
      </w:r>
      <w:r>
        <w:t xml:space="preserve"> nitrogen compared to MAGs from Lake Mendota</w:t>
      </w:r>
      <w:r w:rsidR="00873AF2">
        <w:t>. Although this difference is small, it was significant</w:t>
      </w:r>
      <w:r>
        <w:t xml:space="preserve"> using a Wilcoxon rank sum test (p = 0.02). GC content and estimated genome size, considered to be alternative indicators of potential nitrogen limitation, were not significantly different between lakes (p = 0.78 and p = 0.16, respectively).  While amino acid bias suggests that conditions in Trout Bog may lead to stronger selection for organisms encoding nitrogen</w:t>
      </w:r>
      <w:r w:rsidR="00B844B8">
        <w:t xml:space="preserve"> </w:t>
      </w:r>
      <w:r>
        <w:t xml:space="preserve">poor proteins </w:t>
      </w:r>
      <w:r w:rsidR="00B844B8">
        <w:t xml:space="preserve">compared to </w:t>
      </w:r>
      <w:r>
        <w:t xml:space="preserve">the conditions in Lake Mendota, other factors may be more important in determining genome size and GC content. </w:t>
      </w:r>
      <w:r w:rsidR="008F3E06">
        <w:t xml:space="preserve">Amino acid usage likely has a larger impact on total nitrogen demand than nucleotide usage due to the high nitrogen requirements of protein biosynthesis. </w:t>
      </w:r>
      <w:r>
        <w:t xml:space="preserve">Differences in the compositions of the nitrogen pools in these lakes may also contribute to the observed differences in </w:t>
      </w:r>
      <w:r w:rsidR="00873AF2">
        <w:t xml:space="preserve">the </w:t>
      </w:r>
      <w:r>
        <w:t>distributions of nitrogen cycling marker genes.</w:t>
      </w:r>
      <w:r w:rsidR="008F3E06">
        <w:t xml:space="preserve"> Lake Mendota receives large </w:t>
      </w:r>
      <w:r w:rsidR="00B844B8">
        <w:t>amounts</w:t>
      </w:r>
      <w:r w:rsidR="008F3E06">
        <w:t xml:space="preserve"> of nitrate from the surrounding agriculture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 sphagnum moss growing its edges.</w:t>
      </w:r>
    </w:p>
    <w:p w:rsidR="008853A5" w:rsidRDefault="00046BFF" w:rsidP="00DC3B2C">
      <w:pPr>
        <w:pStyle w:val="Heading2"/>
      </w:pPr>
      <w:bookmarkStart w:id="2" w:name="_3syggjfxgu8a" w:colFirst="0" w:colLast="0"/>
      <w:bookmarkEnd w:id="2"/>
      <w:r>
        <w:t>Sulfur Cycling</w:t>
      </w:r>
    </w:p>
    <w:p w:rsidR="008853A5" w:rsidRDefault="00046BFF" w:rsidP="00DC3B2C">
      <w:pPr>
        <w:ind w:firstLine="720"/>
      </w:pPr>
      <w:r>
        <w:t xml:space="preserve">Sulfur is another essential element in freshwater that is processed by microbes. Our marker gene analysis demonstrated that genes encoding </w:t>
      </w:r>
      <w:proofErr w:type="spellStart"/>
      <w:proofErr w:type="gramStart"/>
      <w:r>
        <w:t>sulfide:quinone</w:t>
      </w:r>
      <w:proofErr w:type="spellEnd"/>
      <w:proofErr w:type="gramEnd"/>
      <w:r>
        <w:t xml:space="preserve"> reductase and SOX sulfur </w:t>
      </w:r>
      <w:r>
        <w:lastRenderedPageBreak/>
        <w:t>oxidation were significantly more abundant in Trout Bog compared to Lake Mendota, with no significant differences between the layers of Trout Bog</w:t>
      </w:r>
      <w:r w:rsidR="00873AF2">
        <w:t xml:space="preserve"> (Figure 1)</w:t>
      </w:r>
      <w:r>
        <w:t>. Genes encoding sulfite reductase were the least abundant sulfur cycling marker gene in all sites.</w:t>
      </w:r>
    </w:p>
    <w:p w:rsidR="008853A5" w:rsidRDefault="00873AF2" w:rsidP="00DC3B2C">
      <w:pPr>
        <w:ind w:firstLine="720"/>
      </w:pPr>
      <w:r>
        <w:t>D</w:t>
      </w:r>
      <w:r w:rsidR="00046BFF">
        <w:t xml:space="preserve">issimilatory sulfite reductase was observed only in MAGs from Trout Bog, especially those classified as </w:t>
      </w:r>
      <w:proofErr w:type="spellStart"/>
      <w:r w:rsidR="00046BFF">
        <w:t>Chlorobiales</w:t>
      </w:r>
      <w:proofErr w:type="spellEnd"/>
      <w:r w:rsidR="00046BFF">
        <w:t>. Because this enzyme i</w:t>
      </w:r>
      <w:r w:rsidR="008F3E06">
        <w:t xml:space="preserve">s thought </w:t>
      </w:r>
      <w:r w:rsidR="00046BFF">
        <w:t>to operate in reverse in</w:t>
      </w:r>
      <w:r w:rsidR="008F3E06">
        <w:t xml:space="preserve"> green sulfur-oxidizing </w:t>
      </w:r>
      <w:r w:rsidR="00046BFF">
        <w:t xml:space="preserve">phototrophs such as </w:t>
      </w:r>
      <w:proofErr w:type="spellStart"/>
      <w:r w:rsidR="00046BFF">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rsidR="00046BFF">
        <w:t>, this may indicate an oxidation process rather than a reductive sulfur pathway. Assimilatory sulfate reduction was the most common sulfur-related pathway identified in the MAGs</w:t>
      </w:r>
      <w:r>
        <w:t xml:space="preserve"> (Figure 3)</w:t>
      </w:r>
      <w:r w:rsidR="00046BFF">
        <w:t>. The relative ratios of assimilatory to dissimilatory sulfate reduction predicted pathways suggest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t xml:space="preserve"> </w:t>
      </w:r>
      <w:r>
        <w:fldChar w:fldCharType="begin" w:fldLock="1"/>
      </w:r>
      <w:r>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fldChar w:fldCharType="separate"/>
      </w:r>
      <w:r w:rsidRPr="00873AF2">
        <w:rPr>
          <w:noProof/>
        </w:rPr>
        <w:t>(Bowles et al., 2014)</w:t>
      </w:r>
      <w:r>
        <w:fldChar w:fldCharType="end"/>
      </w:r>
      <w:r w:rsidR="00046BFF">
        <w:t xml:space="preserve">. Sulfur oxidation pathways were observed in MAGs classified as Betaproteobacteria from both of our lakes and </w:t>
      </w:r>
      <w:proofErr w:type="spellStart"/>
      <w:r w:rsidR="00046BFF">
        <w:t>Epsilonbacteria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8853A5" w:rsidRDefault="00046BFF" w:rsidP="00DC3B2C">
      <w:pPr>
        <w:ind w:firstLine="720"/>
      </w:pPr>
      <w:r>
        <w:t xml:space="preserve">Primary production is a critical component of the </w:t>
      </w:r>
      <w:r w:rsidR="003F0487">
        <w:t xml:space="preserve">freshwater </w:t>
      </w:r>
      <w:r>
        <w:t xml:space="preserve">carbon cycle. Therefore, we looked at potential routes of primary production within the MAGs, expecting to find differences between our two study sites based on the observed contrasts in the functional marker gene analysis. In Lake Mendota, </w:t>
      </w:r>
      <w:proofErr w:type="gramStart"/>
      <w:r w:rsidR="003F0487">
        <w:t>the majority of</w:t>
      </w:r>
      <w:proofErr w:type="gramEnd"/>
      <w:r w:rsidR="003F0487">
        <w:t xml:space="preserve"> MAGs encoding phototrophic pathways were classified as Cyanobacteria</w:t>
      </w:r>
      <w:r>
        <w:t>. These populations contained genes encoding enzymes in the Calvin-Benson-</w:t>
      </w:r>
      <w:proofErr w:type="spellStart"/>
      <w:r>
        <w:t>Bassham</w:t>
      </w:r>
      <w:proofErr w:type="spellEnd"/>
      <w:r>
        <w:t xml:space="preserve"> (CBB) pathway. In Trout Bog, 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w:t>
      </w:r>
      <w:r>
        <w:lastRenderedPageBreak/>
        <w:t xml:space="preserve">enzymes in the reductive tricarboxylic acid (TCA) cycle, an alternative carbon fixation method commonly found in green sulfur bacteria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 The marker gene for this pathway (citrate lyase) was significantly more abundant in the Trout Bog hypolimnion than in the epilimnion, consistent with its presence in a</w:t>
      </w:r>
      <w:r w:rsidR="003F0487">
        <w:t xml:space="preserve"> strictly </w:t>
      </w:r>
      <w:r>
        <w:t xml:space="preserve">anaerobic </w:t>
      </w:r>
      <w:r w:rsidR="003F0487">
        <w:t>lineage</w:t>
      </w:r>
      <w:r>
        <w:t>. Both photoautotrophs also contained genes potentially encoding nitrogen fixation. The linkages in these populations are especially interesting given that both photoautotrophs are relatively abundant community members in their respective lakes.</w:t>
      </w:r>
    </w:p>
    <w:p w:rsidR="008853A5" w:rsidRDefault="00046BFF" w:rsidP="00DC3B2C">
      <w:pPr>
        <w:ind w:firstLine="720"/>
      </w:pPr>
      <w:r>
        <w:t>Genes annotated as the ribulose-1,5-bisphosphate carboxylase/oxygenase (</w:t>
      </w:r>
      <w:proofErr w:type="spellStart"/>
      <w:r>
        <w:t>RubisCO</w:t>
      </w:r>
      <w:proofErr w:type="spellEnd"/>
      <w:r>
        <w:t xml:space="preserve">) large subunit, a key enzyme in the CBB pathway, were observed in some of the </w:t>
      </w:r>
      <w:proofErr w:type="spellStart"/>
      <w:r>
        <w:t>Chlorobiales</w:t>
      </w:r>
      <w:proofErr w:type="spellEnd"/>
      <w:r>
        <w:t xml:space="preserve"> MAGs. The reductive TCA cycle is the only carbon fixation pathway known to be active in cultured representatives of </w:t>
      </w:r>
      <w:proofErr w:type="spellStart"/>
      <w:r>
        <w:t>Chlorobiales</w:t>
      </w:r>
      <w:proofErr w:type="spellEnd"/>
      <w:r>
        <w:t xml:space="preserve">, and a </w:t>
      </w:r>
      <w:proofErr w:type="spellStart"/>
      <w:r>
        <w:t>RubisCo</w:t>
      </w:r>
      <w:proofErr w:type="spellEnd"/>
      <w:r>
        <w:t xml:space="preserve">-like gene found in isolates of </w:t>
      </w:r>
      <w:proofErr w:type="spellStart"/>
      <w:r>
        <w:rPr>
          <w:i/>
        </w:rPr>
        <w:t>Chlorobium</w:t>
      </w:r>
      <w:proofErr w:type="spellEnd"/>
      <w:r>
        <w:rPr>
          <w:i/>
        </w:rPr>
        <w:t xml:space="preserve"> </w:t>
      </w:r>
      <w:r>
        <w:t>was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gene encodes a function other than carbon fixation in the </w:t>
      </w:r>
      <w:proofErr w:type="spellStart"/>
      <w:r>
        <w:t>Chlorobiales</w:t>
      </w:r>
      <w:proofErr w:type="spellEnd"/>
      <w:r>
        <w:t xml:space="preserve"> MAGs. </w:t>
      </w:r>
      <w:r w:rsidR="003F0487">
        <w:t>Instead</w:t>
      </w:r>
      <w:r>
        <w:t xml:space="preserve">, the high abundances of the </w:t>
      </w:r>
      <w:proofErr w:type="spellStart"/>
      <w:r>
        <w:t>RubisCO</w:t>
      </w:r>
      <w:proofErr w:type="spellEnd"/>
      <w:r>
        <w:t xml:space="preserve"> marker gene identified in the Trout Bog epilimnion are more likely derived from the eukaryotic algae and Cyanobacteria detected in our 16S rRNA gene survey than from the strictly anaerobic </w:t>
      </w:r>
      <w:proofErr w:type="spellStart"/>
      <w:r>
        <w:t>Chlorobiales</w:t>
      </w:r>
      <w:proofErr w:type="spellEnd"/>
      <w:r>
        <w:t>.</w:t>
      </w:r>
    </w:p>
    <w:p w:rsidR="008853A5" w:rsidRDefault="00046BFF" w:rsidP="00DC3B2C">
      <w:pPr>
        <w:ind w:firstLine="720"/>
      </w:pPr>
      <w:r>
        <w:t>The potential for photoheterotrophy via the aerobic</w:t>
      </w:r>
      <w:r w:rsidR="004339D2" w:rsidRPr="004339D2">
        <w:t xml:space="preserve"> </w:t>
      </w:r>
      <w:r w:rsidR="004339D2">
        <w:t>anoxygenic</w:t>
      </w:r>
      <w:r>
        <w:t xml:space="preserve"> phototrophic pathway was identified in several MAGs from both lakes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Betaproteobacteria and </w:t>
      </w:r>
      <w:proofErr w:type="spellStart"/>
      <w:r>
        <w:t>Gammaproteobacteria</w:t>
      </w:r>
      <w:proofErr w:type="spellEnd"/>
      <w:r>
        <w:t xml:space="preserve">, particularly MAGs classified as </w:t>
      </w:r>
      <w:proofErr w:type="spellStart"/>
      <w:r>
        <w:lastRenderedPageBreak/>
        <w:t>Burkholderiales</w:t>
      </w:r>
      <w:proofErr w:type="spellEnd"/>
      <w:r>
        <w:t>, most often contained these genes, although they were not broadly shared across the phylum</w:t>
      </w:r>
      <w:r w:rsidR="004339D2">
        <w:t xml:space="preserve"> (Fig. 3)</w:t>
      </w:r>
      <w:r>
        <w:t xml:space="preserve">. </w:t>
      </w:r>
      <w:r w:rsidR="004929C6">
        <w:t>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these taxa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29C6">
        <w:t xml:space="preserve">. </w:t>
      </w:r>
      <w:r>
        <w:t>A</w:t>
      </w:r>
      <w:r w:rsidR="00B844B8">
        <w:t xml:space="preserve">n </w:t>
      </w:r>
      <w:proofErr w:type="spellStart"/>
      <w:r>
        <w:t>Acidobacteria</w:t>
      </w:r>
      <w:r w:rsidR="00B844B8">
        <w:t>l</w:t>
      </w:r>
      <w:proofErr w:type="spellEnd"/>
      <w:r w:rsidR="00B844B8">
        <w:t xml:space="preserve"> MAG</w:t>
      </w:r>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both lakes, but more frequently in Actinobacteria and Bacteroidetes MAGs from Lake Mendota. Trout Bog, especially the epilimnion, harbored much less diversity and a lower abundance of MAGs encoding </w:t>
      </w:r>
      <w:proofErr w:type="spellStart"/>
      <w:r>
        <w:t>rhodopsins</w:t>
      </w:r>
      <w:proofErr w:type="spellEnd"/>
      <w:r>
        <w:t xml:space="preserve"> than those from Lake Mendota.</w:t>
      </w:r>
    </w:p>
    <w:p w:rsidR="008853A5" w:rsidRDefault="00046BFF" w:rsidP="00DC3B2C">
      <w:pPr>
        <w:pStyle w:val="Heading2"/>
      </w:pPr>
      <w:bookmarkStart w:id="3" w:name="_p43k2jqbpxeg" w:colFirst="0" w:colLast="0"/>
      <w:bookmarkEnd w:id="3"/>
      <w:r>
        <w:t>Complex Carbon Degradation</w:t>
      </w:r>
    </w:p>
    <w:p w:rsidR="008853A5" w:rsidRDefault="00046BFF" w:rsidP="00DC3B2C">
      <w:r>
        <w:tab/>
        <w:t>Biopolymers in freshwater can be either autochthonous (produced within the lake, ex. algal polysaccharides) or allochthonous (imported from the surrounding landscape, ex. cellulose). While organic carbon in freshwater is often classified as either autochthonous and allochthonous carbon, this distinction is less relevant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often produced from decomposition of allochthonous carbon. We therefore found it more informative to categorize the carbon degradation pathways observed in our dataset by type of metabolism rather than carbon </w:t>
      </w:r>
      <w:r w:rsidR="00B844B8">
        <w:t>origin</w:t>
      </w:r>
      <w:r>
        <w:t>.</w:t>
      </w:r>
    </w:p>
    <w:p w:rsidR="008853A5" w:rsidRDefault="00046BFF" w:rsidP="00DC3B2C">
      <w:pPr>
        <w:ind w:firstLine="720"/>
      </w:pPr>
      <w:r>
        <w:t xml:space="preserve">While degradation of high-complexity carbon </w:t>
      </w:r>
      <w:r w:rsidR="00B844B8">
        <w:t>compounds</w:t>
      </w:r>
      <w:r>
        <w:t xml:space="preserve"> may require specialized enzymes, their wide availability and high yield of sugars makes this an advantageous trait. One </w:t>
      </w:r>
      <w:r>
        <w:lastRenderedPageBreak/>
        <w:t xml:space="preserve">way to predict the ability to degrade high-complexity carbon in microbial populations is by identifying genes annotated as glycoside hydrolases (GHs), enzymes that break </w:t>
      </w:r>
      <w:proofErr w:type="spellStart"/>
      <w:r>
        <w:t>glycosidic</w:t>
      </w:r>
      <w:proofErr w:type="spellEnd"/>
      <w:r>
        <w:t xml:space="preserve"> bonds in complex carbohydrates. A previous study of </w:t>
      </w:r>
      <w:proofErr w:type="spellStart"/>
      <w:r>
        <w:t>Verrucomicrobia</w:t>
      </w:r>
      <w:proofErr w:type="spellEnd"/>
      <w:r>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t>. Here, we expand this analysis of glycoside hydrolases to the all MAGs in our dataset to identify differences in how populations from our two study sites degrade complex carbohydrates.</w:t>
      </w:r>
    </w:p>
    <w:p w:rsidR="008853A5" w:rsidRDefault="00046BFF" w:rsidP="00DC3B2C">
      <w:r>
        <w:tab/>
        <w:t xml:space="preserve">Calculating the coding density of </w:t>
      </w:r>
      <w:r w:rsidR="000640AD">
        <w:t>GHs</w:t>
      </w:r>
      <w:r>
        <w:t xml:space="preserve">– the percentage of coding regions in a MAG annotated as a </w:t>
      </w:r>
      <w:r w:rsidR="000640AD">
        <w:t xml:space="preserve">GH </w:t>
      </w:r>
      <w:r>
        <w:t>– immediately revealed differences between the Trout Bog and the Lake Mendota MAGs, and even between MAG</w:t>
      </w:r>
      <w:r w:rsidR="00B844B8">
        <w:t>s</w:t>
      </w:r>
      <w:r>
        <w:t xml:space="preserve"> from the epilimnion and hypolimnion of Trout Bog</w:t>
      </w:r>
      <w:r w:rsidR="00C160CB">
        <w:t xml:space="preserve"> (Fig. 4)</w:t>
      </w:r>
      <w:r>
        <w:t xml:space="preserve">. The MAGs with the highest </w:t>
      </w:r>
      <w:r w:rsidR="000640AD">
        <w:t xml:space="preserve">GH </w:t>
      </w:r>
      <w:r>
        <w:t xml:space="preserve">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0640AD">
        <w:t>GHs</w:t>
      </w:r>
      <w:r>
        <w:t xml:space="preserve"> in Lake Mendota and the Trout Bog epilimnion, but the others did not. There were several orders with </w:t>
      </w:r>
      <w:r w:rsidR="000640AD">
        <w:t>GHs</w:t>
      </w:r>
      <w:r>
        <w:t xml:space="preserve">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(Planctomycetes), and </w:t>
      </w:r>
      <w:proofErr w:type="spellStart"/>
      <w:r>
        <w:t>Puniceicoccales</w:t>
      </w:r>
      <w:proofErr w:type="spellEnd"/>
      <w:r>
        <w:t xml:space="preserve"> (</w:t>
      </w:r>
      <w:proofErr w:type="spellStart"/>
      <w:r>
        <w:t>Verrucomicrobia</w:t>
      </w:r>
      <w:proofErr w:type="spellEnd"/>
      <w:r>
        <w:t>). In concordance with their ability to hydrolytically degrade biopolymers to sugars, these MAGs from both lakes also contain putative degradation pathways for a variety of sugars (Fig</w:t>
      </w:r>
      <w:r w:rsidR="00CA5281">
        <w:t>ure</w:t>
      </w:r>
      <w:r>
        <w:t xml:space="preserve"> 3). The </w:t>
      </w:r>
      <w:r w:rsidR="000640AD">
        <w:t>GH diversity</w:t>
      </w:r>
      <w:r>
        <w:t xml:space="preserve">, an indicator of the number of substrates an organism can utilize, was significantly correlated with </w:t>
      </w:r>
      <w:r w:rsidR="000640AD">
        <w:t>GH</w:t>
      </w:r>
      <w:r>
        <w:t xml:space="preserve"> coding density (r</w:t>
      </w:r>
      <w:r>
        <w:rPr>
          <w:vertAlign w:val="superscript"/>
        </w:rPr>
        <w:t>2</w:t>
      </w:r>
      <w:r>
        <w:t>= 0.39, p = 4.5x10-8).</w:t>
      </w:r>
    </w:p>
    <w:p w:rsidR="008853A5" w:rsidRDefault="00046BFF" w:rsidP="00DC3B2C">
      <w:pPr>
        <w:ind w:firstLine="720"/>
      </w:pPr>
      <w:r>
        <w:t xml:space="preserve">Several </w:t>
      </w:r>
      <w:r w:rsidR="000640AD">
        <w:t>GH</w:t>
      </w:r>
      <w:r>
        <w:t xml:space="preserve"> families were identified in MAGs from Lake Mendota and both layers of Trout Bog. Starting with the most abundant, these included GH109 (alpha-N-</w:t>
      </w:r>
      <w:proofErr w:type="spellStart"/>
      <w:r>
        <w:t>acetylgalactosaminidase</w:t>
      </w:r>
      <w:proofErr w:type="spellEnd"/>
      <w:r>
        <w:t xml:space="preserve">), GH74 (endoglucanase), and GH23 (soluble lytic </w:t>
      </w:r>
      <w:proofErr w:type="spellStart"/>
      <w:r>
        <w:t>transglycosylase</w:t>
      </w:r>
      <w:proofErr w:type="spellEnd"/>
      <w:r>
        <w:t xml:space="preserve">). Based on these annotations, </w:t>
      </w:r>
      <w:r>
        <w:lastRenderedPageBreak/>
        <w:t xml:space="preserve">chitin and cellulose appear to be important degradation targets in freshwater, consistent with previous research </w:t>
      </w:r>
      <w:r w:rsidR="00D345B4">
        <w:fldChar w:fldCharType="begin" w:fldLock="1"/>
      </w:r>
      <w:r w:rsidR="00021D94">
        <w:instrText>ADDIN CSL_CITATION { "citationItems" : [ { "id" : "ITEM-1", "itemData" : { "DOI" : "10.4319/lo.2011.56.4.1179", "ISSN" : "00243590", "author" : [ { "dropping-particle" : "", "family" : "Beier", "given" : "Sara", "non-dropping-particle" : "", "parse-names" : false, "suffix" : "" }, { "dropping-particle" : "", "family" : "Bertilsson", "given" : "Stefan", "non-dropping-particle" : "", "parse-names" : false, "suffix" : "" } ], "container-title" : "Limnology and Oceanography", "id" : "ITEM-1", "issue" : "4", "issued" : { "date-parts" : [ [ "2011" ] ] }, "page" : "1179-1188", "title" : "Uncoupling of chitinase activity and uptake of hydrolysis products in freshwater bacterioplankton", "type" : "article-journal", "volume" : "56" }, "uris" : [ "http://www.mendeley.com/documents/?uuid=79bf6238-25ea-4c4f-8d33-ba8a79b438e3" ] }, { "id" : "ITEM-2", "itemData" : { "DOI" : "10.3389/fmicb.2017.02131", "author" : [ { "dropping-particle" : "", "family" : "Cabello-Yeves", "given" : "Pedro J", "non-dropping-particle" : "", "parse-names" : false, "suffix" : "" }, { "dropping-particle" : "", "family" : "Ghai", "given" : "Rohit", "non-dropping-particle" : "", "parse-names" : false, "suffix" : "" }, { "dropping-particle" : "", "family" : "Mehrshad", "given" : "Maliheh", "non-dropping-particle" : "", "parse-names" : false, "suffix" : "" }, { "dropping-particle" : "", "family" : "Picazo", "given" : "Antonio", "non-dropping-particle" : "", "parse-names" : false, "suffix" : "" }, { "dropping-particle" : "", "family" : "Camacho", "given" : "Antonio", "non-dropping-particle" : "", "parse-names" : false, "suffix" : "" }, { "dropping-particle" : "", "family" : "Rodriguez-Valera", "given" : "Francisco", "non-dropping-particle" : "", "parse-names" : false, "suffix" : "" } ], "container-title" : "Frontiers in Microbiology", "id" : "ITEM-2", "issue" : "November", "issued" : { "date-parts" : [ [ "2017" ] ] }, "title" : "Reconstruction of Diverse Verrucomicrobial Genomes from Metagenome Datasets of Freshwater Reservoirs", "type" : "article-journal", "volume" : "8" }, "uris" : [ "http://www.mendeley.com/documents/?uuid=13dc7d15-5895-444e-ae62-38d9c88c7850" ] } ], "mendeley" : { "formattedCitation" : "(Beier &amp; Bertilsson, 2011; Cabello-Yeves et al., 2017)", "plainTextFormattedCitation" : "(Beier &amp; Bertilsson, 2011; Cabello-Yeves et al., 2017)", "previouslyFormattedCitation" : "(Beier &amp; Bertilsson, 2011; Cabello-Yeves et al., 2017)" }, "properties" : {  }, "schema" : "https://github.com/citation-style-language/schema/raw/master/csl-citation.json" }</w:instrText>
      </w:r>
      <w:r w:rsidR="00D345B4">
        <w:fldChar w:fldCharType="separate"/>
      </w:r>
      <w:r w:rsidR="00AA5B67" w:rsidRPr="00AA5B67">
        <w:rPr>
          <w:noProof/>
        </w:rPr>
        <w:t>(Beier &amp; Bertilsson, 2011; Cabello-Yeves et al., 2017)</w:t>
      </w:r>
      <w:r w:rsidR="00D345B4">
        <w:fldChar w:fldCharType="end"/>
      </w:r>
      <w:r>
        <w:t xml:space="preserve">. Lake Mendota contained unique </w:t>
      </w:r>
      <w:r w:rsidR="000640AD">
        <w:t>GHs</w:t>
      </w:r>
      <w:r>
        <w:t xml:space="preserve"> belonging to the family GH13, which contains enzymes related to cellulose degradation. The only unique </w:t>
      </w:r>
      <w:r w:rsidR="000640AD">
        <w:t>GH</w:t>
      </w:r>
      <w:r>
        <w:t xml:space="preserve"> in the Trout Bog epilimnion was GH62, a putative </w:t>
      </w:r>
      <w:proofErr w:type="spellStart"/>
      <w:r>
        <w:t>arabinofuranosidase</w:t>
      </w:r>
      <w:proofErr w:type="spellEnd"/>
      <w:r>
        <w:t>. The hypolimnion contained many more unique enzymes than Lake Mendota or the epilimnion of Trout Bog, the most abundant of which were GH129 (alpha-N-</w:t>
      </w:r>
      <w:proofErr w:type="spellStart"/>
      <w:r>
        <w:t>acetylgalactosaminidase</w:t>
      </w:r>
      <w:proofErr w:type="spellEnd"/>
      <w:r>
        <w:t>), GH89 (alpha-N-</w:t>
      </w:r>
      <w:proofErr w:type="spellStart"/>
      <w:r>
        <w:t>acetylglucosaminidase</w:t>
      </w:r>
      <w:proofErr w:type="spellEnd"/>
      <w:r>
        <w:t>), GH43_12 (</w:t>
      </w:r>
      <w:proofErr w:type="spellStart"/>
      <w:r>
        <w:t>xylosidase</w:t>
      </w:r>
      <w:proofErr w:type="spellEnd"/>
      <w:r>
        <w:t>/</w:t>
      </w:r>
      <w:proofErr w:type="spellStart"/>
      <w:r>
        <w:t>arabinosidase</w:t>
      </w:r>
      <w:proofErr w:type="spellEnd"/>
      <w:r>
        <w:t>), GH44 (beta-</w:t>
      </w:r>
      <w:proofErr w:type="spellStart"/>
      <w:r>
        <w:t>mannanase</w:t>
      </w:r>
      <w:proofErr w:type="spellEnd"/>
      <w:r>
        <w:t xml:space="preserve">/endo-beta-1,4-glucanase), GH66 (dextranase), and GH67 (alpha-glucuronidase). While the most abundant </w:t>
      </w:r>
      <w:r w:rsidR="000640AD">
        <w:t>GH</w:t>
      </w:r>
      <w:r>
        <w:t xml:space="preserve"> genes were similar between lakes, the increased diversity of these genes in Trout Bog’s hypolimnion suggested differences between their </w:t>
      </w:r>
      <w:r w:rsidR="000640AD">
        <w:t xml:space="preserve">GH </w:t>
      </w:r>
      <w:r>
        <w:t xml:space="preserve">profiles, presumably correlated to the diversity and complexity of their carbon sources.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to reduce carbon demand,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p>
    <w:p w:rsidR="008853A5" w:rsidRDefault="00046BFF" w:rsidP="00DC3B2C">
      <w:r>
        <w:tab/>
        <w:t>As oxidative phosphorylation is an important part of central metabolism for aerobic bacteria, we investigated the types of cytochromes encoded in our MAGs (Fig</w:t>
      </w:r>
      <w:r w:rsidR="00E067DC">
        <w:t>ure</w:t>
      </w:r>
      <w:r>
        <w:t xml:space="preserve"> 3). Cytochrome </w:t>
      </w:r>
      <w:r>
        <w:lastRenderedPageBreak/>
        <w:t>c oxidases, both aa3- and cbb3-type, were widespread in both lakes and frequently observed in the same genomes. As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the presence of genes encoding both types suggests the flexibility to operate under a range of oxygen concentrations. Of the quinol-based cytochromes, genes encoding cytochrome d were most often observed in MAGs from the hypolimnion of Trout Bog, while cytochrome aa3-600 was found only in MAGs classified as Bacteroidetes and Betaproteobacteria in the Trout Bog epilimnion. Cytochrome o was observed only in a Chlamydia MAG from Lake Mendota. Alternative complex III was identified in MAGs of </w:t>
      </w:r>
      <w:proofErr w:type="spellStart"/>
      <w:r>
        <w:t>Verrucomicrobia</w:t>
      </w:r>
      <w:proofErr w:type="spellEnd"/>
      <w:r>
        <w:t xml:space="preserve"> in both lakes, in </w:t>
      </w:r>
      <w:proofErr w:type="spellStart"/>
      <w:r>
        <w:t>Acidobacteria</w:t>
      </w:r>
      <w:proofErr w:type="spellEnd"/>
      <w:r>
        <w:t xml:space="preserve"> in Trout Bog (both layers), and in Bacteroidetes and Planctomycetes in Lake Mendota.</w:t>
      </w:r>
    </w:p>
    <w:p w:rsidR="008853A5" w:rsidRDefault="00046BFF" w:rsidP="00DC3B2C">
      <w:r>
        <w:tab/>
        <w:t>Similarly, hydrogen metabolism is an aspect of central metabolism that can influence other aspects of a microbe’s nutrient usage. Iron-only hydrogenases were found primarily in MAGs from Trout Bog’s hypolimnion (</w:t>
      </w:r>
      <w:r w:rsidR="00E067DC">
        <w:t>Figure 3</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significantly higher observations of marker genes encoding iron-only hydrogenases in the hypolimnion site. Genes encoding [Ni-Fe] hydrogenases of groups 1 and 2, involved in hydrogen uptake, sensing, and nitrogen fixation, were found at significantly different frequency in all sites with the exceptions of group 2a in the Mendota and Trout Bog epilimnion and group 2b in the Trout Bog epilimnion and hypolimnion. </w:t>
      </w:r>
      <w:r w:rsidR="000F405C">
        <w:t>Genes encoding these hydrogenases</w:t>
      </w:r>
      <w:r>
        <w:t xml:space="preserve"> were widespread in MAGs from the hypolimnion of Trout Bog, found only in </w:t>
      </w:r>
      <w:proofErr w:type="spellStart"/>
      <w:r>
        <w:t>Chlorobiales</w:t>
      </w:r>
      <w:proofErr w:type="spellEnd"/>
      <w:r>
        <w:t xml:space="preserve"> MAGs in the epilimnion of Trout Bog, and more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t>
      </w:r>
      <w:r>
        <w:lastRenderedPageBreak/>
        <w:t>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in Lake Mendota, and members of Bacteroidetes, </w:t>
      </w:r>
      <w:proofErr w:type="spellStart"/>
      <w:r>
        <w:t>Ignavibacteria</w:t>
      </w:r>
      <w:proofErr w:type="spellEnd"/>
      <w:r>
        <w:t xml:space="preserve">, and </w:t>
      </w:r>
      <w:proofErr w:type="spellStart"/>
      <w:r>
        <w:t>Verrucomicrobia</w:t>
      </w:r>
      <w:proofErr w:type="spellEnd"/>
      <w:r>
        <w:t xml:space="preserve"> in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this was confirmed in our MAGs, with Bacteroidetes, Planctomycetes, and </w:t>
      </w:r>
      <w:proofErr w:type="spellStart"/>
      <w:r>
        <w:t>Verrucomicrobia</w:t>
      </w:r>
      <w:proofErr w:type="spellEnd"/>
      <w:r>
        <w:t xml:space="preserve"> in Lake Mendota and Bacteroidetes and </w:t>
      </w:r>
      <w:proofErr w:type="spellStart"/>
      <w:r>
        <w:t>Verrucomicrobia</w:t>
      </w:r>
      <w:proofErr w:type="spellEnd"/>
      <w:r>
        <w:t xml:space="preserve"> in Trout Bog as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 in Lake 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in Trout Bog. </w:t>
      </w:r>
    </w:p>
    <w:p w:rsidR="008853A5" w:rsidRDefault="00046BFF" w:rsidP="00DC3B2C">
      <w:pPr>
        <w:ind w:firstLine="720"/>
      </w:pPr>
      <w:r>
        <w:t xml:space="preserve">Methylotrophy, the ability to grow solely on </w:t>
      </w:r>
      <w:r w:rsidR="000640AD">
        <w:t>C1</w:t>
      </w:r>
      <w:r>
        <w:t xml:space="preserve"> compounds such as methane or methanol, appears in MAGs from both Trout Bog and Lake Mendota. Putative pathways for methanol degradation were found in MAGs classified as </w:t>
      </w:r>
      <w:proofErr w:type="spellStart"/>
      <w:r>
        <w:t>Methylophilales</w:t>
      </w:r>
      <w:proofErr w:type="spellEnd"/>
      <w:r>
        <w:t xml:space="preserve">, while MAGs from </w:t>
      </w:r>
      <w:proofErr w:type="spellStart"/>
      <w:r>
        <w:t>Methylococcales</w:t>
      </w:r>
      <w:proofErr w:type="spellEnd"/>
      <w:r>
        <w:t xml:space="preserve"> were potential methane degraders based on the presence of genes encoding </w:t>
      </w:r>
      <w:r>
        <w:lastRenderedPageBreak/>
        <w:t xml:space="preserve">methane monooxygenase. MAGs of </w:t>
      </w:r>
      <w:proofErr w:type="spellStart"/>
      <w:r>
        <w:t>Methylococcales</w:t>
      </w:r>
      <w:proofErr w:type="spellEnd"/>
      <w:r>
        <w:t xml:space="preserve"> in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MAGs of </w:t>
      </w:r>
      <w:proofErr w:type="spellStart"/>
      <w:r>
        <w:t>Methylophilales</w:t>
      </w:r>
      <w:proofErr w:type="spellEnd"/>
      <w:r>
        <w:t xml:space="preserve"> 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MAGs from taxa not typically associated with methylotrophy. These included MAGs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in Trout Bog. Given the rapid rate at which we are discovering methylotrophy in microorganisms not thought to be capable of this process, this finding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4" w:name="_i04nm0pk38zw" w:colFirst="0" w:colLast="0"/>
      <w:bookmarkEnd w:id="4"/>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t xml:space="preserve">As our metagenomes comprise a time series, 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We found that one Cyanobacterial MAG in each year was substantially more abundant than the rest; this </w:t>
      </w:r>
      <w:r w:rsidR="000640AD">
        <w:t xml:space="preserve">single </w:t>
      </w:r>
      <w:r>
        <w:t>MAG only is plotted for each year. Since our analysis of the diversity of MAGs containing nitrogenases showed a strong association between nitrogen fixation and Cyanobacteria in Lake Mendota, we hypothesized that the number of hits to the most abundant marker genes encoding nitrogenase subunits over time would be correlated to the abundance of the dominant Cyanobacterial populatio</w:t>
      </w:r>
      <w:r w:rsidR="000640AD">
        <w:t>n</w:t>
      </w:r>
      <w:r>
        <w:t xml:space="preserve"> in each year (</w:t>
      </w:r>
      <w:r w:rsidR="008E64BD">
        <w:t>Figure 5, F-J</w:t>
      </w:r>
      <w:r>
        <w:t xml:space="preserve">). This hypothesis was partially supported. Two of the marker genes, TIGR1282 and TIGR1286, correlated with </w:t>
      </w:r>
      <w:r w:rsidR="000640AD">
        <w:t xml:space="preserve">the </w:t>
      </w:r>
      <w:r>
        <w:t xml:space="preserve">Cyanobacterial MAG </w:t>
      </w:r>
      <w:proofErr w:type="spellStart"/>
      <w:r w:rsidR="000640AD">
        <w:t>abundance</w:t>
      </w:r>
      <w:r>
        <w:t>more</w:t>
      </w:r>
      <w:proofErr w:type="spellEnd"/>
      <w:r>
        <w:t xml:space="preserve"> frequently than the third, TIGR1287. Significant correlations (p &lt; 0.05) were only </w:t>
      </w:r>
      <w:r>
        <w:lastRenderedPageBreak/>
        <w:t>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 our analysis.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was first detected in Lake Mendota </w:t>
      </w:r>
      <w:r w:rsidR="008E64BD">
        <w:fldChar w:fldCharType="begin" w:fldLock="1"/>
      </w:r>
      <w:r w:rsidR="008E64BD">
        <w:instrText>ADDIN CSL_CITATION { "citationItems" : [ { "id" : "ITEM-1", "itemData" : { "DOI" : "10.1073/pnas.1600366113", "ISBN" : "0027-8424", "ISSN" : "0027-8424", "PMID" : "27001838", "abstract" : "SignificanceInvasive species represent a largely unquantified threat to ecosystem services. Although investment in the prevention of species invasions may sustain ecosystem services, these effects of invasions are rarely measured in monetary terms useful to decision makers. We quantify the economic damages of the degradation of an important ecosystem service, water clarity, caused by invasion by the spiny water flea. We find that the costs of restoring this service, US$86.5 million-US$163 million, are comparable with the willingness to pay for the service itself: US$140 million. This finding highlights the severity of invasive species impacts when their damages to ecosystem services are considered. Costs of invasive species secondary spread aggregated across many invasive species and ecosystem services may be large. Despite growing recognition of the importance of ecosystem services and the economic and ecological harm caused by invasive species, linkages between invasions, changes in ecosystem functioning, and in turn, provisioning of ecosystem services remain poorly documented and poorly understood. We evaluate the economic impacts of an invasion that cascaded through a food web to cause substantial declines in water clarity, a valued ecosystem service. The predatory zooplankton, the spiny water flea (Bythotrephes longimanus), invaded the Laurentian Great Lakes in the 1980s and has subsequently undergone secondary spread to inland lakes, including Lake Mendota (Wisconsin), in 2009. In Lake Mendota, Bythotrephes has reached unparalleled densities compared with in other lakes, decreasing biomass of the grazer Daphnia pulicaria and causing a decline in water clarity of nearly 1 m. Time series modeling revealed that the loss in water clarity, valued at US$140 million (US$640 per household), could be reversed by a 71% reduction in phosphorus loading. A phosphorus reduction of this magnitude is estimated to cost between US$86.5 million and US$163 million (US$430-US$810 per household). Estimates of the economic effects of Great Lakes invasive species may increase considerably if cases of secondary invasions into inland lakes, such as Lake Mendota, are included. Furthermore, such extreme cases of economic damages call for increased investment in the prevention and control of invasive species to better maximize the economic benefits of such programs. Our results highlight the need to more fully incorporate ecosystem services into our analysis of invasive speci\u2026", "author" : [ { "dropping-particle" : "", "family" : "Walsh", "given" : "Jake R.", "non-dropping-particle" : "", "parse-names" : false, "suffix" : "" }, { "dropping-particle" : "", "family" : "Carpenter", "given" : "Stephen R.", "non-dropping-particle" : "", "parse-names" : false, "suffix" : "" }, { "dropping-particle" : "", "family" : "Zanden", "given" : "M. Jake", "non-dropping-particle" : "Vander", "parse-names" : false, "suffix" : "" } ], "container-title" : "Proceedings of the National Academy of Sciences", "id" : "ITEM-1", "issue" : "15", "issued" : { "date-parts" : [ [ "2016" ] ] }, "page" : "4081-4085", "title" : "Invasive species triggers a massive loss of ecosystem services through a trophic cascade", "type" : "article-journal", "volume" : "113" }, "uris" : [ "http://www.mendeley.com/documents/?uuid=76a35825-b513-467d-8f56-d393c9d899dc" ] } ], "mendeley" : { "formattedCitation" : "(Walsh, Carpenter &amp; Vander Zanden, 2016)", "plainTextFormattedCitation" : "(Walsh, Carpenter &amp; Vander Zanden, 2016)", "previouslyFormattedCitation" : "(Walsh, Carpenter &amp; Vander Zanden, 2016)" }, "properties" : {  }, "schema" : "https://github.com/citation-style-language/schema/raw/master/csl-citation.json" }</w:instrText>
      </w:r>
      <w:r w:rsidR="008E64BD">
        <w:fldChar w:fldCharType="separate"/>
      </w:r>
      <w:r w:rsidR="008E64BD" w:rsidRPr="008E64BD">
        <w:rPr>
          <w:noProof/>
        </w:rPr>
        <w:t>(Walsh, Carpenter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5" w:name="_gjdgxs" w:colFirst="0" w:colLast="0"/>
      <w:bookmarkEnd w:id="5"/>
      <w:r>
        <w:t>Conclusions</w:t>
      </w:r>
    </w:p>
    <w:p w:rsidR="008853A5" w:rsidRDefault="00046BFF" w:rsidP="00DC3B2C">
      <w:pPr>
        <w:ind w:firstLine="720"/>
      </w:pPr>
      <w:r>
        <w:t>Our analysis of functional marker genes indicated significant differences in microbial nutrient cycling between the Lake Mendota epilimnion, Trout Bog epilimnion, and Trout Bog hypolimnion. By combining these results with metabolic pathway prediction in MAGs, we were able to identify taxa encoding these metabolisms and co-occu</w:t>
      </w:r>
      <w:r w:rsidR="000640AD">
        <w:t>r</w:t>
      </w:r>
      <w:r>
        <w:t xml:space="preserve">rence of pathways within populations. We found that </w:t>
      </w:r>
      <w:proofErr w:type="spellStart"/>
      <w:r>
        <w:t>phototrophy</w:t>
      </w:r>
      <w:proofErr w:type="spellEnd"/>
      <w:r>
        <w:t xml:space="preserve">, carbon fixation, and nitrogen fixation are linked in both lakes through the abundant phototrophs Cyanobacteria in Lake Mendota and </w:t>
      </w:r>
      <w:proofErr w:type="spellStart"/>
      <w:r>
        <w:t>Chlorobiales</w:t>
      </w:r>
      <w:proofErr w:type="spellEnd"/>
      <w:r>
        <w:t xml:space="preserve"> in Trout Bog. In Lake Mendota, nitrogen fixation was associated with Cyanobacteria, while MAGs encoding nitrogen fixation were more diverse in Trout Bog. In the sulfur cycle, assimilatory pathways were observed more frequently in the MAGs than dissimilatory pathways, suggesting a bias towards using sulfur compounds in biosynthesis rather </w:t>
      </w:r>
      <w:r w:rsidR="003F0487">
        <w:t>than for energy mobilization</w:t>
      </w:r>
      <w:r>
        <w:t xml:space="preserve">. Analysis of genes annotated as glycoside hydrolases in the MAGs revealed the greatest density and diversity of these enzymes in the Trout Bog hypolimnion, potentially indicating a greater reliance on a diversity of complex carbon sources. The most frequently observed glycoside hydrolase families </w:t>
      </w:r>
      <w:r>
        <w:lastRenderedPageBreak/>
        <w:t>across lakes encoded enzymes related to cellulose and chitin degradation, consistent with research showing that these are important substrates in freshwater. This combined data from functional marker gene analysis and MAG pathway prediction provides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6" w:name="_m6606topfmb" w:colFirst="0" w:colLast="0"/>
      <w:bookmarkEnd w:id="6"/>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 xml:space="preserve">We thank Emily Stanley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The work conducted by the U.S. Department of Energy Joint Genome Institute, a DOE Office of Science User Facility, is supported by the Office of Science of the U.S. Department of Energy under Contract No. DE-AC02-05CH11231.</w:t>
      </w:r>
      <w:r w:rsidR="0069102D">
        <w:t xml:space="preserve">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 xml:space="preserve">supported by a pre-doctoral fellowship provided by the University of </w:t>
      </w:r>
      <w:r w:rsidR="008E64BD">
        <w:lastRenderedPageBreak/>
        <w:t>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p>
    <w:p w:rsidR="008853A5" w:rsidRDefault="00046BFF" w:rsidP="00B44E2D">
      <w:pPr>
        <w:pStyle w:val="Heading1"/>
      </w:pPr>
      <w:bookmarkStart w:id="7" w:name="_10g0eg7e0hhu" w:colFirst="0" w:colLast="0"/>
      <w:bookmarkEnd w:id="7"/>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Significant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9770A7" w:rsidRDefault="009770A7" w:rsidP="00B44E2D">
      <w:pPr>
        <w:pStyle w:val="NormalWeb"/>
        <w:spacing w:before="0" w:beforeAutospacing="0" w:after="0" w:afterAutospacing="0"/>
      </w:pPr>
      <w:r>
        <w:rPr>
          <w:b/>
          <w:bCs/>
          <w:color w:val="000000"/>
        </w:rPr>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w:t>
      </w:r>
      <w:r w:rsidR="00B44E2D">
        <w:rPr>
          <w:color w:val="000000"/>
        </w:rPr>
        <w:t xml:space="preserve">Numbers above bars indicating abundances greater than the limit of the y-axis. </w:t>
      </w:r>
      <w:r w:rsidR="00CC5549">
        <w:t xml:space="preserve">The 16S V6-V8 region was targeted in Trout Bog, while the V4 region was targeted in Lake Mendota. </w:t>
      </w:r>
      <w:r w:rsidR="00CC5549">
        <w:rPr>
          <w:color w:val="000000"/>
        </w:rPr>
        <w:t xml:space="preserve">Proteobacteria was split into classes due to the high diversity of this phylum. </w:t>
      </w:r>
      <w:r>
        <w:rPr>
          <w:color w:val="000000"/>
        </w:rPr>
        <w:t xml:space="preserve">Although proportions vary, similar taxonomic groups are observed using both approaches. </w:t>
      </w:r>
      <w:r w:rsidR="00CC5549">
        <w:rPr>
          <w:color w:val="000000"/>
        </w:rPr>
        <w:t>D</w:t>
      </w:r>
      <w:r>
        <w:rPr>
          <w:color w:val="000000"/>
        </w:rPr>
        <w:t>ifferences are likely due to a combination of primer and assembly biases. However, similar phyla were detected using both methods, suggesting that our MAG datasets are representative of their communities.</w:t>
      </w:r>
    </w:p>
    <w:p w:rsidR="00166966" w:rsidRDefault="00166966" w:rsidP="00B44E2D">
      <w:pPr>
        <w:spacing w:line="240" w:lineRule="auto"/>
      </w:pPr>
    </w:p>
    <w:p w:rsidR="005F1EC7" w:rsidRPr="00280EC2" w:rsidRDefault="005F1EC7" w:rsidP="00B44E2D">
      <w:pPr>
        <w:spacing w:line="240" w:lineRule="auto"/>
      </w:pPr>
      <w:r>
        <w:rPr>
          <w:b/>
          <w:bCs/>
          <w:color w:val="000000"/>
        </w:rPr>
        <w:lastRenderedPageBreak/>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Proteobacteria was split into classes due to the high diversity of this phylum.</w:t>
      </w:r>
    </w:p>
    <w:p w:rsidR="005F1EC7" w:rsidRDefault="005F1EC7" w:rsidP="00B44E2D">
      <w:pPr>
        <w:pStyle w:val="NormalWeb"/>
        <w:spacing w:before="0" w:beforeAutospacing="0" w:after="160" w:afterAutospacing="0"/>
      </w:pPr>
      <w:r>
        <w:rPr>
          <w:b/>
          <w:bCs/>
          <w:color w:val="000000"/>
        </w:rPr>
        <w:t xml:space="preserve">Figure 4. Glycoside hydrolase content in the MAGs. </w:t>
      </w:r>
      <w:r>
        <w:rPr>
          <w:color w:val="000000"/>
        </w:rPr>
        <w:t xml:space="preserve">Annotations of glycoside hydrolases were used as an indication of complex carbon degradation. Genes potentially encoding glycoside hydrolases were identified and assigned </w:t>
      </w:r>
      <w:proofErr w:type="spellStart"/>
      <w:r>
        <w:rPr>
          <w:color w:val="000000"/>
        </w:rPr>
        <w:t>CAZyme</w:t>
      </w:r>
      <w:proofErr w:type="spellEnd"/>
      <w:r>
        <w:rPr>
          <w:color w:val="000000"/>
        </w:rPr>
        <w:t xml:space="preserve"> annotations using </w:t>
      </w:r>
      <w:proofErr w:type="spellStart"/>
      <w:r>
        <w:rPr>
          <w:color w:val="000000"/>
        </w:rPr>
        <w:t>dbCANN</w:t>
      </w:r>
      <w:proofErr w:type="spellEnd"/>
      <w:r>
        <w:rPr>
          <w:color w:val="000000"/>
        </w:rPr>
        <w:t>. Glycoside hydrolase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 which contains endoglucanases involved in cellulose degradation, GH109, which encodes alpha-N-</w:t>
      </w:r>
      <w:proofErr w:type="spellStart"/>
      <w:r>
        <w:rPr>
          <w:color w:val="000000"/>
        </w:rPr>
        <w:t>acetylgalactosaminidase</w:t>
      </w:r>
      <w:proofErr w:type="spellEnd"/>
      <w:r>
        <w:rPr>
          <w:color w:val="000000"/>
        </w:rPr>
        <w:t xml:space="preserve">, an enzyme involved in chitin degradation, and GH23, a </w:t>
      </w:r>
      <w:proofErr w:type="spellStart"/>
      <w:r>
        <w:rPr>
          <w:color w:val="000000"/>
        </w:rPr>
        <w:t>transglycosylase</w:t>
      </w:r>
      <w:proofErr w:type="spellEnd"/>
      <w:r>
        <w:rPr>
          <w:color w:val="000000"/>
        </w:rPr>
        <w:t xml:space="preserve">, associated with breakdown of peptidoglycan or chitin (B-D). </w:t>
      </w:r>
      <w:proofErr w:type="spellStart"/>
      <w:r>
        <w:rPr>
          <w:color w:val="000000"/>
        </w:rPr>
        <w:t>Verrucomicrobiales</w:t>
      </w:r>
      <w:proofErr w:type="spellEnd"/>
      <w:r>
        <w:rPr>
          <w:color w:val="000000"/>
        </w:rPr>
        <w:t xml:space="preserve"> tended to contain higher proportions of genes annotated as GH109, even across sites, while </w:t>
      </w:r>
      <w:proofErr w:type="spellStart"/>
      <w:r>
        <w:rPr>
          <w:color w:val="000000"/>
        </w:rPr>
        <w:t>Ignavibacteriales</w:t>
      </w:r>
      <w:proofErr w:type="spellEnd"/>
      <w:r>
        <w:rPr>
          <w:color w:val="000000"/>
        </w:rPr>
        <w:t xml:space="preserve"> and </w:t>
      </w:r>
      <w:proofErr w:type="spellStart"/>
      <w:r>
        <w:rPr>
          <w:color w:val="000000"/>
        </w:rPr>
        <w:t>Sphingobacteriales</w:t>
      </w:r>
      <w:proofErr w:type="spellEnd"/>
      <w:r>
        <w:rPr>
          <w:color w:val="000000"/>
        </w:rPr>
        <w:t xml:space="preserve"> contained more genes annotated as GH74.</w:t>
      </w:r>
      <w:r w:rsidR="00CC5549">
        <w:rPr>
          <w:color w:val="000000"/>
        </w:rPr>
        <w:t xml:space="preserve"> Proteobacteria was split into classes due to the high diversity of this phylum.</w:t>
      </w:r>
    </w:p>
    <w:p w:rsidR="00770B63" w:rsidRDefault="005F1EC7" w:rsidP="00B44E2D">
      <w:pPr>
        <w:spacing w:line="240" w:lineRule="auto"/>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w:t>
      </w:r>
      <w:proofErr w:type="gramStart"/>
      <w:r>
        <w:rPr>
          <w:color w:val="000000"/>
        </w:rPr>
        <w:t>years, and</w:t>
      </w:r>
      <w:proofErr w:type="gramEnd"/>
      <w:r>
        <w:rPr>
          <w:color w:val="000000"/>
        </w:rPr>
        <w:t xml:space="preserve">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lastRenderedPageBreak/>
        <w:t>Data S1. Metagenome metadata</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S4. 16S rRNA amplicon sequencing of our samples.</w:t>
      </w:r>
      <w:r>
        <w:t xml:space="preserve"> 16S sequencing was performed over the time series to assess community composition in our study sites. The resulting OTU table</w:t>
      </w:r>
      <w:r w:rsidR="000F405C">
        <w:t>s</w:t>
      </w:r>
      <w:r>
        <w:t xml:space="preserve"> and taxonomic classifications are presented here.</w:t>
      </w:r>
    </w:p>
    <w:p w:rsidR="00AC3224" w:rsidRDefault="00AC3224" w:rsidP="00B44E2D">
      <w:pPr>
        <w:spacing w:line="240" w:lineRule="auto"/>
      </w:pPr>
      <w:r w:rsidRPr="00AC3224">
        <w:rPr>
          <w:b/>
        </w:rPr>
        <w:t>Data S5. MAG metadata.</w:t>
      </w:r>
      <w:r>
        <w:t xml:space="preserve"> Information about the completeness, size, and taxonomy of our MAGs, as well as their IMG OIDs, are presented here.</w:t>
      </w:r>
    </w:p>
    <w:p w:rsidR="00AC3224" w:rsidRDefault="00AC3224" w:rsidP="00B44E2D">
      <w:pPr>
        <w:spacing w:line="240" w:lineRule="auto"/>
      </w:pPr>
      <w:r w:rsidRPr="00AC3224">
        <w:rPr>
          <w:b/>
        </w:rPr>
        <w:t>Data S6. Average nucleotide identity between MAGs.</w:t>
      </w:r>
      <w:r>
        <w:t xml:space="preserve"> Average nucleotide identity (ANI) was calculated between all MAGs in our dataset. MAGs with extremely high ANIs (&gt;97%) are likely from the same populations.</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t>References</w:t>
      </w:r>
    </w:p>
    <w:p w:rsidR="00F91AC0" w:rsidRPr="00F91AC0" w:rsidRDefault="008E64BD" w:rsidP="00F91AC0">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F91AC0" w:rsidRPr="00F91AC0">
        <w:rPr>
          <w:noProof/>
        </w:rPr>
        <w:t xml:space="preserve">Allgaier M., Grossart H-P. 2006. Diversity and Seasonal Dynamics of Actinobacteria Populations in Four Lakes in Northeastern Germany. </w:t>
      </w:r>
      <w:r w:rsidR="00F91AC0" w:rsidRPr="00F91AC0">
        <w:rPr>
          <w:i/>
          <w:iCs/>
          <w:noProof/>
        </w:rPr>
        <w:t>Applied and Environmental Microbiology</w:t>
      </w:r>
      <w:r w:rsidR="00F91AC0" w:rsidRPr="00F91AC0">
        <w:rPr>
          <w:noProof/>
        </w:rPr>
        <w:t xml:space="preserve"> 72:3489–3497. DOI: 10.1128/AEM.72.5.3489.</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Azam F., Fenchel T., Field JG., Gray JC., Meyer-Reil LA., Thingstad F. 1983. The ecological role of water-column microbes in the sea. </w:t>
      </w:r>
      <w:r w:rsidRPr="00F91AC0">
        <w:rPr>
          <w:i/>
          <w:iCs/>
          <w:noProof/>
        </w:rPr>
        <w:t>Marine Ecology Progress Series</w:t>
      </w:r>
      <w:r w:rsidRPr="00F91AC0">
        <w:rPr>
          <w:noProof/>
        </w:rPr>
        <w:t xml:space="preserve"> 10:257–264. DOI: 10.3354/meps010257.</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Beier S., Bertilsson S. 2011. Uncoupling of chitinase activity and uptake of hydrolysis products in freshwater bacterioplankton. </w:t>
      </w:r>
      <w:r w:rsidRPr="00F91AC0">
        <w:rPr>
          <w:i/>
          <w:iCs/>
          <w:noProof/>
        </w:rPr>
        <w:t>Limnology and Oceanography</w:t>
      </w:r>
      <w:r w:rsidRPr="00F91AC0">
        <w:rPr>
          <w:noProof/>
        </w:rPr>
        <w:t xml:space="preserve"> 56:1179–1188. DOI: </w:t>
      </w:r>
      <w:r w:rsidRPr="00F91AC0">
        <w:rPr>
          <w:noProof/>
        </w:rPr>
        <w:lastRenderedPageBreak/>
        <w:t>10.4319/lo.2011.56.4.1179.</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F91AC0">
        <w:rPr>
          <w:i/>
          <w:iCs/>
          <w:noProof/>
        </w:rPr>
        <w:t>The ISME Journal</w:t>
      </w:r>
      <w:r w:rsidRPr="00F91AC0">
        <w:rPr>
          <w:noProof/>
        </w:rPr>
        <w:t xml:space="preserve"> 10:1589–1601. DOI: 10.1038/ismej.2015.241.</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Berman T., Bronk DA. 2003. Dissolved organic nitrogen: A dynamic participant in aquatic ecosystems. </w:t>
      </w:r>
      <w:r w:rsidRPr="00F91AC0">
        <w:rPr>
          <w:i/>
          <w:iCs/>
          <w:noProof/>
        </w:rPr>
        <w:t>Aquatic Microbial Ecology</w:t>
      </w:r>
      <w:r w:rsidRPr="00F91AC0">
        <w:rPr>
          <w:noProof/>
        </w:rPr>
        <w:t xml:space="preserve"> 31:279–305. DOI: 10.3354/ame031279.</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Bertilsson S., Tranvik LJ. 1998. Photochemically produced carboxylic acids as substrates for freshwater bacterioplankton. </w:t>
      </w:r>
      <w:r w:rsidRPr="00F91AC0">
        <w:rPr>
          <w:i/>
          <w:iCs/>
          <w:noProof/>
        </w:rPr>
        <w:t>Limnology and Oceanography</w:t>
      </w:r>
      <w:r w:rsidRPr="00F91AC0">
        <w:rPr>
          <w:noProof/>
        </w:rPr>
        <w:t xml:space="preserve"> 43:885–895. DOI: 10.4319/lo.1998.43.5.0885.</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Beversdorf LJ., Chaston SD., Miller TR., McMahon KD. 2015. Microcystin mcyA and mcyE gene abundances are not appropriate indicators of microcystin concentrations in lakes. </w:t>
      </w:r>
      <w:r w:rsidRPr="00F91AC0">
        <w:rPr>
          <w:i/>
          <w:iCs/>
          <w:noProof/>
        </w:rPr>
        <w:t>PLOS ONE</w:t>
      </w:r>
      <w:r w:rsidRPr="00F91AC0">
        <w:rPr>
          <w:noProof/>
        </w:rPr>
        <w:t xml:space="preserve"> 10:1–18. DOI: 10.1371/journal.pone.0125353.</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Beversdorf LJ., Miller TR., McMahon KD. 2013. The Role of Nitrogen Fixation in Cyanobacterial Bloom Toxicity in a Temperate , Eutrophic Lake. </w:t>
      </w:r>
      <w:r w:rsidRPr="00F91AC0">
        <w:rPr>
          <w:i/>
          <w:iCs/>
          <w:noProof/>
        </w:rPr>
        <w:t>PLOS ONE</w:t>
      </w:r>
      <w:r w:rsidRPr="00F91AC0">
        <w:rPr>
          <w:noProof/>
        </w:rPr>
        <w:t xml:space="preserve"> 8:1–11. DOI: 10.1371/journal.pone.0056103.</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Boisvert S., Raymond F., Godzaridis É., Laviolette F., Corbeil J. 2012. Ray Meta: scalable de novo metagenome assembly and profiling. </w:t>
      </w:r>
      <w:r w:rsidRPr="00F91AC0">
        <w:rPr>
          <w:i/>
          <w:iCs/>
          <w:noProof/>
        </w:rPr>
        <w:t>Genome Biology</w:t>
      </w:r>
      <w:r w:rsidRPr="00F91AC0">
        <w:rPr>
          <w:noProof/>
        </w:rPr>
        <w:t xml:space="preserve"> 13:1–13. DOI: 10.1186/gb-2012-13-12-r122.</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F91AC0">
        <w:rPr>
          <w:i/>
          <w:iCs/>
          <w:noProof/>
        </w:rPr>
        <w:t>Nature Biotechnology</w:t>
      </w:r>
      <w:r w:rsidRPr="00F91AC0">
        <w:rPr>
          <w:noProof/>
        </w:rPr>
        <w:t xml:space="preserve"> 35:725–731. DOI: 10.1038/nbt.3893.</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Bowles MW., Mogollon JM., Kasten S., Zabel M., Hinrichs K-U. 2014. Global rates of marine sulfate reduction and implications for sub-sea-floor metabolic activities. </w:t>
      </w:r>
      <w:r w:rsidRPr="00F91AC0">
        <w:rPr>
          <w:i/>
          <w:iCs/>
          <w:noProof/>
        </w:rPr>
        <w:t>Science Express Reports</w:t>
      </w:r>
      <w:r w:rsidRPr="00F91AC0">
        <w:rPr>
          <w:noProof/>
        </w:rPr>
        <w:t>. DOI: 10.1038/35351.</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Bowman JP., Sly LI., Stackebrandt E. 1995. The phylogenetic position of the family Methylococcaceae. </w:t>
      </w:r>
      <w:r w:rsidRPr="00F91AC0">
        <w:rPr>
          <w:i/>
          <w:iCs/>
          <w:noProof/>
        </w:rPr>
        <w:t>International Journal of Systematic Bacteriology</w:t>
      </w:r>
      <w:r w:rsidRPr="00F91AC0">
        <w:rPr>
          <w:noProof/>
        </w:rPr>
        <w:t xml:space="preserve"> 45:182–5. DOI: 10.1099/00207713-45-3-622a.</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Bragg JG. 2011. How Prochlorococcus bacteria use nitrogen sparingly in their proteins. </w:t>
      </w:r>
      <w:r w:rsidRPr="00F91AC0">
        <w:rPr>
          <w:i/>
          <w:iCs/>
          <w:noProof/>
        </w:rPr>
        <w:t>Molecular Ecology</w:t>
      </w:r>
      <w:r w:rsidRPr="00F91AC0">
        <w:rPr>
          <w:noProof/>
        </w:rPr>
        <w:t xml:space="preserve"> 20:27–28. DOI: 10.1111/j.1365-294X.2010.04915.x.</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Al Bulushi I., Poole S., Deeth HC., Dykes GA. 2009. Biogenic amines in fish: Roles in intoxication, spoilage, and nitrosamine formation-A review. </w:t>
      </w:r>
      <w:r w:rsidRPr="00F91AC0">
        <w:rPr>
          <w:i/>
          <w:iCs/>
          <w:noProof/>
        </w:rPr>
        <w:t xml:space="preserve">Critical Reviews in Food Science </w:t>
      </w:r>
      <w:r w:rsidRPr="00F91AC0">
        <w:rPr>
          <w:i/>
          <w:iCs/>
          <w:noProof/>
        </w:rPr>
        <w:lastRenderedPageBreak/>
        <w:t>and Nutrition</w:t>
      </w:r>
      <w:r w:rsidRPr="00F91AC0">
        <w:rPr>
          <w:noProof/>
        </w:rPr>
        <w:t xml:space="preserve"> 49:369–377. DOI: 10.1080/10408390802067514.</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Butman D., Stackpoole S., Stets E., McDonald CP., Clow DW., Striegl RG. 2015. Aquatic carbon cycling in the conterminous United States and implications for terrestrial carbon accounting. </w:t>
      </w:r>
      <w:r w:rsidRPr="00F91AC0">
        <w:rPr>
          <w:i/>
          <w:iCs/>
          <w:noProof/>
        </w:rPr>
        <w:t>Proceedings of the National Academy of Sciences</w:t>
      </w:r>
      <w:r w:rsidRPr="00F91AC0">
        <w:rPr>
          <w:noProof/>
        </w:rPr>
        <w:t>:1–6. DOI: 10.1073/pnas.1512651112.</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Cabello-Yeves PJ., Ghai R., Mehrshad M., Picazo A., Camacho A., Rodriguez-Valera F. 2017. Reconstruction of Diverse Verrucomicrobial Genomes from Metagenome Datasets of Freshwater Reservoirs. </w:t>
      </w:r>
      <w:r w:rsidRPr="00F91AC0">
        <w:rPr>
          <w:i/>
          <w:iCs/>
          <w:noProof/>
        </w:rPr>
        <w:t>Frontiers in Microbiology</w:t>
      </w:r>
      <w:r w:rsidRPr="00F91AC0">
        <w:rPr>
          <w:noProof/>
        </w:rPr>
        <w:t xml:space="preserve"> 8. DOI: 10.3389/fmicb.2017.02131.</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Camacho C., Coulouris G., Avagyan V., Ma N., Papadopoulos J., Bealer K., Madden TL. 2009. BLAST plus : architecture and applications. </w:t>
      </w:r>
      <w:r w:rsidRPr="00F91AC0">
        <w:rPr>
          <w:i/>
          <w:iCs/>
          <w:noProof/>
        </w:rPr>
        <w:t>BMC Bioinformatics</w:t>
      </w:r>
      <w:r w:rsidRPr="00F91AC0">
        <w:rPr>
          <w:noProof/>
        </w:rPr>
        <w:t xml:space="preserve"> 10:1–9. DOI: Artn 421\nDoi 10.1186/1471-2105-10-421.</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F91AC0">
        <w:rPr>
          <w:i/>
          <w:iCs/>
          <w:noProof/>
        </w:rPr>
        <w:t>The ISME Journal</w:t>
      </w:r>
      <w:r w:rsidRPr="00F91AC0">
        <w:rPr>
          <w:noProof/>
        </w:rPr>
        <w:t xml:space="preserve"> 6:1621–1624. DOI: 10.1038/ismej.2012.8.</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Chistoserdova L., Kalyuzhnaya MG., Lidstrom ME. 2009. The Expanding World of Methylotrophic Metabolism. </w:t>
      </w:r>
      <w:r w:rsidRPr="00F91AC0">
        <w:rPr>
          <w:i/>
          <w:iCs/>
          <w:noProof/>
        </w:rPr>
        <w:t>Annual Review of Microbiology</w:t>
      </w:r>
      <w:r w:rsidRPr="00F91AC0">
        <w:rPr>
          <w:noProof/>
        </w:rPr>
        <w:t xml:space="preserve"> 63:477–499. DOI: 10.1146/annurev.micro.091208.073600.The.</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Darling AE., Jospin G., Lowe E., Matsen FA., Bik HM., Eisen JA. 2014. PhyloSift: phylogenetic analysis of genomes and metagenomes. </w:t>
      </w:r>
      <w:r w:rsidRPr="00F91AC0">
        <w:rPr>
          <w:i/>
          <w:iCs/>
          <w:noProof/>
        </w:rPr>
        <w:t>PeerJ</w:t>
      </w:r>
      <w:r w:rsidRPr="00F91AC0">
        <w:rPr>
          <w:noProof/>
        </w:rPr>
        <w:t xml:space="preserve"> 2:e243. DOI: 10.7717/peerj.243.</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Eiler A., Mondav R., Sinclair L., Fernandez-Vidal L., Scofield D., Scwientek P., Martinez-Garcia M., Torrents D., McMahon KD., Andersson SGE., Stepanauskas R., Woyke T., Bertilsson S. 2016. Tuning fresh: radiation through rewiring of central metabolism in streamlined bacteria. </w:t>
      </w:r>
      <w:r w:rsidRPr="00F91AC0">
        <w:rPr>
          <w:i/>
          <w:iCs/>
          <w:noProof/>
        </w:rPr>
        <w:t>The ISME Journal</w:t>
      </w:r>
      <w:r w:rsidRPr="00F91AC0">
        <w:rPr>
          <w:noProof/>
        </w:rPr>
        <w:t xml:space="preserve"> 10:1–13. DOI: 10.13140/RG.2.1.1968.9040.</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Engelbrektson AL., Kunin V., Wrighton KC., Zvenigorodsky N., Chen F., Ochman H., Hugenholtz P. 2010. Experimental factors affecting PCR-based estimates of microbial species richness and evenness. </w:t>
      </w:r>
      <w:r w:rsidRPr="00F91AC0">
        <w:rPr>
          <w:i/>
          <w:iCs/>
          <w:noProof/>
        </w:rPr>
        <w:t>The ISME Journal</w:t>
      </w:r>
      <w:r w:rsidRPr="00F91AC0">
        <w:rPr>
          <w:noProof/>
        </w:rPr>
        <w:t xml:space="preserve"> 4:642.</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F91AC0">
        <w:rPr>
          <w:i/>
          <w:iCs/>
          <w:noProof/>
        </w:rPr>
        <w:t>The ISME Journal</w:t>
      </w:r>
      <w:r w:rsidRPr="00F91AC0">
        <w:rPr>
          <w:noProof/>
        </w:rPr>
        <w:t xml:space="preserve"> 8:2503–16. DOI: 10.1038/ismej.2014.135.</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del Giorgio PA., Cole JJ., Cimbleris A. 1997. Respiration rates in bacteria exceed phytoplankton production in unproductive aquatic systems. </w:t>
      </w:r>
      <w:r w:rsidRPr="00F91AC0">
        <w:rPr>
          <w:i/>
          <w:iCs/>
          <w:noProof/>
        </w:rPr>
        <w:t>Nature</w:t>
      </w:r>
      <w:r w:rsidRPr="00F91AC0">
        <w:rPr>
          <w:noProof/>
        </w:rPr>
        <w:t xml:space="preserve"> 385:148–151.</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Giroldo D., Augusto A., Vieira H. 2005. Polymeric and free sugars released by three phytoplanktonic species from a freshwater tropical eutrophic reservoir. </w:t>
      </w:r>
      <w:r w:rsidRPr="00F91AC0">
        <w:rPr>
          <w:i/>
          <w:iCs/>
          <w:noProof/>
        </w:rPr>
        <w:t>Journal of Plankton Research</w:t>
      </w:r>
      <w:r w:rsidRPr="00F91AC0">
        <w:rPr>
          <w:noProof/>
        </w:rPr>
        <w:t xml:space="preserve"> 27:695–705. DOI: 10.1093/plankt/fbi043.</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Gong X., Garcia-Robledo E., Revsbech N-P., Schramm A. 2018. Gene Expression of Terminal Oxidases in Two Marine Bacterial Strains Exposed to Nanomolar Oxygen Concentrations. </w:t>
      </w:r>
      <w:r w:rsidRPr="00F91AC0">
        <w:rPr>
          <w:i/>
          <w:iCs/>
          <w:noProof/>
        </w:rPr>
        <w:t>FEMS Microbiology Ecology</w:t>
      </w:r>
      <w:r w:rsidRPr="00F91AC0">
        <w:rPr>
          <w:noProof/>
        </w:rPr>
        <w:t>. DOI: 10.1093/femsec/fiy072/4983120.</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lastRenderedPageBreak/>
        <w:t xml:space="preserve">Hall MW., Rohwer RR., Perrie J., Mcmahon KD., Beiko RG. 2017. Ananke : temporal clustering reveals ecological dynamics of microbial communities. </w:t>
      </w:r>
      <w:r w:rsidRPr="00F91AC0">
        <w:rPr>
          <w:i/>
          <w:iCs/>
          <w:noProof/>
        </w:rPr>
        <w:t>PeerJ</w:t>
      </w:r>
      <w:r w:rsidRPr="00F91AC0">
        <w:rPr>
          <w:noProof/>
        </w:rPr>
        <w:t xml:space="preserve"> 5:1–19. DOI: 10.7717/peerj.3812.</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F91AC0">
        <w:rPr>
          <w:i/>
          <w:iCs/>
          <w:noProof/>
        </w:rPr>
        <w:t>mSystems</w:t>
      </w:r>
      <w:r w:rsidRPr="00F91AC0">
        <w:rPr>
          <w:noProof/>
        </w:rPr>
        <w:t xml:space="preserve"> 2:1–13.</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Hanson TE., Tabita FR. 2001. A ribulose-1,5-bisphosphate carboxylase/oxygenase (RubisCO)-like protein from Chlorobium tepidum that is involved with sulfur metabolism and the response to oxidative stress. </w:t>
      </w:r>
      <w:r w:rsidRPr="00F91AC0">
        <w:rPr>
          <w:i/>
          <w:iCs/>
          <w:noProof/>
        </w:rPr>
        <w:t>Proceedings of the National Academy of Sciences</w:t>
      </w:r>
      <w:r w:rsidRPr="00F91AC0">
        <w:rPr>
          <w:noProof/>
        </w:rPr>
        <w:t xml:space="preserve"> 98:4397–4402. DOI: 10.1073/pnas.081610398.</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He S., Stevens SL., Chan L-K., Bertilsson S., Glavina Del Rio T., Tringe SG., Malmstrom RR., McMahon KD. 2017. Ecophysiology of Freshwater Verrucomicrobia Inferred from Metagenome-Assembled Genomes. </w:t>
      </w:r>
      <w:r w:rsidRPr="00F91AC0">
        <w:rPr>
          <w:i/>
          <w:iCs/>
          <w:noProof/>
        </w:rPr>
        <w:t>mSphere</w:t>
      </w:r>
      <w:r w:rsidRPr="00F91AC0">
        <w:rPr>
          <w:noProof/>
        </w:rPr>
        <w:t xml:space="preserve"> 2:1–17.</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Holkenbrink C., Barbas SO., Mellerup A., Otaki H., Frigaard NU. 2011. Sulfur globule oxidation in green sulfur bacteria is dependent on the dissimilatory sulfite reductase system. </w:t>
      </w:r>
      <w:r w:rsidRPr="00F91AC0">
        <w:rPr>
          <w:i/>
          <w:iCs/>
          <w:noProof/>
        </w:rPr>
        <w:t>Microbiology</w:t>
      </w:r>
      <w:r w:rsidRPr="00F91AC0">
        <w:rPr>
          <w:noProof/>
        </w:rPr>
        <w:t xml:space="preserve"> 157:1229–1239. DOI: 10.1099/mic.0.044669-0.</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Hong S., Bunge J., Leslin C., Jeon S., Epstein SS. 2009. Polymerase chain reaction primers miss half of rRNA microbial diversity. </w:t>
      </w:r>
      <w:r w:rsidRPr="00F91AC0">
        <w:rPr>
          <w:i/>
          <w:iCs/>
          <w:noProof/>
        </w:rPr>
        <w:t>The ISME Journal</w:t>
      </w:r>
      <w:r w:rsidRPr="00F91AC0">
        <w:rPr>
          <w:noProof/>
        </w:rPr>
        <w:t xml:space="preserve"> 3:1365–1373. DOI: 10.1038/ismej.2009.89.</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Hyatt D., Chen GL., LoCascio PF., Land ML., Larimer FW., Hauser LJ. 2010. Prodigal: Prokaryotic gene recognition and translation initiation site identification. </w:t>
      </w:r>
      <w:r w:rsidRPr="00F91AC0">
        <w:rPr>
          <w:i/>
          <w:iCs/>
          <w:noProof/>
        </w:rPr>
        <w:t>BMC Bioinformatics</w:t>
      </w:r>
      <w:r w:rsidRPr="00F91AC0">
        <w:rPr>
          <w:noProof/>
        </w:rPr>
        <w:t xml:space="preserve"> 11. DOI: 10.1186/1471-2105-11-119.</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Igarashi K., Kashiwagi K. 1999. Polyamine transport in bacteria and yeast. </w:t>
      </w:r>
      <w:r w:rsidRPr="00F91AC0">
        <w:rPr>
          <w:i/>
          <w:iCs/>
          <w:noProof/>
        </w:rPr>
        <w:t>Biochem. J.</w:t>
      </w:r>
      <w:r w:rsidRPr="00F91AC0">
        <w:rPr>
          <w:noProof/>
        </w:rPr>
        <w:t xml:space="preserve"> 344:633–642.</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Jorgenson NO., Tranvik LJ., Edling H., Graneli W., Lindell M. 1998. Effects of sunlight on occurrence and bacterial turnover of specific carbon and nitrogen compounds in lake water. </w:t>
      </w:r>
      <w:r w:rsidRPr="00F91AC0">
        <w:rPr>
          <w:i/>
          <w:iCs/>
          <w:noProof/>
        </w:rPr>
        <w:t>FEMS Microbiology Ecology</w:t>
      </w:r>
      <w:r w:rsidRPr="00F91AC0">
        <w:rPr>
          <w:noProof/>
        </w:rPr>
        <w:t xml:space="preserve"> 25:217–227.</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F91AC0">
        <w:rPr>
          <w:i/>
          <w:iCs/>
          <w:noProof/>
        </w:rPr>
        <w:t>International Journal of Systematic and Evolutionary Microbiology</w:t>
      </w:r>
      <w:r w:rsidRPr="00F91AC0">
        <w:rPr>
          <w:noProof/>
        </w:rPr>
        <w:t xml:space="preserve"> 62:106–111. DOI: 10.1099/ijs.0.029165-0.</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Kanao T., Kawamura M., Fukui T., Atomi H., Imanaka T. 2002. Characterization of isocitrate dehydrogenase from the green sulfur bacterium chlorobium limicola: A carbon dioxide-fixing enzyme in the reductive tricarboxylic acid cycle. </w:t>
      </w:r>
      <w:r w:rsidRPr="00F91AC0">
        <w:rPr>
          <w:i/>
          <w:iCs/>
          <w:noProof/>
        </w:rPr>
        <w:t>European Journal of Biochemistry</w:t>
      </w:r>
      <w:r w:rsidRPr="00F91AC0">
        <w:rPr>
          <w:noProof/>
        </w:rPr>
        <w:t xml:space="preserve"> 269:1926–1931. DOI: 10.1046/j.1432-1327.2002.02849.x.</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Kang DD., Froula J., Egan R., Wang Z. 2015. MetaBAT, an efficient tool for accurately reconstructing single genomes from complex microbial communities. </w:t>
      </w:r>
      <w:r w:rsidRPr="00F91AC0">
        <w:rPr>
          <w:i/>
          <w:iCs/>
          <w:noProof/>
        </w:rPr>
        <w:t>PeerJ</w:t>
      </w:r>
      <w:r w:rsidRPr="00F91AC0">
        <w:rPr>
          <w:noProof/>
        </w:rPr>
        <w:t xml:space="preserve"> 3:e1165. DOI: 10.7717/peerj.1165.</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lastRenderedPageBreak/>
        <w:t xml:space="preserve">Karhunen J., Arvola L., Peura S., Tiirola M. 2013. Green sulphur bacteria as a component of the photosynthetic plankton community in small dimictic humic lakes with an anoxic hypolimnion. </w:t>
      </w:r>
      <w:r w:rsidRPr="00F91AC0">
        <w:rPr>
          <w:i/>
          <w:iCs/>
          <w:noProof/>
        </w:rPr>
        <w:t>Aquatic Microbial Ecology</w:t>
      </w:r>
      <w:r w:rsidRPr="00F91AC0">
        <w:rPr>
          <w:noProof/>
        </w:rPr>
        <w:t xml:space="preserve"> 68:267–272. DOI: 10.3354/ame01620.</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F91AC0">
        <w:rPr>
          <w:i/>
          <w:iCs/>
          <w:noProof/>
        </w:rPr>
        <w:t>Molecular Microbiology</w:t>
      </w:r>
      <w:r w:rsidRPr="00F91AC0">
        <w:rPr>
          <w:noProof/>
        </w:rPr>
        <w:t xml:space="preserve"> 75:426–439. DOI: 10.1111/j.1365-2958.2009.06989.x.</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Li H., Durbin R. 2010. Fast and accurate long-read alignment with Burrows-Wheeler transform. </w:t>
      </w:r>
      <w:r w:rsidRPr="00F91AC0">
        <w:rPr>
          <w:i/>
          <w:iCs/>
          <w:noProof/>
        </w:rPr>
        <w:t>Bioinformatics</w:t>
      </w:r>
      <w:r w:rsidRPr="00F91AC0">
        <w:rPr>
          <w:noProof/>
        </w:rPr>
        <w:t xml:space="preserve"> 26:589–595. DOI: 10.1093/bioinformatics/btp698.</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Linz AM., Crary BC., Shade A., Owens S., Gilbert JA., Knight R., McMahon KD. 2017. Bacterial Community Composition and Dynamics Spanning Five Years in Freshwater Bog Lakes. </w:t>
      </w:r>
      <w:r w:rsidRPr="00F91AC0">
        <w:rPr>
          <w:i/>
          <w:iCs/>
          <w:noProof/>
        </w:rPr>
        <w:t>mSphere</w:t>
      </w:r>
      <w:r w:rsidRPr="00F91AC0">
        <w:rPr>
          <w:noProof/>
        </w:rPr>
        <w:t xml:space="preserve"> 2:1–15. DOI: e00169-17.</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F91AC0">
        <w:rPr>
          <w:i/>
          <w:iCs/>
          <w:noProof/>
        </w:rPr>
        <w:t>GigaScience</w:t>
      </w:r>
      <w:r w:rsidRPr="00F91AC0">
        <w:rPr>
          <w:noProof/>
        </w:rPr>
        <w:t xml:space="preserve"> 1:1–6. DOI: 10.1186/2047-217X-1-18.</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Magooc T., Salzberg SL. 2011. FLASH: Fast length adjustment of short reads to improve genome assemblies. </w:t>
      </w:r>
      <w:r w:rsidRPr="00F91AC0">
        <w:rPr>
          <w:i/>
          <w:iCs/>
          <w:noProof/>
        </w:rPr>
        <w:t>Bioinformatics</w:t>
      </w:r>
      <w:r w:rsidRPr="00F91AC0">
        <w:rPr>
          <w:noProof/>
        </w:rPr>
        <w:t xml:space="preserve"> 27:2957–2963. DOI: 10.1093/bioinformatics/btr507.</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F91AC0">
        <w:rPr>
          <w:i/>
          <w:iCs/>
          <w:noProof/>
        </w:rPr>
        <w:t>Nucleic Acids Research</w:t>
      </w:r>
      <w:r w:rsidRPr="00F91AC0">
        <w:rPr>
          <w:noProof/>
        </w:rPr>
        <w:t xml:space="preserve"> 40:115–122. DOI: 10.1093/nar/gkr1044.</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Martinez-Garcia M., Swan BK., Poulton NJ., Gomez ML., Masland D., Sieracki ME., Stepanauskas R. 2012. High-throughput single-cell sequencing identifies photoheterotrophs and chemoautotrophs in freshwater bacterioplankton. </w:t>
      </w:r>
      <w:r w:rsidRPr="00F91AC0">
        <w:rPr>
          <w:i/>
          <w:iCs/>
          <w:noProof/>
        </w:rPr>
        <w:t>The ISME Journal</w:t>
      </w:r>
      <w:r w:rsidRPr="00F91AC0">
        <w:rPr>
          <w:noProof/>
        </w:rPr>
        <w:t xml:space="preserve"> 6:113–123. DOI: 10.1038/ismej.2011.84.</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Mou X., Vila-Costa M., Sun S., Zhao W., Sharma S., Moran MA. 2011. Metatranscriptomic signature of exogenous polyamine utilization by coastal bacterioplankton. </w:t>
      </w:r>
      <w:r w:rsidRPr="00F91AC0">
        <w:rPr>
          <w:i/>
          <w:iCs/>
          <w:noProof/>
        </w:rPr>
        <w:t>Environmental Microbiology</w:t>
      </w:r>
      <w:r w:rsidRPr="00F91AC0">
        <w:rPr>
          <w:noProof/>
        </w:rPr>
        <w:t xml:space="preserve"> 3:798–806. DOI: 10.1111/j.1758-2229.2011.00289.x.</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Parks DH., Imelfort M., Skennerton CT., Hugenholtz P., Tyson GW. 2015. CheckM: assessing the quality of microbial genomes recovered from isolates, single cells, and metagenomes. </w:t>
      </w:r>
      <w:r w:rsidRPr="00F91AC0">
        <w:rPr>
          <w:i/>
          <w:iCs/>
          <w:noProof/>
        </w:rPr>
        <w:t>Genome Research</w:t>
      </w:r>
      <w:r w:rsidRPr="00F91AC0">
        <w:rPr>
          <w:noProof/>
        </w:rPr>
        <w:t xml:space="preserve"> 25:1043–1055.</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Paver SF., Kent AD. 2017. Temporal Patterns in Glycolate-Utilizing Bacterial Community Composition Correlate with Phytoplankton Population Dynamics in Humic Lakes. </w:t>
      </w:r>
      <w:r w:rsidRPr="00F91AC0">
        <w:rPr>
          <w:i/>
          <w:iCs/>
          <w:noProof/>
        </w:rPr>
        <w:t>Microbial Ecology</w:t>
      </w:r>
      <w:r w:rsidRPr="00F91AC0">
        <w:rPr>
          <w:noProof/>
        </w:rPr>
        <w:t xml:space="preserve"> 60:406–418. DOI: 10.1007/S00248-0.</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Peters JW., Schut GJ., Boyd ES., Mulder DW., Shepard EM., Broderick JB., King PW., Adams MWW. 2015. [FeFe]- and [NiFe]-hydrogenase diversity, mechanism, and maturation. </w:t>
      </w:r>
      <w:r w:rsidRPr="00F91AC0">
        <w:rPr>
          <w:i/>
          <w:iCs/>
          <w:noProof/>
        </w:rPr>
        <w:t>Biochimica et Biophysica Acta - Molecular Cell Research</w:t>
      </w:r>
      <w:r w:rsidRPr="00F91AC0">
        <w:rPr>
          <w:noProof/>
        </w:rPr>
        <w:t xml:space="preserve"> 1853:1350–1369. DOI: 10.1016/j.bbamcr.2014.11.021.</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lastRenderedPageBreak/>
        <w:t xml:space="preserve">Peura S., Eiler A., Bertilsson S., Nyka H., Tiirola M., Jones RI. 2012. Distinct and diverse anaerobic bacterial communities in boreal lakes dominated by candidate division OD1. </w:t>
      </w:r>
      <w:r w:rsidRPr="00F91AC0">
        <w:rPr>
          <w:i/>
          <w:iCs/>
          <w:noProof/>
        </w:rPr>
        <w:t>The ISME Journal</w:t>
      </w:r>
      <w:r w:rsidRPr="00F91AC0">
        <w:rPr>
          <w:noProof/>
        </w:rPr>
        <w:t xml:space="preserve"> 6:1640–1652. DOI: 10.1038/ismej.2012.21.</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Peura S., Sinclair L., Bertilsson S., Eiler A. 2015. Metagenomic insights into strategies of aerobic and anaerobic carbon and nitrogen transformation in boreal lakes. </w:t>
      </w:r>
      <w:r w:rsidRPr="00F91AC0">
        <w:rPr>
          <w:i/>
          <w:iCs/>
          <w:noProof/>
        </w:rPr>
        <w:t>Scientific Reports</w:t>
      </w:r>
      <w:r w:rsidRPr="00F91AC0">
        <w:rPr>
          <w:noProof/>
        </w:rPr>
        <w:t xml:space="preserve"> 5:12102. DOI: 10.1038/srep12102.</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Pomeroy LR., Wiebe WJ. 1988. Energetics of microbial food webs. </w:t>
      </w:r>
      <w:r w:rsidRPr="00F91AC0">
        <w:rPr>
          <w:i/>
          <w:iCs/>
          <w:noProof/>
        </w:rPr>
        <w:t>Hydrobiologia</w:t>
      </w:r>
      <w:r w:rsidRPr="00F91AC0">
        <w:rPr>
          <w:noProof/>
        </w:rPr>
        <w:t xml:space="preserve"> 159:7–18. DOI: 10.1007/BF00007363.</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Price MN., Dehal PS., Arkin AP. 2010. FastTree 2 - Approximately maximum-likelihood trees for large alignments. </w:t>
      </w:r>
      <w:r w:rsidRPr="00F91AC0">
        <w:rPr>
          <w:i/>
          <w:iCs/>
          <w:noProof/>
        </w:rPr>
        <w:t>PLOS ONE</w:t>
      </w:r>
      <w:r w:rsidRPr="00F91AC0">
        <w:rPr>
          <w:noProof/>
        </w:rPr>
        <w:t xml:space="preserve"> 5. DOI: 10.1371/journal.pone.0009490.</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Ramachandran A., Walsh DA. 2015. Investigation of XoxF methanol dehydrogenases reveals new methylotrophic bacteria in pelagic marine and freshwater ecosystems. </w:t>
      </w:r>
      <w:r w:rsidRPr="00F91AC0">
        <w:rPr>
          <w:i/>
          <w:iCs/>
          <w:noProof/>
        </w:rPr>
        <w:t>FEMS Microbiology Ecology</w:t>
      </w:r>
      <w:r w:rsidRPr="00F91AC0">
        <w:rPr>
          <w:noProof/>
        </w:rPr>
        <w:t xml:space="preserve"> 91. DOI: 10.1093/femsec/fiv105.</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Ramanan R., Kim B-H., Cho D-H., Oh H-M., Kim H-S. 2015. Algae–bacteria interactions: evolution, ecology and emerging applications. </w:t>
      </w:r>
      <w:r w:rsidRPr="00F91AC0">
        <w:rPr>
          <w:i/>
          <w:iCs/>
          <w:noProof/>
        </w:rPr>
        <w:t>Biotechnology Advances</w:t>
      </w:r>
      <w:r w:rsidRPr="00F91AC0">
        <w:rPr>
          <w:noProof/>
        </w:rPr>
        <w:t>. DOI: 10.1016/j.biotechadv.2015.12.003.</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Remsen CC., Carpenter EJ., Schroeder BW. 1972. Competition for Urea among Estuarine Microorganisms. </w:t>
      </w:r>
      <w:r w:rsidRPr="00F91AC0">
        <w:rPr>
          <w:i/>
          <w:iCs/>
          <w:noProof/>
        </w:rPr>
        <w:t>Ecological Society of America</w:t>
      </w:r>
      <w:r w:rsidRPr="00F91AC0">
        <w:rPr>
          <w:noProof/>
        </w:rPr>
        <w:t xml:space="preserve"> 53:921–926.</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F91AC0">
        <w:rPr>
          <w:i/>
          <w:iCs/>
          <w:noProof/>
        </w:rPr>
        <w:t>Nature</w:t>
      </w:r>
      <w:r w:rsidRPr="00F91AC0">
        <w:rPr>
          <w:noProof/>
        </w:rPr>
        <w:t xml:space="preserve"> 499:431–437. DOI: 10.1038/nature12352.</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Roux S., Chan LK., Egan R., Malmstrom RR., McMahon KD., Sullivan MB. 2017. Ecogenomics of virophages and their giant virus hosts assessed through time series metagenomics. </w:t>
      </w:r>
      <w:r w:rsidRPr="00F91AC0">
        <w:rPr>
          <w:i/>
          <w:iCs/>
          <w:noProof/>
        </w:rPr>
        <w:t>Nature Communications</w:t>
      </w:r>
      <w:r w:rsidRPr="00F91AC0">
        <w:rPr>
          <w:noProof/>
        </w:rPr>
        <w:t xml:space="preserve"> 8. DOI: 10.1038/s41467-017-01086-2.</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Salcher MM., Neuenschwander SM., Posch T., Pernthaler J. 2015. The ecology of pelagic freshwater methylotrophs assessed by a high-resolution monitoring and isolation campaign. </w:t>
      </w:r>
      <w:r w:rsidRPr="00F91AC0">
        <w:rPr>
          <w:i/>
          <w:iCs/>
          <w:noProof/>
        </w:rPr>
        <w:t>The ISME Journal</w:t>
      </w:r>
      <w:r w:rsidRPr="00F91AC0">
        <w:rPr>
          <w:noProof/>
        </w:rPr>
        <w:t xml:space="preserve"> 9:2442–2453. DOI: 10.1038/ismej.2015.55.</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Salcher MM., Posch T., Pernthaler J. 2013. In situ substrate preferences of abundant bacterioplankton populations in a prealpine freshwater lake. </w:t>
      </w:r>
      <w:r w:rsidRPr="00F91AC0">
        <w:rPr>
          <w:i/>
          <w:iCs/>
          <w:noProof/>
        </w:rPr>
        <w:t>Isme J</w:t>
      </w:r>
      <w:r w:rsidRPr="00F91AC0">
        <w:rPr>
          <w:noProof/>
        </w:rPr>
        <w:t xml:space="preserve"> 7:896–907. DOI: 10.1038/ismej.2012.162.</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F91AC0">
        <w:rPr>
          <w:i/>
          <w:iCs/>
          <w:noProof/>
        </w:rPr>
        <w:t>Applied and Environmental Microbiology</w:t>
      </w:r>
      <w:r w:rsidRPr="00F91AC0">
        <w:rPr>
          <w:noProof/>
        </w:rPr>
        <w:t xml:space="preserve"> 75:7537–7541. DOI: 10.1128/AEM.01541-09.</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Segata N., Waldron L., Ballarini A., Narasimhan V., Jousson O., Huttenhower C. 2012. Metagenomic microbial community profiling using unique clade-specific marker genes. </w:t>
      </w:r>
      <w:r w:rsidRPr="00F91AC0">
        <w:rPr>
          <w:i/>
          <w:iCs/>
          <w:noProof/>
        </w:rPr>
        <w:t>Nature Methods</w:t>
      </w:r>
      <w:r w:rsidRPr="00F91AC0">
        <w:rPr>
          <w:noProof/>
        </w:rPr>
        <w:t xml:space="preserve"> 9:811–4. DOI: 10.1038/nmeth.2066.</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lastRenderedPageBreak/>
        <w:t xml:space="preserve">Šimek K., Kasalický V., Jezbera J., Jezberová J., Hejzlar J., Hahn MW. 2010. Broad habitat range of the phylogenetically narrow R-BT065 cluster, representing a core group of the betaproteobacterial genus limnohabitans. </w:t>
      </w:r>
      <w:r w:rsidRPr="00F91AC0">
        <w:rPr>
          <w:i/>
          <w:iCs/>
          <w:noProof/>
        </w:rPr>
        <w:t>Applied and Environmental Microbiology</w:t>
      </w:r>
      <w:r w:rsidRPr="00F91AC0">
        <w:rPr>
          <w:noProof/>
        </w:rPr>
        <w:t xml:space="preserve"> 76:631–639. DOI: 10.1128/AEM.02203-09.</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Sommer DD., Delcher AL., Salzberg SL., Pop M. 2007. Minimus: a fast, lightweight genome assembler. </w:t>
      </w:r>
      <w:r w:rsidRPr="00F91AC0">
        <w:rPr>
          <w:i/>
          <w:iCs/>
          <w:noProof/>
        </w:rPr>
        <w:t>BMC Bioinformatics</w:t>
      </w:r>
      <w:r w:rsidRPr="00F91AC0">
        <w:rPr>
          <w:noProof/>
        </w:rPr>
        <w:t xml:space="preserve"> 8:64. DOI: 10.1186/1471-2105-8-64.</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Tang KH., Blankenship RE. 2010. Both forward and reverse TCA cycles operate in green sulfur bacteria. </w:t>
      </w:r>
      <w:r w:rsidRPr="00F91AC0">
        <w:rPr>
          <w:i/>
          <w:iCs/>
          <w:noProof/>
        </w:rPr>
        <w:t>Journal of Biological Chemistry</w:t>
      </w:r>
      <w:r w:rsidRPr="00F91AC0">
        <w:rPr>
          <w:noProof/>
        </w:rPr>
        <w:t xml:space="preserve"> 285:35848–35854. DOI: 10.1074/jbc.M110.157834.</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Varghese NJ., Mukherjee S., Ivanova N., Konstantinidis KT., Mavrommatis K., Kyrpides NC., Pati A. 2015. Microbial species delineation using whole genome sequences. </w:t>
      </w:r>
      <w:r w:rsidRPr="00F91AC0">
        <w:rPr>
          <w:i/>
          <w:iCs/>
          <w:noProof/>
        </w:rPr>
        <w:t>Nucleic Acids Research</w:t>
      </w:r>
      <w:r w:rsidRPr="00F91AC0">
        <w:rPr>
          <w:noProof/>
        </w:rPr>
        <w:t xml:space="preserve"> 43:gkv657-. DOI: 10.1093/nar/gkv657.</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Walsh JR., Carpenter SR., Vander Zanden MJ. 2016. Invasive species triggers a massive loss of ecosystem services through a trophic cascade. </w:t>
      </w:r>
      <w:r w:rsidRPr="00F91AC0">
        <w:rPr>
          <w:i/>
          <w:iCs/>
          <w:noProof/>
        </w:rPr>
        <w:t>Proceedings of the National Academy of Sciences</w:t>
      </w:r>
      <w:r w:rsidRPr="00F91AC0">
        <w:rPr>
          <w:noProof/>
        </w:rPr>
        <w:t xml:space="preserve"> 113:4081–4085. DOI: 10.1073/pnas.1600366113.</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Williamson CE., Dodds W., Kratz TK., Palmer MA. 2008. Lakes and streams as sentinels of environmental change in terrestrial and atmospheric processes. </w:t>
      </w:r>
      <w:r w:rsidRPr="00F91AC0">
        <w:rPr>
          <w:i/>
          <w:iCs/>
          <w:noProof/>
        </w:rPr>
        <w:t>Frontiers in Ecology and the Environment</w:t>
      </w:r>
      <w:r w:rsidRPr="00F91AC0">
        <w:rPr>
          <w:noProof/>
        </w:rPr>
        <w:t xml:space="preserve"> 6:247–254. DOI: 10.1890/070140.</w:t>
      </w:r>
    </w:p>
    <w:p w:rsidR="00F91AC0" w:rsidRPr="00F91AC0" w:rsidRDefault="00F91AC0" w:rsidP="00F91AC0">
      <w:pPr>
        <w:widowControl w:val="0"/>
        <w:autoSpaceDE w:val="0"/>
        <w:autoSpaceDN w:val="0"/>
        <w:adjustRightInd w:val="0"/>
        <w:spacing w:line="240" w:lineRule="auto"/>
        <w:ind w:left="480" w:hanging="480"/>
        <w:rPr>
          <w:noProof/>
        </w:rPr>
      </w:pPr>
      <w:r w:rsidRPr="00F91AC0">
        <w:rPr>
          <w:noProof/>
        </w:rPr>
        <w:t xml:space="preserve">Yin Y., Mao X., Yang J., Chen X., Mao F., Xu Y. 2012. DbCAN: A web resource for automated </w:t>
      </w:r>
      <w:bookmarkStart w:id="8" w:name="_GoBack"/>
      <w:bookmarkEnd w:id="8"/>
      <w:r w:rsidRPr="00F91AC0">
        <w:rPr>
          <w:noProof/>
        </w:rPr>
        <w:t xml:space="preserve">carbohydrate-active enzyme annotation. </w:t>
      </w:r>
      <w:r w:rsidRPr="00F91AC0">
        <w:rPr>
          <w:i/>
          <w:iCs/>
          <w:noProof/>
        </w:rPr>
        <w:t>Nucleic Acids Research</w:t>
      </w:r>
      <w:r w:rsidRPr="00F91AC0">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544" w:rsidRDefault="00B11544" w:rsidP="00426301">
      <w:pPr>
        <w:spacing w:after="0" w:line="240" w:lineRule="auto"/>
      </w:pPr>
      <w:r>
        <w:separator/>
      </w:r>
    </w:p>
  </w:endnote>
  <w:endnote w:type="continuationSeparator" w:id="0">
    <w:p w:rsidR="00B11544" w:rsidRDefault="00B11544"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0640AD" w:rsidRDefault="000640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640AD" w:rsidRDefault="00064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544" w:rsidRDefault="00B11544" w:rsidP="00426301">
      <w:pPr>
        <w:spacing w:after="0" w:line="240" w:lineRule="auto"/>
      </w:pPr>
      <w:r>
        <w:separator/>
      </w:r>
    </w:p>
  </w:footnote>
  <w:footnote w:type="continuationSeparator" w:id="0">
    <w:p w:rsidR="00B11544" w:rsidRDefault="00B11544"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21D94"/>
    <w:rsid w:val="00046BFF"/>
    <w:rsid w:val="000640AD"/>
    <w:rsid w:val="00087969"/>
    <w:rsid w:val="000F405C"/>
    <w:rsid w:val="00166966"/>
    <w:rsid w:val="001D2345"/>
    <w:rsid w:val="002C4D58"/>
    <w:rsid w:val="003F0487"/>
    <w:rsid w:val="00412BD0"/>
    <w:rsid w:val="00426301"/>
    <w:rsid w:val="004339D2"/>
    <w:rsid w:val="0047621E"/>
    <w:rsid w:val="004929C6"/>
    <w:rsid w:val="004D4F24"/>
    <w:rsid w:val="004F4FB8"/>
    <w:rsid w:val="005555E0"/>
    <w:rsid w:val="005F1EC7"/>
    <w:rsid w:val="005F572D"/>
    <w:rsid w:val="00613B0C"/>
    <w:rsid w:val="00622EC1"/>
    <w:rsid w:val="006618AC"/>
    <w:rsid w:val="00670A2E"/>
    <w:rsid w:val="0069102D"/>
    <w:rsid w:val="006E2BB8"/>
    <w:rsid w:val="00715556"/>
    <w:rsid w:val="00735D96"/>
    <w:rsid w:val="00751BEC"/>
    <w:rsid w:val="00770B63"/>
    <w:rsid w:val="007B75B0"/>
    <w:rsid w:val="008002E4"/>
    <w:rsid w:val="00832F7B"/>
    <w:rsid w:val="00873AF2"/>
    <w:rsid w:val="008853A5"/>
    <w:rsid w:val="008E64BD"/>
    <w:rsid w:val="008F3E06"/>
    <w:rsid w:val="009770A7"/>
    <w:rsid w:val="009E1F39"/>
    <w:rsid w:val="009E6A17"/>
    <w:rsid w:val="00A15AC4"/>
    <w:rsid w:val="00A87224"/>
    <w:rsid w:val="00A917DD"/>
    <w:rsid w:val="00AA5B67"/>
    <w:rsid w:val="00AC3224"/>
    <w:rsid w:val="00AD7709"/>
    <w:rsid w:val="00B11544"/>
    <w:rsid w:val="00B44E2D"/>
    <w:rsid w:val="00B47A76"/>
    <w:rsid w:val="00B844B8"/>
    <w:rsid w:val="00C160CB"/>
    <w:rsid w:val="00CA5281"/>
    <w:rsid w:val="00CB4C7D"/>
    <w:rsid w:val="00CC5549"/>
    <w:rsid w:val="00D05772"/>
    <w:rsid w:val="00D115FB"/>
    <w:rsid w:val="00D345B4"/>
    <w:rsid w:val="00D43F04"/>
    <w:rsid w:val="00D81AA1"/>
    <w:rsid w:val="00DC3B2C"/>
    <w:rsid w:val="00E067DC"/>
    <w:rsid w:val="00E240CC"/>
    <w:rsid w:val="00E94C90"/>
    <w:rsid w:val="00F02C6D"/>
    <w:rsid w:val="00F433E3"/>
    <w:rsid w:val="00F46B90"/>
    <w:rsid w:val="00F82001"/>
    <w:rsid w:val="00F90674"/>
    <w:rsid w:val="00F9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03445"/>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BFAFE-C6D4-4EB7-8F82-74EAF8F0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31</Pages>
  <Words>42765</Words>
  <Characters>243767</Characters>
  <Application>Microsoft Office Word</Application>
  <DocSecurity>0</DocSecurity>
  <Lines>2031</Lines>
  <Paragraphs>571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11</cp:revision>
  <dcterms:created xsi:type="dcterms:W3CDTF">2018-06-05T18:39:00Z</dcterms:created>
  <dcterms:modified xsi:type="dcterms:W3CDTF">2018-06-21T19:17:00Z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