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r w:rsidR="00046BFF">
        <w:t xml:space="preserve">nutrient cycles revealed </w:t>
      </w:r>
      <w:r w:rsidR="007B251F">
        <w:t>through reconstructed community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8C1648">
        <w:rPr>
          <w:vertAlign w:val="superscript"/>
        </w:rPr>
        <w:t>2</w:t>
      </w:r>
      <w:r>
        <w:t>, Rex R. Malmstrom</w:t>
      </w:r>
      <w:r w:rsidR="008C1648">
        <w:rPr>
          <w:vertAlign w:val="superscript"/>
        </w:rPr>
        <w:t>3</w:t>
      </w:r>
      <w:r>
        <w:t>, Stefan Bertilsso</w:t>
      </w:r>
      <w:r w:rsidR="008C1648">
        <w:t>n</w:t>
      </w:r>
      <w:r w:rsidR="008C1648" w:rsidRPr="008C1648">
        <w:rPr>
          <w:vertAlign w:val="superscript"/>
        </w:rPr>
        <w:t>4</w:t>
      </w:r>
      <w:r>
        <w:t>, Katherine D. McMahon</w:t>
      </w:r>
      <w:r w:rsidR="00426301" w:rsidRPr="00426301">
        <w:rPr>
          <w:vertAlign w:val="superscript"/>
        </w:rPr>
        <w:t>1,</w:t>
      </w:r>
      <w:r w:rsidR="008C1648">
        <w:rPr>
          <w:vertAlign w:val="superscript"/>
        </w:rPr>
        <w:t>5</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893C86">
        <w:t xml:space="preserve">University of Wisconsin-Madison Environmental Chemistry and Technology Program, </w:t>
      </w:r>
      <w:r w:rsidR="008C1648">
        <w:rPr>
          <w:vertAlign w:val="superscript"/>
        </w:rPr>
        <w:t>3</w:t>
      </w:r>
      <w:r w:rsidR="00426301">
        <w:t xml:space="preserve">Department of Energy Joint Genome Institute, </w:t>
      </w:r>
      <w:r w:rsidR="008C1648">
        <w:rPr>
          <w:vertAlign w:val="superscript"/>
        </w:rPr>
        <w:t>4</w:t>
      </w:r>
      <w:r w:rsidR="005555E0">
        <w:t>Department of Ecology and Genetics, Limnology and Science for Life Laboratory</w:t>
      </w:r>
      <w:r w:rsidR="00426301">
        <w:t>, Uppsala Universi</w:t>
      </w:r>
      <w:r w:rsidR="005555E0">
        <w:t>ty</w:t>
      </w:r>
      <w:r w:rsidR="008C1648">
        <w:t xml:space="preserve">, </w:t>
      </w:r>
      <w:r w:rsidR="008C1648">
        <w:rPr>
          <w:vertAlign w:val="superscript"/>
        </w:rPr>
        <w:t>5</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37</w:t>
      </w:r>
    </w:p>
    <w:p w:rsidR="00426301" w:rsidRDefault="00E240CC" w:rsidP="00426301">
      <w:r>
        <w:t>Article</w:t>
      </w:r>
      <w:r w:rsidR="00426301">
        <w:t xml:space="preserve"> word count:</w:t>
      </w:r>
      <w:r w:rsidR="00DC3B2C">
        <w:t xml:space="preserve"> 5,</w:t>
      </w:r>
      <w:r w:rsidR="003A1F5F">
        <w:t>852</w:t>
      </w:r>
      <w:r w:rsidR="00DC3B2C">
        <w:t xml:space="preserve"> (including citations)</w:t>
      </w:r>
    </w:p>
    <w:p w:rsidR="00426301" w:rsidRDefault="00426301" w:rsidP="00426301"/>
    <w:p w:rsidR="00426301" w:rsidRDefault="00426301" w:rsidP="00426301">
      <w:r>
        <w:t xml:space="preserve">Running title: </w:t>
      </w:r>
      <w:r w:rsidR="003A1F5F">
        <w:t>Connections</w:t>
      </w:r>
      <w:r>
        <w:t xml:space="preserve">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nutrient cycling as the degradation of </w:t>
      </w:r>
      <w:r w:rsidR="00702D24">
        <w:t>DOC</w:t>
      </w:r>
      <w:r>
        <w:t>.</w:t>
      </w:r>
      <w:r>
        <w:tab/>
      </w:r>
    </w:p>
    <w:p w:rsidR="008853A5" w:rsidRDefault="00046BFF" w:rsidP="00DC3B2C">
      <w:r>
        <w:tab/>
        <w:t xml:space="preserve">Previously, we used time series metagenomics to assemble nearly 200 </w:t>
      </w:r>
      <w:r w:rsidR="00613B0C">
        <w:t>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ese MAGs were</w:t>
      </w:r>
      <w:r>
        <w:t xml:space="preserve"> used to </w:t>
      </w:r>
      <w:r>
        <w:lastRenderedPageBreak/>
        <w:t>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w:t>
      </w:r>
      <w:proofErr w:type="spellStart"/>
      <w:r w:rsidRPr="002E05D5">
        <w:rPr>
          <w:i/>
        </w:rPr>
        <w:t>Actinobacteria</w:t>
      </w:r>
      <w:proofErr w:type="spellEnd"/>
      <w:r>
        <w:t xml:space="preserve">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rsidRPr="002E05D5">
        <w:rPr>
          <w:i/>
        </w:rP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 xml:space="preserve">ome types of metabolism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A87224">
        <w:t>;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Further details about the 16S dataset processing are available on GitHub</w:t>
      </w:r>
      <w:r w:rsidR="00443746">
        <w:t xml:space="preserve"> </w:t>
      </w:r>
      <w:r w:rsidR="00443746" w:rsidRPr="002C4D58">
        <w:t>&lt;https://github.com/McMahonLab/MAGstravaganza&gt;</w:t>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reads </w:t>
      </w:r>
      <w:r w:rsidR="00180B02">
        <w:t xml:space="preserve">from </w:t>
      </w:r>
      <w:proofErr w:type="spellStart"/>
      <w:r w:rsidR="00180B02">
        <w:t>unpooled</w:t>
      </w:r>
      <w:proofErr w:type="spellEnd"/>
      <w:r w:rsidR="00180B02">
        <w:t xml:space="preserve"> </w:t>
      </w:r>
      <w:r w:rsidR="00180B02">
        <w:lastRenderedPageBreak/>
        <w:t xml:space="preserve">metagenomes </w:t>
      </w:r>
      <w:r>
        <w:t>were mapped to the assembled contigs using the Burrows-Wheeler Aligner</w:t>
      </w:r>
      <w:r w:rsidR="001D1459">
        <w:t xml:space="preserve"> (≥ 95% 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443746">
        <w:t xml:space="preserve"> percent identity</w:t>
      </w:r>
      <w:r>
        <w:t xml:space="preserve">.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lastRenderedPageBreak/>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presences was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0" w:name="_wkxuqpnkgwuw" w:colFirst="0" w:colLast="0"/>
      <w:bookmarkEnd w:id="0"/>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DB387B">
        <w:t>this</w:t>
      </w:r>
      <w:bookmarkStart w:id="1" w:name="_GoBack"/>
      <w:bookmarkEnd w:id="1"/>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5F572D">
        <w:t xml:space="preserve"> (Data S5)</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were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2, </w:t>
      </w:r>
      <w:r w:rsidRPr="00CB4C7D">
        <w:t>Data S4</w:t>
      </w:r>
      <w:r>
        <w:t xml:space="preserve">). </w:t>
      </w:r>
      <w:r w:rsidR="008C29DF">
        <w:t>However, s</w:t>
      </w:r>
      <w:r>
        <w:t xml:space="preserve">ome </w:t>
      </w:r>
      <w:r w:rsidR="00CC5549">
        <w:t>taxa</w:t>
      </w:r>
      <w:r w:rsidR="008C29DF">
        <w:t>, including</w:t>
      </w:r>
      <w:r>
        <w:t xml:space="preserve">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rsidR="008C29DF">
        <w:t>,</w:t>
      </w:r>
      <w:r>
        <w:t xml:space="preserve"> were represented by MAGs but</w:t>
      </w:r>
      <w:r w:rsidR="008C29DF">
        <w:t xml:space="preserve"> not identified in the 16S gene amplicon datasets</w:t>
      </w:r>
      <w:r>
        <w:t xml:space="preserve">. </w:t>
      </w:r>
      <w:proofErr w:type="spellStart"/>
      <w:r>
        <w:t>Chlorobi</w:t>
      </w:r>
      <w:proofErr w:type="spellEnd"/>
      <w:r w:rsidR="008C29DF">
        <w:t>, which</w:t>
      </w:r>
      <w:r>
        <w:t xml:space="preserve"> </w:t>
      </w:r>
      <w:r w:rsidR="008C29DF">
        <w:t>was</w:t>
      </w:r>
      <w:r>
        <w:t xml:space="preserve"> overrepresented by MAG coverage compared to 16S rRNA gene counts, while Proteobacteri</w:t>
      </w:r>
      <w:r w:rsidR="008C29DF">
        <w:t>a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lastRenderedPageBreak/>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w:t>
      </w:r>
      <w:r>
        <w:t xml:space="preserve"> </w:t>
      </w:r>
      <w:r w:rsidR="005F572D">
        <w:t>(Figure 1)</w:t>
      </w:r>
      <w:r w:rsidR="00933DA9">
        <w:t>, along with phylogenetic difference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046BFF">
        <w:t xml:space="preserve">. </w:t>
      </w:r>
      <w:r>
        <w:t>T</w:t>
      </w:r>
      <w:r w:rsidR="00046BFF">
        <w:t xml:space="preserve">he nitrogenase enzyme is inhibited by oxygen, </w:t>
      </w:r>
      <w:r>
        <w:t xml:space="preserve">which could explain the higher abundance of </w:t>
      </w:r>
      <w:r w:rsidR="00046BFF">
        <w:t>nitrogen</w:t>
      </w:r>
      <w:r>
        <w:t xml:space="preserve">ase </w:t>
      </w:r>
      <w:r w:rsidR="00046BFF">
        <w:t xml:space="preserve">anoxic </w:t>
      </w:r>
      <w:r>
        <w:t>hypolimnion</w:t>
      </w:r>
      <w:r w:rsidR="00046BFF">
        <w:t xml:space="preserve"> of Trout Bog. </w:t>
      </w:r>
      <w:r>
        <w:t>We further analyzed MAGs containing genes encoding nitrogenase and found</w:t>
      </w:r>
      <w:r w:rsidR="00046BFF">
        <w:t xml:space="preserve"> differences in the taxonomy of putative diazotrophs between the two ecosystems (</w:t>
      </w:r>
      <w:r w:rsidR="005F572D">
        <w:t xml:space="preserve">Figure 3,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Cyanobacteria</w:t>
      </w:r>
      <w:r w:rsidR="00046BFF">
        <w:t xml:space="preserve">, </w:t>
      </w:r>
      <w:r w:rsidR="00936094">
        <w:t>while the other third was</w:t>
      </w:r>
      <w:r w:rsidR="00046BFF">
        <w:t xml:space="preserve"> assigned to </w:t>
      </w:r>
      <w:proofErr w:type="spellStart"/>
      <w:r w:rsidR="00046BFF">
        <w:t>Betaproteobacteria</w:t>
      </w:r>
      <w:proofErr w:type="spellEnd"/>
      <w:r w:rsidR="00046BFF">
        <w:t xml:space="preserve">, and </w:t>
      </w:r>
      <w:proofErr w:type="spellStart"/>
      <w:r w:rsidR="00046BFF">
        <w:t>Gammaproteobacteria</w:t>
      </w:r>
      <w:proofErr w:type="spellEnd"/>
      <w:r w:rsidR="00046BFF">
        <w:t xml:space="preserve">. </w:t>
      </w:r>
      <w:r w:rsidR="0074129B">
        <w:t>Although not all Cyanobacteria fix nitrogen, p</w:t>
      </w:r>
      <w:r w:rsidR="00936094">
        <w:t xml:space="preserve">revious measurements of nitrogen fixation in Lake Mendota found a strong correlation between this pathway and the Cyanobacteria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proofErr w:type="spellStart"/>
      <w:r w:rsidR="00046BFF">
        <w:t>Deltaproteobacteria</w:t>
      </w:r>
      <w:proofErr w:type="spellEnd"/>
      <w:r w:rsidR="00046BFF">
        <w:t xml:space="preserve">, </w:t>
      </w:r>
      <w:proofErr w:type="spellStart"/>
      <w:r w:rsidR="00046BFF">
        <w:t>Gammaproteobacteria</w:t>
      </w:r>
      <w:proofErr w:type="spellEnd"/>
      <w:r w:rsidR="00046BFF">
        <w:t xml:space="preserve">, </w:t>
      </w:r>
      <w:proofErr w:type="spellStart"/>
      <w:r w:rsidR="00046BFF">
        <w:t>Epsilonproteobacteria</w:t>
      </w:r>
      <w:proofErr w:type="spellEnd"/>
      <w:r w:rsidR="00046BFF">
        <w:t xml:space="preserve">, </w:t>
      </w:r>
      <w:proofErr w:type="spellStart"/>
      <w:r w:rsidR="00046BFF">
        <w:t>Acidobacteria</w:t>
      </w:r>
      <w:proofErr w:type="spellEnd"/>
      <w:r w:rsidR="00046BFF">
        <w:t xml:space="preserve">, </w:t>
      </w:r>
      <w:proofErr w:type="spellStart"/>
      <w:r w:rsidR="00046BFF">
        <w:t>Verrucomicrobia</w:t>
      </w:r>
      <w:proofErr w:type="spellEnd"/>
      <w:r w:rsidR="00046BFF">
        <w:t xml:space="preserve">, </w:t>
      </w:r>
      <w:proofErr w:type="spellStart"/>
      <w:r w:rsidR="00046BFF">
        <w:t>Chlorobi</w:t>
      </w:r>
      <w:proofErr w:type="spellEnd"/>
      <w:r w:rsidR="00046BFF">
        <w:t xml:space="preserve">, and </w:t>
      </w:r>
      <w:proofErr w:type="spellStart"/>
      <w:r w:rsidR="00046BFF">
        <w:t>Bacteroidetes</w:t>
      </w:r>
      <w:proofErr w:type="spellEnd"/>
      <w:r w:rsidR="00046BFF">
        <w:t xml:space="preserve">. </w:t>
      </w:r>
      <w:r w:rsidR="008F3E06">
        <w:t xml:space="preserve">The </w:t>
      </w:r>
      <w:r w:rsidR="008F3E06">
        <w:lastRenderedPageBreak/>
        <w:t>increased diversity of diazotrophs in Trout 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r w:rsidR="00297B75">
        <w:t>with the exception of</w:t>
      </w:r>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 xml:space="preserve">observed at similar frequencies in population genomes from all </w:t>
      </w:r>
      <w:proofErr w:type="spellStart"/>
      <w:r w:rsidR="00297B75">
        <w:t>envrionments</w:t>
      </w:r>
      <w:proofErr w:type="spellEnd"/>
      <w:r w:rsidR="00046BFF">
        <w:t xml:space="preserve"> (Fig</w:t>
      </w:r>
      <w:r w:rsidR="005F572D">
        <w:t>ure</w:t>
      </w:r>
      <w:r w:rsidR="00046BFF">
        <w:t xml:space="preserve"> 3).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Actinobacteria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tropic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873AF2">
        <w:t xml:space="preserve">(Data S5)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B32BF2">
        <w:t xml:space="preserve"> (Data S5)</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3" w:name="_3syggjfxgu8a" w:colFirst="0" w:colLast="0"/>
      <w:bookmarkEnd w:id="3"/>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r>
        <w:t>sulfide:quinone</w:t>
      </w:r>
      <w:proofErr w:type="spell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873AF2">
        <w:t xml:space="preserve"> (Figure 3)</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proofErr w:type="gramStart"/>
      <w:r>
        <w:t xml:space="preserve">, </w:t>
      </w:r>
      <w:r w:rsidR="00046BFF">
        <w:t xml:space="preserve"> </w:t>
      </w:r>
      <w:r>
        <w:t>suggesting</w:t>
      </w:r>
      <w:proofErr w:type="gramEnd"/>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Betaproteobacteria from both of our lakes and </w:t>
      </w:r>
      <w:proofErr w:type="spellStart"/>
      <w:r w:rsidR="00046BFF">
        <w:t>Epsilon</w:t>
      </w:r>
      <w:r w:rsidR="00564BB8">
        <w:t>proteo</w:t>
      </w:r>
      <w:r w:rsidR="00046BFF">
        <w:t>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the epilimnion of Trout Bog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 xml:space="preserve">expecting to find differences between our two study sites based on the observed contrasts in the functional marker gene analysis. In Lake Mendota, </w:t>
      </w:r>
      <w:r w:rsidR="003F0487">
        <w:t>the majority of MAGs encoding phototrophic pathways were classified as Cyanobacteria</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t>Chlorobiales</w:t>
      </w:r>
      <w:proofErr w:type="spellEnd"/>
      <w: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t>Chlorobiales</w:t>
      </w:r>
      <w:proofErr w:type="spellEnd"/>
      <w:r w:rsidR="00280E6F">
        <w:t xml:space="preserve"> 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t>Chlorobiales</w:t>
      </w:r>
      <w:proofErr w:type="spellEnd"/>
      <w:r>
        <w:t xml:space="preserve"> 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proofErr w:type="spellStart"/>
      <w:r>
        <w:t>Betaproteobacteria</w:t>
      </w:r>
      <w:proofErr w:type="spellEnd"/>
      <w:r>
        <w:t xml:space="preserve">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5B23">
        <w:t>As, a</w:t>
      </w:r>
      <w:r w:rsidR="00C160CB">
        <w:t xml:space="preserve">erobic </w:t>
      </w:r>
      <w:proofErr w:type="spellStart"/>
      <w:r w:rsidR="00C160CB">
        <w:t>anoxygenic</w:t>
      </w:r>
      <w:proofErr w:type="spellEnd"/>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Proteobacteria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proofErr w:type="spellStart"/>
      <w:r w:rsidR="00C160CB">
        <w:t>anoxygenic</w:t>
      </w:r>
      <w:proofErr w:type="spellEnd"/>
      <w:r w:rsidR="00C160CB">
        <w:t xml:space="preserve">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Actinobacteria and Bacteroidetes MAGs from Lake Mendota. Trout Bog, especially the </w:t>
      </w:r>
      <w:r w:rsidR="00564BB8">
        <w:t>hypo</w:t>
      </w:r>
      <w:r>
        <w:t xml:space="preserve">limnion, harbored much less diversity and a lower </w:t>
      </w:r>
      <w:r w:rsidR="004C3850">
        <w:t>frequency</w:t>
      </w:r>
      <w:r>
        <w:t xml:space="preserve"> of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t>Verrucomicrobia</w:t>
      </w:r>
      <w:proofErr w:type="spellEnd"/>
      <w:r w:rsidR="00046BFF">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160CB">
        <w:t xml:space="preserve"> (Fig. 4)</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w:t>
      </w:r>
      <w:r w:rsidR="00D04A5D">
        <w:t>from Trout Bog’s hypolimnion</w:t>
      </w:r>
      <w:r>
        <w:t xml:space="preserve">. </w:t>
      </w:r>
      <w:r w:rsidR="00D04A5D">
        <w:t xml:space="preserve">Two of these orders, </w:t>
      </w:r>
      <w:proofErr w:type="spellStart"/>
      <w:r w:rsidR="00D04A5D">
        <w:t>Sphingobacteriales</w:t>
      </w:r>
      <w:proofErr w:type="spellEnd"/>
      <w:r w:rsidR="00D04A5D">
        <w:t xml:space="preserve"> and </w:t>
      </w:r>
      <w:proofErr w:type="spellStart"/>
      <w:r w:rsidR="00D04A5D">
        <w:t>Verrucomicrobiales</w:t>
      </w:r>
      <w:proofErr w:type="spellEnd"/>
      <w:r w:rsidR="00D04A5D">
        <w:t>,</w:t>
      </w:r>
      <w:r>
        <w:t xml:space="preserve"> also </w:t>
      </w:r>
      <w:r w:rsidR="00D04A5D">
        <w:t xml:space="preserve">contained MAGs with high GH coding </w:t>
      </w:r>
      <w:proofErr w:type="spellStart"/>
      <w:r w:rsidR="00D04A5D">
        <w:t>densitys</w:t>
      </w:r>
      <w:proofErr w:type="spellEnd"/>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w:t>
      </w:r>
      <w:proofErr w:type="spellStart"/>
      <w:r>
        <w:t>Bacteroidetes</w:t>
      </w:r>
      <w:proofErr w:type="spellEnd"/>
      <w:r>
        <w:t xml:space="preserve">), </w:t>
      </w:r>
      <w:proofErr w:type="spellStart"/>
      <w:r>
        <w:t>Planctomycetales</w:t>
      </w:r>
      <w:proofErr w:type="spellEnd"/>
      <w:r>
        <w:t xml:space="preserve"> (</w:t>
      </w:r>
      <w:proofErr w:type="spellStart"/>
      <w:r>
        <w:t>Planctomycetes</w:t>
      </w:r>
      <w:proofErr w:type="spellEnd"/>
      <w:r>
        <w:t xml:space="preserve">), and </w:t>
      </w:r>
      <w:proofErr w:type="spellStart"/>
      <w:r>
        <w:t>Puniceicoccales</w:t>
      </w:r>
      <w:proofErr w:type="spellEnd"/>
      <w:r>
        <w:t xml:space="preserve"> (</w:t>
      </w:r>
      <w:proofErr w:type="spellStart"/>
      <w:r>
        <w:t>Verrucomicrobia</w:t>
      </w:r>
      <w:proofErr w:type="spellEnd"/>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t xml:space="preserve"> 3).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has shown that abundance of genes annotated as GH families may be misleading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w:t>
      </w:r>
      <w:proofErr w:type="spellStart"/>
      <w:r>
        <w:t>Betaproteobacteria</w:t>
      </w:r>
      <w:proofErr w:type="spellEnd"/>
      <w:r>
        <w:t xml:space="preserve">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t xml:space="preserve"> 3).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Bacteroidetes and Betaproteobacteria </w:t>
      </w:r>
      <w:r w:rsidR="00DE2F1A">
        <w:t>from</w:t>
      </w:r>
      <w:r>
        <w:t xml:space="preserve"> Trout Bog</w:t>
      </w:r>
      <w:r w:rsidR="00DE2F1A">
        <w:t>’s</w:t>
      </w:r>
      <w:r>
        <w:t xml:space="preserve"> epilimnion. Cytochrome o </w:t>
      </w:r>
      <w:r w:rsidR="004C3850">
        <w:t xml:space="preserve">oxidase </w:t>
      </w:r>
      <w:r>
        <w:t xml:space="preserve">was observed only in a Chlamydia MAG from Lake Mendota. Alternative complex III was identified in MAGs of </w:t>
      </w:r>
      <w:proofErr w:type="spellStart"/>
      <w:r>
        <w:t>Verrucomicrobia</w:t>
      </w:r>
      <w:proofErr w:type="spellEnd"/>
      <w:r>
        <w:t xml:space="preserve"> </w:t>
      </w:r>
      <w:r w:rsidR="00DE2F1A">
        <w:t>in all sites</w:t>
      </w:r>
      <w:r>
        <w:t xml:space="preserve">, in </w:t>
      </w:r>
      <w:proofErr w:type="spellStart"/>
      <w:r>
        <w:t>Acidobacteria</w:t>
      </w:r>
      <w:proofErr w:type="spellEnd"/>
      <w:r>
        <w:t xml:space="preserve"> </w:t>
      </w:r>
      <w:r w:rsidR="00DE2F1A">
        <w:t>from</w:t>
      </w:r>
      <w:r>
        <w:t xml:space="preserve"> Trout Bog (both layers), and in Bacteroidetes and Planctomycetes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t>
      </w:r>
      <w:proofErr w:type="spellStart"/>
      <w:r>
        <w:t>Planctomycetes</w:t>
      </w:r>
      <w:proofErr w:type="spellEnd"/>
      <w:r>
        <w:t xml:space="preserve"> and </w:t>
      </w:r>
      <w:proofErr w:type="spellStart"/>
      <w:r>
        <w:t>Verrucomicrobia</w:t>
      </w:r>
      <w:proofErr w:type="spellEnd"/>
      <w:r>
        <w:t xml:space="preserve"> </w:t>
      </w:r>
      <w:r w:rsidR="00DE2F1A">
        <w:t>from</w:t>
      </w:r>
      <w:r>
        <w:t xml:space="preserve"> Lake Mendota, and members of </w:t>
      </w:r>
      <w:proofErr w:type="spellStart"/>
      <w:r>
        <w:t>Bacteroidetes</w:t>
      </w:r>
      <w:proofErr w:type="spellEnd"/>
      <w:r>
        <w:t xml:space="preserve">, </w:t>
      </w:r>
      <w:proofErr w:type="spellStart"/>
      <w:r>
        <w:t>Ignavibacteria</w:t>
      </w:r>
      <w:proofErr w:type="spellEnd"/>
      <w:r>
        <w:t xml:space="preserve">, and </w:t>
      </w:r>
      <w:proofErr w:type="spellStart"/>
      <w: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w:t>
      </w:r>
      <w:proofErr w:type="spellStart"/>
      <w:r>
        <w:t>Bacteroidetes</w:t>
      </w:r>
      <w:proofErr w:type="spellEnd"/>
      <w:r>
        <w:t xml:space="preserve">, </w:t>
      </w:r>
      <w:proofErr w:type="spellStart"/>
      <w:r>
        <w:t>Planctomycetes</w:t>
      </w:r>
      <w:proofErr w:type="spellEnd"/>
      <w:r>
        <w:t xml:space="preserve">, and </w:t>
      </w:r>
      <w:proofErr w:type="spellStart"/>
      <w:r>
        <w:t>Verrucomicrobia</w:t>
      </w:r>
      <w:proofErr w:type="spellEnd"/>
      <w:r>
        <w:t xml:space="preserve"> </w:t>
      </w:r>
      <w:r w:rsidR="00DE2F1A">
        <w:t>from</w:t>
      </w:r>
      <w:r>
        <w:t xml:space="preserve"> Lake Mendota and </w:t>
      </w:r>
      <w:proofErr w:type="spellStart"/>
      <w:r>
        <w:t>Bacteroidetes</w:t>
      </w:r>
      <w:proofErr w:type="spellEnd"/>
      <w:r>
        <w:t xml:space="preserve"> and </w:t>
      </w:r>
      <w:proofErr w:type="spellStart"/>
      <w: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w:t>
      </w:r>
      <w:r w:rsidR="00DE2F1A">
        <w:t xml:space="preserve"> MAGs</w:t>
      </w:r>
      <w:r>
        <w:t xml:space="preserve"> </w:t>
      </w:r>
      <w:r w:rsidR="00DE2F1A">
        <w:t>from</w:t>
      </w:r>
      <w:r>
        <w:t xml:space="preserve"> Lake </w:t>
      </w:r>
      <w:r>
        <w:lastRenderedPageBreak/>
        <w:t xml:space="preserve">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rsidR="003D102A">
        <w:t xml:space="preserve"> </w:t>
      </w:r>
      <w:r w:rsidR="004C3850">
        <w:t xml:space="preserve">(now merged with </w:t>
      </w:r>
      <w:proofErr w:type="spellStart"/>
      <w:r w:rsidR="004C3850">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t>Methylotenera</w:t>
      </w:r>
      <w:proofErr w:type="spellEnd"/>
      <w:r>
        <w:t>, while</w:t>
      </w:r>
      <w:r w:rsidR="0074129B">
        <w:t xml:space="preserve"> </w:t>
      </w:r>
      <w:proofErr w:type="spellStart"/>
      <w:r w:rsidR="0074129B">
        <w:t>Methylococcales</w:t>
      </w:r>
      <w:proofErr w:type="spellEnd"/>
      <w:r>
        <w:t xml:space="preserve"> MAGs were potential methane degraders based on the presence of genes encoding methane monooxygenase. </w:t>
      </w:r>
      <w:proofErr w:type="spellStart"/>
      <w: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w:t>
      </w:r>
      <w:r>
        <w:lastRenderedPageBreak/>
        <w:t xml:space="preserve">rest; this </w:t>
      </w:r>
      <w:r w:rsidR="000640AD">
        <w:t xml:space="preserve">single </w:t>
      </w:r>
      <w:r>
        <w:t xml:space="preserve">MAG only is plotted for each year. Since our analysis of the diversity of MAGs containing nitrogenases showed a strong association between nitrogen fixation and Cyanobacteria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Cyanobacterial </w:t>
      </w:r>
      <w:r w:rsidR="0074129B">
        <w:t>MAG</w:t>
      </w:r>
      <w:r>
        <w:t xml:space="preserve"> in each year (</w:t>
      </w:r>
      <w:r w:rsidR="008E64BD">
        <w:t>Figure 5,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t xml:space="preserve">Cyanobacterial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 xml:space="preserve">common among different types of </w:t>
      </w:r>
      <w:proofErr w:type="spellStart"/>
      <w:r w:rsidR="003D102A">
        <w:t>nitrogenasese</w:t>
      </w:r>
      <w:proofErr w:type="spellEnd"/>
      <w:r w:rsidR="003D102A">
        <w:t>)</w:t>
      </w:r>
      <w:r>
        <w:t>.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w:t>
      </w:r>
      <w:r>
        <w:lastRenderedPageBreak/>
        <w:t xml:space="preserve">found that </w:t>
      </w:r>
      <w:proofErr w:type="spellStart"/>
      <w:r>
        <w:t>phototrophy</w:t>
      </w:r>
      <w:proofErr w:type="spellEnd"/>
      <w:r>
        <w:t xml:space="preserve">, carbon fixation, and nitrogen fixation </w:t>
      </w:r>
      <w:r w:rsidR="0074129B">
        <w:t>co-occurred within</w:t>
      </w:r>
      <w:r>
        <w:t xml:space="preserve"> the abundant phototrophs Cyanobacteria in Lake Mendota and </w:t>
      </w:r>
      <w:proofErr w:type="spellStart"/>
      <w:r>
        <w:t>Chlorobiales</w:t>
      </w:r>
      <w:proofErr w:type="spellEnd"/>
      <w:r>
        <w:t xml:space="preserve"> in Trout Bog. In Lake Mendota, nitrogen fixation was </w:t>
      </w:r>
      <w:r w:rsidR="0074129B">
        <w:t xml:space="preserve">predominantly </w:t>
      </w:r>
      <w:r>
        <w:t xml:space="preserve">associated with Cyanobacteria, </w:t>
      </w:r>
      <w:r w:rsidR="0074129B">
        <w:t>it was not associated with any particular taxon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 xml:space="preserve">We thank Emily Stanley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w:t>
      </w:r>
      <w:r w:rsidR="0069102D">
        <w:lastRenderedPageBreak/>
        <w:t xml:space="preserve">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lastRenderedPageBreak/>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sidR="00CC5549">
        <w:t xml:space="preserve">The 16S V6-V8 region was targeted in Trout Bog, while the V4 region was targeted in Lake Mendota.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Pr>
          <w:color w:val="000000"/>
        </w:rPr>
        <w:t xml:space="preserve"> </w:t>
      </w:r>
      <w:r w:rsidR="00CC5549">
        <w:rPr>
          <w:color w:val="000000"/>
        </w:rPr>
        <w:t>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w:t>
      </w:r>
      <w:r w:rsidR="00B353E1">
        <w:rPr>
          <w:color w:val="000000"/>
        </w:rPr>
        <w:t>FAM</w:t>
      </w:r>
      <w:r>
        <w:rPr>
          <w:color w:val="000000"/>
        </w:rPr>
        <w:t>,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r w:rsidR="003D102A">
        <w:t xml:space="preserve"> Amino acid use was calculated based on </w:t>
      </w:r>
      <w:r w:rsidR="00B353E1">
        <w:t xml:space="preserve">the average number of nitrogen atoms </w:t>
      </w:r>
      <w:r w:rsidR="003D102A">
        <w:t>translated gene sequences.</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10.1146/annurev.micro.091208.073600.The.</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chlorobium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integrated microbial genomes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Rohwer RR., Hamilton JJ., Newton RJ., Mcmahon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E14" w:rsidRDefault="00931E14" w:rsidP="00426301">
      <w:pPr>
        <w:spacing w:after="0" w:line="240" w:lineRule="auto"/>
      </w:pPr>
      <w:r>
        <w:separator/>
      </w:r>
    </w:p>
  </w:endnote>
  <w:endnote w:type="continuationSeparator" w:id="0">
    <w:p w:rsidR="00931E14" w:rsidRDefault="00931E14"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063090"/>
      <w:docPartObj>
        <w:docPartGallery w:val="Page Numbers (Bottom of Page)"/>
        <w:docPartUnique/>
      </w:docPartObj>
    </w:sdtPr>
    <w:sdtEndPr>
      <w:rPr>
        <w:noProof/>
      </w:rPr>
    </w:sdtEndPr>
    <w:sdtContent>
      <w:p w:rsidR="0074129B" w:rsidRDefault="0074129B">
        <w:pPr>
          <w:pStyle w:val="Footer"/>
          <w:jc w:val="right"/>
        </w:pPr>
        <w:r>
          <w:fldChar w:fldCharType="begin"/>
        </w:r>
        <w:r>
          <w:instrText xml:space="preserve"> PAGE   \* MERGEFORMAT </w:instrText>
        </w:r>
        <w:r>
          <w:fldChar w:fldCharType="separate"/>
        </w:r>
        <w:r w:rsidR="00DB387B">
          <w:rPr>
            <w:noProof/>
          </w:rPr>
          <w:t>10</w:t>
        </w:r>
        <w:r>
          <w:rPr>
            <w:noProof/>
          </w:rPr>
          <w:fldChar w:fldCharType="end"/>
        </w:r>
      </w:p>
    </w:sdtContent>
  </w:sdt>
  <w:p w:rsidR="0074129B" w:rsidRDefault="00741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E14" w:rsidRDefault="00931E14" w:rsidP="00426301">
      <w:pPr>
        <w:spacing w:after="0" w:line="240" w:lineRule="auto"/>
      </w:pPr>
      <w:r>
        <w:separator/>
      </w:r>
    </w:p>
  </w:footnote>
  <w:footnote w:type="continuationSeparator" w:id="0">
    <w:p w:rsidR="00931E14" w:rsidRDefault="00931E14" w:rsidP="00426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A5"/>
    <w:rsid w:val="00021D94"/>
    <w:rsid w:val="00046BFF"/>
    <w:rsid w:val="000640AD"/>
    <w:rsid w:val="000818CE"/>
    <w:rsid w:val="0008274E"/>
    <w:rsid w:val="00087969"/>
    <w:rsid w:val="000F405C"/>
    <w:rsid w:val="001359E8"/>
    <w:rsid w:val="00142B1E"/>
    <w:rsid w:val="00166966"/>
    <w:rsid w:val="00180B02"/>
    <w:rsid w:val="001D1459"/>
    <w:rsid w:val="001D2345"/>
    <w:rsid w:val="00280E6F"/>
    <w:rsid w:val="00295464"/>
    <w:rsid w:val="00297B75"/>
    <w:rsid w:val="002C4D58"/>
    <w:rsid w:val="002E05D5"/>
    <w:rsid w:val="003A1F5F"/>
    <w:rsid w:val="003D102A"/>
    <w:rsid w:val="003F0487"/>
    <w:rsid w:val="00412BD0"/>
    <w:rsid w:val="00426301"/>
    <w:rsid w:val="004339D2"/>
    <w:rsid w:val="00443746"/>
    <w:rsid w:val="0047621E"/>
    <w:rsid w:val="004929C6"/>
    <w:rsid w:val="00495B23"/>
    <w:rsid w:val="004C3850"/>
    <w:rsid w:val="004D4F24"/>
    <w:rsid w:val="004F4FB8"/>
    <w:rsid w:val="005555E0"/>
    <w:rsid w:val="00564BB8"/>
    <w:rsid w:val="005F1EC7"/>
    <w:rsid w:val="005F572D"/>
    <w:rsid w:val="00613B0C"/>
    <w:rsid w:val="00622EC1"/>
    <w:rsid w:val="006618AC"/>
    <w:rsid w:val="00670A2E"/>
    <w:rsid w:val="0069102D"/>
    <w:rsid w:val="006E2BB8"/>
    <w:rsid w:val="00702D24"/>
    <w:rsid w:val="00715556"/>
    <w:rsid w:val="00731EB3"/>
    <w:rsid w:val="00735D96"/>
    <w:rsid w:val="0074129B"/>
    <w:rsid w:val="00751BEC"/>
    <w:rsid w:val="00762C09"/>
    <w:rsid w:val="00770B63"/>
    <w:rsid w:val="007B251F"/>
    <w:rsid w:val="007B75B0"/>
    <w:rsid w:val="008002E4"/>
    <w:rsid w:val="00832F7B"/>
    <w:rsid w:val="00873AF2"/>
    <w:rsid w:val="008853A5"/>
    <w:rsid w:val="00893C86"/>
    <w:rsid w:val="008C1648"/>
    <w:rsid w:val="008C29DF"/>
    <w:rsid w:val="008E64BD"/>
    <w:rsid w:val="008F3E06"/>
    <w:rsid w:val="009115A6"/>
    <w:rsid w:val="00931E14"/>
    <w:rsid w:val="00933DA9"/>
    <w:rsid w:val="00936094"/>
    <w:rsid w:val="00972BFC"/>
    <w:rsid w:val="009770A7"/>
    <w:rsid w:val="00992786"/>
    <w:rsid w:val="009E1F39"/>
    <w:rsid w:val="009E6A17"/>
    <w:rsid w:val="00A15AC4"/>
    <w:rsid w:val="00A33EF6"/>
    <w:rsid w:val="00A87224"/>
    <w:rsid w:val="00A917DD"/>
    <w:rsid w:val="00AA5B67"/>
    <w:rsid w:val="00AC3224"/>
    <w:rsid w:val="00AD7709"/>
    <w:rsid w:val="00B32BF2"/>
    <w:rsid w:val="00B353E1"/>
    <w:rsid w:val="00B44E2D"/>
    <w:rsid w:val="00B47A76"/>
    <w:rsid w:val="00B844B8"/>
    <w:rsid w:val="00BA4CB8"/>
    <w:rsid w:val="00C14ABA"/>
    <w:rsid w:val="00C160CB"/>
    <w:rsid w:val="00C50BFC"/>
    <w:rsid w:val="00CA5281"/>
    <w:rsid w:val="00CB4C7D"/>
    <w:rsid w:val="00CC48A4"/>
    <w:rsid w:val="00CC5549"/>
    <w:rsid w:val="00D04A5D"/>
    <w:rsid w:val="00D05772"/>
    <w:rsid w:val="00D115FB"/>
    <w:rsid w:val="00D345B4"/>
    <w:rsid w:val="00D43F04"/>
    <w:rsid w:val="00D66DE0"/>
    <w:rsid w:val="00D81AA1"/>
    <w:rsid w:val="00DB387B"/>
    <w:rsid w:val="00DC3B2C"/>
    <w:rsid w:val="00DE2F1A"/>
    <w:rsid w:val="00E067DC"/>
    <w:rsid w:val="00E240CC"/>
    <w:rsid w:val="00E84246"/>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356BC-5C4A-4D85-956E-E3BF2FF6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33</Pages>
  <Words>46021</Words>
  <Characters>262322</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20</cp:revision>
  <dcterms:created xsi:type="dcterms:W3CDTF">2018-06-05T18:39:00Z</dcterms:created>
  <dcterms:modified xsi:type="dcterms:W3CDTF">2018-06-27T18:56:00Z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