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DC3B2C">
        <w:t xml:space="preserve"> 5,</w:t>
      </w:r>
      <w:r w:rsidR="003A1F5F">
        <w:t>852</w:t>
      </w:r>
      <w:r w:rsidR="00DC3B2C">
        <w:t xml:space="preserve"> (including citations)</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w:t>
      </w:r>
      <w:r w:rsidR="004B181C">
        <w:t xml:space="preserve">that </w:t>
      </w:r>
      <w:r>
        <w:t xml:space="preserve">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 xml:space="preserve">level information about microbial metabolism is currently not </w:t>
      </w:r>
      <w:r w:rsidR="004B181C">
        <w:t xml:space="preserve">well </w:t>
      </w:r>
      <w:r>
        <w:t>incorporate</w:t>
      </w:r>
      <w:r w:rsidR="004B181C">
        <w:t>d</w:t>
      </w:r>
      <w:r>
        <w:t xml:space="preserve"> into </w:t>
      </w:r>
      <w:r w:rsidR="00613B0C">
        <w:t xml:space="preserve">conceptual </w:t>
      </w:r>
      <w:r>
        <w:t>models of freshwater</w:t>
      </w:r>
      <w:r w:rsidR="004B181C">
        <w:t xml:space="preserve"> carbon and</w:t>
      </w:r>
      <w:r>
        <w:t xml:space="preserve">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w:t>
      </w:r>
      <w:r w:rsidR="004B181C">
        <w:t>biogeochemistry</w:t>
      </w:r>
      <w:r>
        <w:t xml:space="preserve"> as the degradation of </w:t>
      </w:r>
      <w:r w:rsidR="00702D24">
        <w:t>DOC</w:t>
      </w:r>
      <w:r>
        <w:t>.</w:t>
      </w:r>
      <w:r>
        <w:tab/>
      </w:r>
    </w:p>
    <w:p w:rsidR="008853A5" w:rsidRDefault="00046BFF" w:rsidP="00DC3B2C">
      <w:r>
        <w:tab/>
        <w:t xml:space="preserve">Previously, we used time series metagenomics to assemble nearly 200 </w:t>
      </w:r>
      <w:r w:rsidR="00613B0C">
        <w:t>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ese MAGs were</w:t>
      </w:r>
      <w:r>
        <w:t xml:space="preserve"> used to </w:t>
      </w:r>
      <w:r>
        <w:lastRenderedPageBreak/>
        <w:t>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w:t>
      </w:r>
      <w:r w:rsidRPr="002E05D5">
        <w:rPr>
          <w:i/>
        </w:rPr>
        <w:t>Actinobacteria</w:t>
      </w:r>
      <w:r>
        <w:t xml:space="preserve">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rsidRPr="002E05D5">
        <w:rPr>
          <w:i/>
        </w:rP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w:t>
      </w:r>
      <w:r w:rsidR="004B181C">
        <w:t xml:space="preserve">carbon and </w:t>
      </w:r>
      <w:r w:rsidR="00702D24">
        <w:t>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ome types of metabolism</w:t>
      </w:r>
      <w:r w:rsidR="004B181C">
        <w:t>s</w:t>
      </w:r>
      <w:r w:rsidR="00613B0C">
        <w:t xml:space="preserve">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rsidR="00C60627">
        <w:t>,</w:t>
      </w:r>
      <w:r>
        <w:t xml:space="preserve"> and reads </w:t>
      </w:r>
      <w:r w:rsidR="00180B02">
        <w:t xml:space="preserve">from </w:t>
      </w:r>
      <w:proofErr w:type="spellStart"/>
      <w:r w:rsidR="00180B02">
        <w:t>unpooled</w:t>
      </w:r>
      <w:proofErr w:type="spellEnd"/>
      <w:r w:rsidR="00180B02">
        <w:t xml:space="preserve"> metagenomes </w:t>
      </w:r>
      <w:r>
        <w:t>were mapped to the assembled contigs using the Burrows-Wheeler Aligner</w:t>
      </w:r>
      <w:r w:rsidR="001D1459">
        <w:t xml:space="preserve"> (≥ 95% </w:t>
      </w:r>
      <w:r w:rsidR="001D1459">
        <w:lastRenderedPageBreak/>
        <w:t>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lastRenderedPageBreak/>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presences was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lastRenderedPageBreak/>
        <w:t>Results/Discussion</w:t>
      </w:r>
    </w:p>
    <w:p w:rsidR="008853A5" w:rsidRDefault="00B32BF2" w:rsidP="00DC3B2C">
      <w:pPr>
        <w:pStyle w:val="Heading2"/>
      </w:pPr>
      <w:bookmarkStart w:id="0" w:name="_wkxuqpnkgwuw" w:colFirst="0" w:colLast="0"/>
      <w:bookmarkEnd w:id="0"/>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w:t>
      </w:r>
      <w:r w:rsidR="00B32BF2">
        <w:lastRenderedPageBreak/>
        <w:t xml:space="preserve">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w:t>
      </w:r>
      <w:r w:rsidR="00326033">
        <w:t>S</w:t>
      </w:r>
      <w:r>
        <w:t xml:space="preserve">2, </w:t>
      </w:r>
      <w:r w:rsidR="00326033">
        <w:t>Data S5</w:t>
      </w:r>
      <w:r>
        <w:t xml:space="preserve">). </w:t>
      </w:r>
      <w:r w:rsidR="008C29DF">
        <w:t>However, s</w:t>
      </w:r>
      <w:r>
        <w:t xml:space="preserve">ome </w:t>
      </w:r>
      <w:r w:rsidR="00CC5549">
        <w:t>taxa</w:t>
      </w:r>
      <w:r w:rsidR="008C29DF">
        <w:t>, including</w:t>
      </w:r>
      <w:r>
        <w:t xml:space="preserve"> </w:t>
      </w:r>
      <w:proofErr w:type="spellStart"/>
      <w:r w:rsidRPr="00C60627">
        <w:rPr>
          <w:i/>
        </w:rPr>
        <w:t>Tenericutes</w:t>
      </w:r>
      <w:proofErr w:type="spellEnd"/>
      <w:r w:rsidRPr="00C60627">
        <w:rPr>
          <w:i/>
        </w:rPr>
        <w:t xml:space="preserve">, </w:t>
      </w:r>
      <w:proofErr w:type="spellStart"/>
      <w:r w:rsidRPr="00C60627">
        <w:rPr>
          <w:i/>
        </w:rPr>
        <w:t>Ignavibacteria</w:t>
      </w:r>
      <w:proofErr w:type="spellEnd"/>
      <w:r w:rsidRPr="00C60627">
        <w:rPr>
          <w:i/>
        </w:rPr>
        <w:t xml:space="preserve">, </w:t>
      </w:r>
      <w:proofErr w:type="spellStart"/>
      <w:r w:rsidR="00CC5549" w:rsidRPr="00C60627">
        <w:rPr>
          <w:i/>
        </w:rPr>
        <w:t>Epsilonproteobacteria</w:t>
      </w:r>
      <w:proofErr w:type="spellEnd"/>
      <w:r w:rsidR="00CC5549">
        <w:t xml:space="preserve">, </w:t>
      </w:r>
      <w:r>
        <w:t xml:space="preserve">and </w:t>
      </w:r>
      <w:proofErr w:type="spellStart"/>
      <w:r w:rsidRPr="00C60627">
        <w:rPr>
          <w:i/>
        </w:rPr>
        <w:t>Chlamydiae</w:t>
      </w:r>
      <w:proofErr w:type="spellEnd"/>
      <w:r w:rsidR="008C29DF">
        <w:t>,</w:t>
      </w:r>
      <w:r>
        <w:t xml:space="preserve"> were represented by MAGs but</w:t>
      </w:r>
      <w:r w:rsidR="008C29DF">
        <w:t xml:space="preserve"> not identified in the 16S gene amplicon datasets</w:t>
      </w:r>
      <w:r>
        <w:t xml:space="preserve">. </w:t>
      </w:r>
      <w:proofErr w:type="spellStart"/>
      <w:r w:rsidRPr="00C60627">
        <w:rPr>
          <w:i/>
        </w:rPr>
        <w:t>Chlorobi</w:t>
      </w:r>
      <w:proofErr w:type="spellEnd"/>
      <w:r>
        <w:t xml:space="preserve"> </w:t>
      </w:r>
      <w:r w:rsidR="008C29DF">
        <w:t>was</w:t>
      </w:r>
      <w:r>
        <w:t xml:space="preserve"> overrepresented by MAG coverage compared to 16S rRNA gene counts, while </w:t>
      </w:r>
      <w:r w:rsidRPr="00C60627">
        <w:rPr>
          <w:i/>
        </w:rPr>
        <w:t>Proteobacteri</w:t>
      </w:r>
      <w:r w:rsidR="008C29DF" w:rsidRPr="00C60627">
        <w:rPr>
          <w:i/>
        </w:rPr>
        <w:t>a</w:t>
      </w:r>
      <w:r w:rsidR="008C29DF">
        <w:t xml:space="preserve">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 xml:space="preserve">(Hall et al., 2017; Linz </w:t>
      </w:r>
      <w:r w:rsidRPr="005F572D">
        <w:rPr>
          <w:noProof/>
        </w:rPr>
        <w:lastRenderedPageBreak/>
        <w:t>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1" w:name="_se2pvlkacpgg" w:colFirst="0" w:colLast="0"/>
      <w:bookmarkEnd w:id="1"/>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r>
        <w:t>T</w:t>
      </w:r>
      <w:r w:rsidR="00046BFF">
        <w:t xml:space="preserve">he nitrogenase enzyme is inhibited by oxygen, </w:t>
      </w:r>
      <w:r>
        <w:t xml:space="preserve">which could explain the higher abundance of </w:t>
      </w:r>
      <w:r w:rsidR="00046BFF">
        <w:t>nitrogen</w:t>
      </w:r>
      <w:r>
        <w:t>ase</w:t>
      </w:r>
      <w:r w:rsidR="00C60627">
        <w:t xml:space="preserve"> in Trout Bog’s</w:t>
      </w:r>
      <w:r>
        <w:t xml:space="preserve"> </w:t>
      </w:r>
      <w:r w:rsidR="00046BFF">
        <w:t xml:space="preserve">anoxic </w:t>
      </w:r>
      <w:r>
        <w:t>hypolimnion</w:t>
      </w:r>
      <w:r w:rsidR="00046BFF">
        <w:t xml:space="preserve">. </w:t>
      </w:r>
      <w:r>
        <w:t xml:space="preserve">We further 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increased diversity of diazotrophs in Trout </w:t>
      </w:r>
      <w:r w:rsidR="008F3E06">
        <w:lastRenderedPageBreak/>
        <w:t>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r w:rsidR="00297B75">
        <w:t>with the exception of</w:t>
      </w:r>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observed at similar frequencies in p</w:t>
      </w:r>
      <w:r w:rsidR="00251DEA">
        <w:t>opulation genomes from all envir</w:t>
      </w:r>
      <w:r w:rsidR="00297B75">
        <w:t>onments</w:t>
      </w:r>
      <w:r w:rsidR="00046BFF">
        <w:t xml:space="preserve"> (Fig</w:t>
      </w:r>
      <w:r w:rsidR="005F572D">
        <w:t>ure</w:t>
      </w:r>
      <w:r w:rsidR="00251DEA">
        <w:t xml:space="preserve"> 2</w:t>
      </w:r>
      <w:r w:rsidR="00046BFF">
        <w:t xml:space="preserve">).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326033">
        <w:t>(Data S4</w:t>
      </w:r>
      <w:r w:rsidR="00873AF2">
        <w:t xml:space="preserve">)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C60627">
        <w:t xml:space="preserve">that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2" w:name="_3syggjfxgu8a" w:colFirst="0" w:colLast="0"/>
      <w:bookmarkEnd w:id="2"/>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proofErr w:type="gramStart"/>
      <w:r w:rsidR="003F0487">
        <w:t>the majority of</w:t>
      </w:r>
      <w:proofErr w:type="gramEnd"/>
      <w:r w:rsidR="003F0487">
        <w:t xml:space="preserve">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rsidRPr="0002485C">
        <w:rPr>
          <w:i/>
        </w:rPr>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rsidRPr="0002485C">
        <w:rPr>
          <w:i/>
        </w:rPr>
        <w:t>Chlorobiales</w:t>
      </w:r>
      <w:proofErr w:type="spellEnd"/>
      <w:r w:rsidRPr="0002485C">
        <w:rPr>
          <w:i/>
        </w:rP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rsidRPr="0002485C">
        <w:rPr>
          <w:i/>
        </w:rPr>
        <w:t>Chlorobiales</w:t>
      </w:r>
      <w:proofErr w:type="spellEnd"/>
      <w:r w:rsidR="00280E6F" w:rsidRPr="0002485C">
        <w:rPr>
          <w:i/>
        </w:rPr>
        <w:t xml:space="preserve"> </w:t>
      </w:r>
      <w:r w:rsidR="00280E6F">
        <w:t xml:space="preserve">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rsidRPr="0002485C">
        <w:rPr>
          <w:i/>
        </w:rP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rsidRPr="0002485C">
        <w:rPr>
          <w:i/>
        </w:rPr>
        <w:t>Chlorobiales</w:t>
      </w:r>
      <w:proofErr w:type="spellEnd"/>
      <w:r w:rsidRPr="0002485C">
        <w:rPr>
          <w:i/>
        </w:rPr>
        <w:t xml:space="preserve"> </w:t>
      </w:r>
      <w:r>
        <w:t xml:space="preserve">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46BFF" w:rsidP="00DC3B2C">
      <w:pPr>
        <w:pStyle w:val="Heading2"/>
      </w:pPr>
      <w:bookmarkStart w:id="3" w:name="_p43k2jqbpxeg" w:colFirst="0" w:colLast="0"/>
      <w:bookmarkEnd w:id="3"/>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w:t>
      </w:r>
      <w:bookmarkStart w:id="4" w:name="_GoBack"/>
      <w:bookmarkEnd w:id="4"/>
      <w:r w:rsidR="00D04A5D">
        <w:t>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w:t>
      </w:r>
      <w:r w:rsidR="00C70A26">
        <w:t xml:space="preserve">has found that the abundance of genes annotated as GH109 by </w:t>
      </w:r>
      <w:proofErr w:type="spellStart"/>
      <w:r w:rsidR="00C70A26">
        <w:t>dbCAN</w:t>
      </w:r>
      <w:proofErr w:type="spellEnd"/>
      <w:r w:rsidR="00C70A26">
        <w:t xml:space="preserve"> may be an overestimate of this gene family</w:t>
      </w:r>
      <w:r w:rsidR="004C3850">
        <w:t xml:space="preserve">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rsidRPr="00C70A26">
        <w:rPr>
          <w:i/>
        </w:rPr>
        <w:t>Alphaproteobacteria</w:t>
      </w:r>
      <w:proofErr w:type="spellEnd"/>
      <w:r>
        <w:t xml:space="preserve"> and </w:t>
      </w:r>
      <w:proofErr w:type="spellStart"/>
      <w:r w:rsidRPr="00C70A26">
        <w:rPr>
          <w:i/>
        </w:rPr>
        <w:t>Chlamydiae</w:t>
      </w:r>
      <w:proofErr w:type="spellEnd"/>
      <w:r>
        <w:t xml:space="preserve"> in Lake Mendota and </w:t>
      </w:r>
      <w:proofErr w:type="spellStart"/>
      <w:r w:rsidRPr="00C70A26">
        <w:rPr>
          <w:i/>
        </w:rPr>
        <w:t>Acidobacteria</w:t>
      </w:r>
      <w:proofErr w:type="spellEnd"/>
      <w:r>
        <w:t xml:space="preserve"> and </w:t>
      </w:r>
      <w:r w:rsidRPr="00C70A26">
        <w:rPr>
          <w:i/>
        </w:rPr>
        <w:t>Betaproteobacteria</w:t>
      </w:r>
      <w:r>
        <w:t xml:space="preserve">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w:t>
      </w:r>
      <w:r w:rsidRPr="00C70A26">
        <w:rPr>
          <w:i/>
        </w:rPr>
        <w:t>Bacteroidetes</w:t>
      </w:r>
      <w:r>
        <w:t xml:space="preserve"> and </w:t>
      </w:r>
      <w:r w:rsidRPr="00C70A26">
        <w:rPr>
          <w:i/>
        </w:rPr>
        <w:t>Betaproteobacteria</w:t>
      </w:r>
      <w:r>
        <w:t xml:space="preserve"> </w:t>
      </w:r>
      <w:r w:rsidR="00DE2F1A">
        <w:t>from</w:t>
      </w:r>
      <w:r>
        <w:t xml:space="preserve"> Trout Bog</w:t>
      </w:r>
      <w:r w:rsidR="00DE2F1A">
        <w:t>’s</w:t>
      </w:r>
      <w:r>
        <w:t xml:space="preserve"> epilimnion. Cytochrome o </w:t>
      </w:r>
      <w:r w:rsidR="004C3850">
        <w:t xml:space="preserve">oxidase </w:t>
      </w:r>
      <w:r>
        <w:t xml:space="preserve">was observed only in a </w:t>
      </w:r>
      <w:r w:rsidRPr="00C70A26">
        <w:rPr>
          <w:i/>
        </w:rPr>
        <w:t>Chlamydia</w:t>
      </w:r>
      <w:r>
        <w:t xml:space="preserve"> MAG from Lake Mendota. Alternative complex III was identified in MAGs of </w:t>
      </w:r>
      <w:proofErr w:type="spellStart"/>
      <w:r w:rsidRPr="00C70A26">
        <w:rPr>
          <w:i/>
        </w:rPr>
        <w:t>Verrucomicrobia</w:t>
      </w:r>
      <w:proofErr w:type="spellEnd"/>
      <w:r>
        <w:t xml:space="preserve"> </w:t>
      </w:r>
      <w:r w:rsidR="00DE2F1A">
        <w:t>in all sites</w:t>
      </w:r>
      <w:r>
        <w:t xml:space="preserve">, in </w:t>
      </w:r>
      <w:proofErr w:type="spellStart"/>
      <w:r w:rsidRPr="00C70A26">
        <w:rPr>
          <w:i/>
        </w:rPr>
        <w:t>Acidobacteria</w:t>
      </w:r>
      <w:proofErr w:type="spellEnd"/>
      <w:r>
        <w:t xml:space="preserve"> </w:t>
      </w:r>
      <w:r w:rsidR="00DE2F1A">
        <w:t>from</w:t>
      </w:r>
      <w:r>
        <w:t xml:space="preserve"> Trout Bog (both layers), and in </w:t>
      </w:r>
      <w:r w:rsidRPr="00C70A26">
        <w:rPr>
          <w:i/>
        </w:rPr>
        <w:t>Bacteroidetes</w:t>
      </w:r>
      <w:r>
        <w:t xml:space="preserve"> and </w:t>
      </w:r>
      <w:r w:rsidRPr="00C70A26">
        <w:rPr>
          <w:i/>
        </w:rPr>
        <w:t>Planctomycetes</w:t>
      </w:r>
      <w:r>
        <w:t xml:space="preserve">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w:t>
      </w:r>
      <w:r w:rsidR="00DE2F1A">
        <w:t>from</w:t>
      </w:r>
      <w:r>
        <w:t xml:space="preserve"> Lake Mendota, and members of Bacteroidetes, </w:t>
      </w:r>
      <w:proofErr w:type="spellStart"/>
      <w:r>
        <w:t>Ignavibacteria</w:t>
      </w:r>
      <w:proofErr w:type="spellEnd"/>
      <w:r>
        <w:t xml:space="preserve">, and </w:t>
      </w:r>
      <w:proofErr w:type="spellStart"/>
      <w: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Bacteroidetes, Planctomycetes, and </w:t>
      </w:r>
      <w:proofErr w:type="spellStart"/>
      <w:r>
        <w:t>Verrucomicrobia</w:t>
      </w:r>
      <w:proofErr w:type="spellEnd"/>
      <w:r>
        <w:t xml:space="preserve"> </w:t>
      </w:r>
      <w:r w:rsidR="00DE2F1A">
        <w:t>from</w:t>
      </w:r>
      <w:r>
        <w:t xml:space="preserve"> Lake Mendota and Bacteroidetes and </w:t>
      </w:r>
      <w:proofErr w:type="spellStart"/>
      <w: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w:t>
      </w:r>
      <w:r w:rsidR="00DE2F1A">
        <w:t xml:space="preserve"> MAGs</w:t>
      </w:r>
      <w:r>
        <w:t xml:space="preserve"> </w:t>
      </w:r>
      <w:r w:rsidR="00DE2F1A">
        <w:t>from</w:t>
      </w:r>
      <w:r>
        <w:t xml:space="preserve"> Lake </w:t>
      </w:r>
      <w:r>
        <w:lastRenderedPageBreak/>
        <w:t xml:space="preserve">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Pr="00C70A26">
        <w:rPr>
          <w:i/>
        </w:rP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rsidRPr="00C70A26">
        <w:rPr>
          <w:i/>
        </w:rP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Since our analysis of the diversity of MAGs </w:t>
      </w:r>
      <w:r>
        <w:lastRenderedPageBreak/>
        <w:t xml:space="preserve">containing nitrogenases showed a strong association between nitrogen fixation and </w:t>
      </w:r>
      <w:r w:rsidRPr="00C70A26">
        <w:rPr>
          <w:i/>
        </w:rPr>
        <w:t>Cyanobacteria</w:t>
      </w:r>
      <w:r>
        <w:t xml:space="preserve">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w:t>
      </w:r>
      <w:r w:rsidRPr="00C70A26">
        <w:rPr>
          <w:i/>
        </w:rPr>
        <w:t>Cyanobacteria</w:t>
      </w:r>
      <w:r>
        <w:t xml:space="preserve"> </w:t>
      </w:r>
      <w:r w:rsidR="0074129B">
        <w:t>MAG</w:t>
      </w:r>
      <w:r>
        <w:t xml:space="preserve"> in each year (</w:t>
      </w:r>
      <w:r w:rsidR="00CE56F8">
        <w:t>Figure 4</w:t>
      </w:r>
      <w:r w:rsidR="008E64BD">
        <w:t>,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rsidRPr="00C70A26">
        <w:rPr>
          <w:i/>
        </w:rPr>
        <w:t>Cyanobacteria</w:t>
      </w:r>
      <w:r>
        <w:t xml:space="preserve">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Significant correlations (p &lt; 0.05) were only detected in 2008, 2011, and 2012. The strength of these correlations suggests that in three out of the five years in our Lake Mendota time series, a single </w:t>
      </w:r>
      <w:r w:rsidRPr="00C70A26">
        <w:rPr>
          <w:i/>
        </w:rPr>
        <w:t>Cyanobacteria</w:t>
      </w:r>
      <w:r>
        <w:t xml:space="preserve">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xml:space="preserve">. These two years were also unusual in our time series - in 2008, extreme flooding events led to large </w:t>
      </w:r>
      <w:r w:rsidRPr="00C70A26">
        <w:rPr>
          <w:i/>
        </w:rPr>
        <w:t>Cyanobacteria</w:t>
      </w:r>
      <w:r>
        <w:t xml:space="preserve">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found that </w:t>
      </w:r>
      <w:proofErr w:type="spellStart"/>
      <w:r>
        <w:t>phototrophy</w:t>
      </w:r>
      <w:proofErr w:type="spellEnd"/>
      <w:r>
        <w:t xml:space="preserve">, carbon fixation, and nitrogen fixation </w:t>
      </w:r>
      <w:r w:rsidR="0074129B">
        <w:t>co-occurred within</w:t>
      </w:r>
      <w:r>
        <w:t xml:space="preserve"> the abundant </w:t>
      </w:r>
      <w:r>
        <w:lastRenderedPageBreak/>
        <w:t xml:space="preserve">phototrophs </w:t>
      </w:r>
      <w:r w:rsidRPr="00C70A26">
        <w:rPr>
          <w:i/>
        </w:rPr>
        <w:t>Cyanobacteria</w:t>
      </w:r>
      <w:r>
        <w:t xml:space="preserve"> in Lake Mendota and </w:t>
      </w:r>
      <w:proofErr w:type="spellStart"/>
      <w:r w:rsidRPr="00C70A26">
        <w:rPr>
          <w:i/>
        </w:rPr>
        <w:t>Chlorobiales</w:t>
      </w:r>
      <w:proofErr w:type="spellEnd"/>
      <w:r>
        <w:t xml:space="preserve"> in Trout Bog. In Lake Mendota, nitrogen fixation was </w:t>
      </w:r>
      <w:r w:rsidR="0074129B">
        <w:t xml:space="preserve">predominantly </w:t>
      </w:r>
      <w:r>
        <w:t>associated with</w:t>
      </w:r>
      <w:r w:rsidRPr="00C70A26">
        <w:rPr>
          <w:i/>
        </w:rPr>
        <w:t xml:space="preserve"> Cyanobacteria</w:t>
      </w:r>
      <w:r>
        <w:t xml:space="preserve">, </w:t>
      </w:r>
      <w:r w:rsidR="00C70A26">
        <w:t xml:space="preserve">but </w:t>
      </w:r>
      <w:r w:rsidR="0074129B">
        <w:t xml:space="preserve">it was not associated with any </w:t>
      </w:r>
      <w:proofErr w:type="gramStart"/>
      <w:r w:rsidR="0074129B">
        <w:t>particular taxon</w:t>
      </w:r>
      <w:proofErr w:type="gramEnd"/>
      <w:r w:rsidR="0074129B">
        <w:t xml:space="preserve">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Science User Facility, is supported by the Office of Science of the U.S. Department of Energy </w:t>
      </w:r>
      <w:r w:rsidR="0069102D">
        <w:lastRenderedPageBreak/>
        <w:t xml:space="preserve">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F1EC7">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t>
      </w:r>
      <w:r w:rsidR="005F1EC7" w:rsidRPr="00C72B55">
        <w:rPr>
          <w:i/>
          <w:color w:val="000000"/>
        </w:rPr>
        <w:t>Cyanobacteria</w:t>
      </w:r>
      <w:r w:rsidR="005F1EC7">
        <w:rPr>
          <w:color w:val="000000"/>
        </w:rPr>
        <w: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lastRenderedPageBreak/>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pPr>
        <w:spacing w:line="240" w:lineRule="auto"/>
      </w:pPr>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 xml:space="preserve">Data S4.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pPr>
        <w:spacing w:line="240" w:lineRule="auto"/>
      </w:pPr>
      <w:r w:rsidRPr="00AC3224">
        <w:rPr>
          <w:b/>
        </w:rPr>
        <w:t xml:space="preserve">Data S5.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26033" w:rsidRDefault="00326033" w:rsidP="00B44E2D">
      <w:pPr>
        <w:spacing w:line="240" w:lineRule="auto"/>
      </w:pPr>
      <w:r w:rsidRPr="00326033">
        <w:rPr>
          <w:b/>
        </w:rPr>
        <w:t>Figure S2.</w:t>
      </w:r>
      <w:r>
        <w:t xml:space="preserve"> </w:t>
      </w:r>
      <w:r>
        <w:rPr>
          <w:b/>
          <w:bCs/>
          <w:color w:val="000000"/>
        </w:rPr>
        <w:t xml:space="preserve">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Numbers above bars indicating abundances greater than the limit of the y-axis.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t>
      </w:r>
    </w:p>
    <w:p w:rsidR="00AC3224" w:rsidRDefault="00326033" w:rsidP="00B44E2D">
      <w:pPr>
        <w:spacing w:line="240" w:lineRule="auto"/>
      </w:pPr>
      <w:r w:rsidRPr="00AC3224">
        <w:rPr>
          <w:b/>
        </w:rPr>
        <w:t xml:space="preserve"> </w:t>
      </w:r>
      <w:r w:rsidR="00AC3224" w:rsidRPr="00AC3224">
        <w:rPr>
          <w:b/>
        </w:rPr>
        <w:t>Data S6.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pPr>
        <w:spacing w:line="240" w:lineRule="auto"/>
      </w:pPr>
    </w:p>
    <w:p w:rsidR="008853A5" w:rsidRDefault="00046BFF">
      <w:pPr>
        <w:pStyle w:val="Heading1"/>
      </w:pPr>
      <w:r>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w:t>
      </w:r>
      <w:r w:rsidRPr="0074129B">
        <w:rPr>
          <w:noProof/>
        </w:rPr>
        <w:lastRenderedPageBreak/>
        <w:t>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w:t>
      </w:r>
      <w:r w:rsidRPr="0074129B">
        <w:rPr>
          <w:noProof/>
        </w:rPr>
        <w:lastRenderedPageBreak/>
        <w:t>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w:t>
      </w:r>
      <w:r w:rsidRPr="0074129B">
        <w:rPr>
          <w:noProof/>
        </w:rPr>
        <w:lastRenderedPageBreak/>
        <w:t>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Markowitz VM., Chen IMA., Palaniappan K., Chu K., Szeto E., Grechkin Y., Ratner A., Jacob B., Huang J., Williams P., Huntemann M., Anderson I., Mavromatis K., Ivanova NN., Kyrpides 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Remsen CC., Carpenter EJ., Schroeder BW. 1972. Competition for Urea among Estuarine 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Rohwer RR., Hamilton JJ., Newton RJ., Mcmahon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21C" w:rsidRDefault="00E5221C" w:rsidP="00426301">
      <w:pPr>
        <w:spacing w:after="0" w:line="240" w:lineRule="auto"/>
      </w:pPr>
      <w:r>
        <w:separator/>
      </w:r>
    </w:p>
  </w:endnote>
  <w:endnote w:type="continuationSeparator" w:id="0">
    <w:p w:rsidR="00E5221C" w:rsidRDefault="00E5221C"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C60627" w:rsidRDefault="00C60627">
        <w:pPr>
          <w:pStyle w:val="Footer"/>
          <w:jc w:val="right"/>
        </w:pPr>
        <w:r>
          <w:fldChar w:fldCharType="begin"/>
        </w:r>
        <w:r>
          <w:instrText xml:space="preserve"> PAGE   \* MERGEFORMAT </w:instrText>
        </w:r>
        <w:r>
          <w:fldChar w:fldCharType="separate"/>
        </w:r>
        <w:r>
          <w:rPr>
            <w:noProof/>
          </w:rPr>
          <w:t>31</w:t>
        </w:r>
        <w:r>
          <w:rPr>
            <w:noProof/>
          </w:rPr>
          <w:fldChar w:fldCharType="end"/>
        </w:r>
      </w:p>
    </w:sdtContent>
  </w:sdt>
  <w:p w:rsidR="00C60627" w:rsidRDefault="00C60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21C" w:rsidRDefault="00E5221C" w:rsidP="00426301">
      <w:pPr>
        <w:spacing w:after="0" w:line="240" w:lineRule="auto"/>
      </w:pPr>
      <w:r>
        <w:separator/>
      </w:r>
    </w:p>
  </w:footnote>
  <w:footnote w:type="continuationSeparator" w:id="0">
    <w:p w:rsidR="00E5221C" w:rsidRDefault="00E5221C"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21D94"/>
    <w:rsid w:val="0002485C"/>
    <w:rsid w:val="00046BFF"/>
    <w:rsid w:val="000640AD"/>
    <w:rsid w:val="000818CE"/>
    <w:rsid w:val="0008274E"/>
    <w:rsid w:val="00087969"/>
    <w:rsid w:val="00087FC0"/>
    <w:rsid w:val="000F405C"/>
    <w:rsid w:val="001359E8"/>
    <w:rsid w:val="00142B1E"/>
    <w:rsid w:val="00166966"/>
    <w:rsid w:val="00180B02"/>
    <w:rsid w:val="001D1459"/>
    <w:rsid w:val="001D2345"/>
    <w:rsid w:val="00204AC0"/>
    <w:rsid w:val="00251DEA"/>
    <w:rsid w:val="00280E6F"/>
    <w:rsid w:val="00295464"/>
    <w:rsid w:val="00297B75"/>
    <w:rsid w:val="002C4D58"/>
    <w:rsid w:val="002E05D5"/>
    <w:rsid w:val="00326033"/>
    <w:rsid w:val="003A1F5F"/>
    <w:rsid w:val="003D102A"/>
    <w:rsid w:val="003F0487"/>
    <w:rsid w:val="00412BD0"/>
    <w:rsid w:val="00426301"/>
    <w:rsid w:val="004339D2"/>
    <w:rsid w:val="00443746"/>
    <w:rsid w:val="0047621E"/>
    <w:rsid w:val="004929C6"/>
    <w:rsid w:val="00495B23"/>
    <w:rsid w:val="004B181C"/>
    <w:rsid w:val="004C3850"/>
    <w:rsid w:val="004D4F24"/>
    <w:rsid w:val="004F4FB8"/>
    <w:rsid w:val="005555E0"/>
    <w:rsid w:val="00564BB8"/>
    <w:rsid w:val="005B0399"/>
    <w:rsid w:val="005F1EC7"/>
    <w:rsid w:val="005F572D"/>
    <w:rsid w:val="00613B0C"/>
    <w:rsid w:val="00622EC1"/>
    <w:rsid w:val="00647D2F"/>
    <w:rsid w:val="006618AC"/>
    <w:rsid w:val="00670A2E"/>
    <w:rsid w:val="0069102D"/>
    <w:rsid w:val="006E2BB8"/>
    <w:rsid w:val="00702D24"/>
    <w:rsid w:val="00715556"/>
    <w:rsid w:val="00731EB3"/>
    <w:rsid w:val="00735D96"/>
    <w:rsid w:val="0074129B"/>
    <w:rsid w:val="00751BEC"/>
    <w:rsid w:val="00762C09"/>
    <w:rsid w:val="00770B63"/>
    <w:rsid w:val="007B251F"/>
    <w:rsid w:val="007B75B0"/>
    <w:rsid w:val="008002E4"/>
    <w:rsid w:val="00832F7B"/>
    <w:rsid w:val="00873AF2"/>
    <w:rsid w:val="00876143"/>
    <w:rsid w:val="008853A5"/>
    <w:rsid w:val="00893C86"/>
    <w:rsid w:val="008C1648"/>
    <w:rsid w:val="008C29DF"/>
    <w:rsid w:val="008E64BD"/>
    <w:rsid w:val="008F3E06"/>
    <w:rsid w:val="009115A6"/>
    <w:rsid w:val="00931E14"/>
    <w:rsid w:val="00933DA9"/>
    <w:rsid w:val="00936094"/>
    <w:rsid w:val="00972BFC"/>
    <w:rsid w:val="009770A7"/>
    <w:rsid w:val="00992786"/>
    <w:rsid w:val="009E1F39"/>
    <w:rsid w:val="009E6A17"/>
    <w:rsid w:val="00A15AC4"/>
    <w:rsid w:val="00A33EF6"/>
    <w:rsid w:val="00A87224"/>
    <w:rsid w:val="00A917DD"/>
    <w:rsid w:val="00AA5B67"/>
    <w:rsid w:val="00AC3224"/>
    <w:rsid w:val="00AD7709"/>
    <w:rsid w:val="00B32BF2"/>
    <w:rsid w:val="00B353E1"/>
    <w:rsid w:val="00B44E2D"/>
    <w:rsid w:val="00B47A76"/>
    <w:rsid w:val="00B5094B"/>
    <w:rsid w:val="00B844B8"/>
    <w:rsid w:val="00B849E7"/>
    <w:rsid w:val="00B913AB"/>
    <w:rsid w:val="00BA4CB8"/>
    <w:rsid w:val="00C136D4"/>
    <w:rsid w:val="00C14ABA"/>
    <w:rsid w:val="00C160CB"/>
    <w:rsid w:val="00C50BFC"/>
    <w:rsid w:val="00C60627"/>
    <w:rsid w:val="00C70A26"/>
    <w:rsid w:val="00C72B55"/>
    <w:rsid w:val="00CA5281"/>
    <w:rsid w:val="00CB4C7D"/>
    <w:rsid w:val="00CC48A4"/>
    <w:rsid w:val="00CC5549"/>
    <w:rsid w:val="00CE56F8"/>
    <w:rsid w:val="00D04A5D"/>
    <w:rsid w:val="00D05772"/>
    <w:rsid w:val="00D115FB"/>
    <w:rsid w:val="00D345B4"/>
    <w:rsid w:val="00D43F04"/>
    <w:rsid w:val="00D66DE0"/>
    <w:rsid w:val="00D81AA1"/>
    <w:rsid w:val="00DB387B"/>
    <w:rsid w:val="00DC3B2C"/>
    <w:rsid w:val="00DC5F61"/>
    <w:rsid w:val="00DE2F1A"/>
    <w:rsid w:val="00E067DC"/>
    <w:rsid w:val="00E240CC"/>
    <w:rsid w:val="00E5221C"/>
    <w:rsid w:val="00E84246"/>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1206A"/>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0C83E-8DF6-494F-B8F8-CFBDBFB6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33</Pages>
  <Words>46058</Words>
  <Characters>262534</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25</cp:revision>
  <dcterms:created xsi:type="dcterms:W3CDTF">2018-06-05T18:39:00Z</dcterms:created>
  <dcterms:modified xsi:type="dcterms:W3CDTF">2018-07-02T20:14:00Z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