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2E05D5">
        <w:t>3</w:t>
      </w:r>
      <w:r w:rsidR="00876143">
        <w:t>9</w:t>
      </w:r>
    </w:p>
    <w:p w:rsidR="00426301" w:rsidRDefault="00E240CC" w:rsidP="00426301">
      <w:r>
        <w:t>Article</w:t>
      </w:r>
      <w:r w:rsidR="00426301">
        <w:t xml:space="preserve"> word count:</w:t>
      </w:r>
      <w:r w:rsidR="00DC3B2C">
        <w:t xml:space="preserve"> 5,</w:t>
      </w:r>
      <w:r w:rsidR="003A1F5F">
        <w:t>852</w:t>
      </w:r>
      <w:r w:rsidR="00DC3B2C">
        <w:t xml:space="preserve"> (including citations)</w:t>
      </w:r>
    </w:p>
    <w:p w:rsidR="00426301" w:rsidRDefault="00426301" w:rsidP="00426301"/>
    <w:p w:rsidR="00426301" w:rsidRDefault="00426301" w:rsidP="00426301">
      <w:r>
        <w:t xml:space="preserve">Running title: </w:t>
      </w:r>
      <w:r w:rsidR="003A1F5F">
        <w:t>Connections</w:t>
      </w:r>
      <w:r>
        <w:t xml:space="preserve"> between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w:t>
      </w:r>
      <w:r w:rsidR="00B5094B">
        <w:t xml:space="preserve">carbon and </w:t>
      </w:r>
      <w:r w:rsidR="00893C86">
        <w:t xml:space="preserve">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rsidRPr="002E05D5">
        <w:rPr>
          <w:i/>
        </w:rPr>
        <w:t>Cyanobacteria</w:t>
      </w:r>
      <w:r w:rsidR="00A15AC4">
        <w:t xml:space="preserve"> </w:t>
      </w:r>
      <w:r w:rsidR="00C14ABA">
        <w:t>MAGs</w:t>
      </w:r>
      <w:r>
        <w:t xml:space="preserve"> in Lake Mendota and in </w:t>
      </w:r>
      <w:proofErr w:type="spellStart"/>
      <w:r w:rsidRPr="002E05D5">
        <w:rPr>
          <w:i/>
        </w:rPr>
        <w:t>Chlorobiales</w:t>
      </w:r>
      <w:proofErr w:type="spellEnd"/>
      <w:r w:rsidR="00C14ABA">
        <w:t xml:space="preserve"> MAGs</w:t>
      </w:r>
      <w:r>
        <w:t xml:space="preserve"> in Trout Bog. </w:t>
      </w:r>
      <w:r w:rsidRPr="002E05D5">
        <w:rPr>
          <w:i/>
        </w:rPr>
        <w:t>Cyanobacteria</w:t>
      </w:r>
      <w:r>
        <w:t xml:space="preserve">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w:t>
      </w:r>
      <w:r w:rsidR="002E05D5">
        <w:t xml:space="preserve">carbon and </w:t>
      </w:r>
      <w:r>
        <w:t>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w:t>
      </w:r>
      <w:r w:rsidR="004B181C">
        <w:t xml:space="preserve">that </w:t>
      </w:r>
      <w:r>
        <w:t xml:space="preserve">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 xml:space="preserve">level information about microbial metabolism is currently not </w:t>
      </w:r>
      <w:r w:rsidR="004B181C">
        <w:t xml:space="preserve">well </w:t>
      </w:r>
      <w:r>
        <w:t>incorporate</w:t>
      </w:r>
      <w:r w:rsidR="004B181C">
        <w:t>d</w:t>
      </w:r>
      <w:r>
        <w:t xml:space="preserve"> into </w:t>
      </w:r>
      <w:r w:rsidR="00613B0C">
        <w:t xml:space="preserve">conceptual </w:t>
      </w:r>
      <w:r>
        <w:t>models of freshwater</w:t>
      </w:r>
      <w:r w:rsidR="004B181C">
        <w:t xml:space="preserve"> carbon and</w:t>
      </w:r>
      <w:r>
        <w:t xml:space="preserve">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w:t>
      </w:r>
      <w:r w:rsidR="004B181C">
        <w:t>biogeochemistry</w:t>
      </w:r>
      <w:r>
        <w:t xml:space="preserve"> as the degradation of </w:t>
      </w:r>
      <w:r w:rsidR="00702D24">
        <w:t>DOC</w:t>
      </w:r>
      <w:r>
        <w:t>.</w:t>
      </w:r>
      <w:r>
        <w:tab/>
      </w:r>
    </w:p>
    <w:p w:rsidR="008853A5" w:rsidRDefault="00046BFF" w:rsidP="00DC3B2C">
      <w:r>
        <w:tab/>
        <w:t xml:space="preserve">Previously, we used time series metagenomics to assemble nearly 200 </w:t>
      </w:r>
      <w:r w:rsidR="00613B0C">
        <w:t>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ese MAGs were</w:t>
      </w:r>
      <w:r>
        <w:t xml:space="preserve"> used to </w:t>
      </w:r>
      <w:r>
        <w:lastRenderedPageBreak/>
        <w:t>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w:t>
      </w:r>
      <w:proofErr w:type="spellStart"/>
      <w:r w:rsidRPr="002E05D5">
        <w:rPr>
          <w:i/>
        </w:rPr>
        <w:t>Actinobacteria</w:t>
      </w:r>
      <w:proofErr w:type="spellEnd"/>
      <w:r>
        <w:t xml:space="preserve">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rsidRPr="002E05D5">
        <w:rPr>
          <w:i/>
        </w:rP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w:t>
      </w:r>
      <w:r w:rsidR="004B181C">
        <w:t xml:space="preserve">carbon and </w:t>
      </w:r>
      <w:r w:rsidR="00702D24">
        <w:t>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ome types of metabolism</w:t>
      </w:r>
      <w:r w:rsidR="004B181C">
        <w:t>s</w:t>
      </w:r>
      <w:r w:rsidR="00613B0C">
        <w:t xml:space="preserve">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w:t>
      </w:r>
      <w:r w:rsidR="00DB387B">
        <w:t>d</w:t>
      </w:r>
      <w:r w:rsidR="00613B0C">
        <w:t xml:space="preserv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under </w:t>
      </w:r>
      <w:r w:rsidR="002E05D5">
        <w:t xml:space="preserve">DOE JGI </w:t>
      </w:r>
      <w:r w:rsidR="00CC48A4">
        <w:t>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4B181C">
        <w:t xml:space="preserve"> targeting</w:t>
      </w:r>
      <w:r w:rsidR="00A87224">
        <w:t xml:space="preserve">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4B181C">
        <w:t>,</w:t>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rsidR="00C60627">
        <w:t>,</w:t>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rsidR="00C60627">
        <w:t>,</w:t>
      </w:r>
      <w:r>
        <w:t xml:space="preserve"> and reads </w:t>
      </w:r>
      <w:r w:rsidR="00180B02">
        <w:t xml:space="preserve">from </w:t>
      </w:r>
      <w:proofErr w:type="spellStart"/>
      <w:r w:rsidR="00180B02">
        <w:t>unpooled</w:t>
      </w:r>
      <w:proofErr w:type="spellEnd"/>
      <w:r w:rsidR="00180B02">
        <w:t xml:space="preserve"> metagenomes </w:t>
      </w:r>
      <w:r>
        <w:t>were mapped to the assembled contigs using the Burrows-Wheeler Aligner</w:t>
      </w:r>
      <w:r w:rsidR="001D1459">
        <w:t xml:space="preserve"> (≥ 95% </w:t>
      </w:r>
      <w:r w:rsidR="001D1459">
        <w:lastRenderedPageBreak/>
        <w:t>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rsidR="003D1D4E">
        <w:t xml:space="preserve"> or the phylogeny-based “guilt by association” method (Hamilton et al., 2017)</w:t>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xml:space="preserve"> with a cutoff of 30</w:t>
      </w:r>
      <w:r w:rsidR="00C60627">
        <w:t>%</w:t>
      </w:r>
      <w:r w:rsidR="00443746">
        <w:t xml:space="preserve"> identity</w:t>
      </w:r>
      <w:r>
        <w:t xml:space="preserve">.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lastRenderedPageBreak/>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Putative pathway presences was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lastRenderedPageBreak/>
        <w:t>Results/Discussion</w:t>
      </w:r>
    </w:p>
    <w:p w:rsidR="008853A5" w:rsidRDefault="00B32BF2" w:rsidP="00DC3B2C">
      <w:pPr>
        <w:pStyle w:val="Heading2"/>
      </w:pPr>
      <w:bookmarkStart w:id="0" w:name="_wkxuqpnkgwuw" w:colFirst="0" w:colLast="0"/>
      <w:bookmarkEnd w:id="0"/>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DB387B">
        <w:t>this</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w:t>
      </w:r>
      <w:r w:rsidR="00B32BF2">
        <w:lastRenderedPageBreak/>
        <w:t xml:space="preserve">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326033">
        <w:t xml:space="preserve"> (Data S4</w:t>
      </w:r>
      <w:r w:rsidR="005F572D">
        <w:t>)</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w:t>
      </w:r>
      <w:r w:rsidR="00C60627">
        <w:t xml:space="preserve">DOE </w:t>
      </w:r>
      <w:r w:rsidR="00046BFF">
        <w:t>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w:t>
      </w:r>
      <w:r w:rsidR="00326033">
        <w:t>S</w:t>
      </w:r>
      <w:r>
        <w:t xml:space="preserve">2, </w:t>
      </w:r>
      <w:r w:rsidR="00326033">
        <w:t>Data S5</w:t>
      </w:r>
      <w:r>
        <w:t xml:space="preserve">). </w:t>
      </w:r>
      <w:r w:rsidR="008C29DF">
        <w:t>However, s</w:t>
      </w:r>
      <w:r>
        <w:t xml:space="preserve">ome </w:t>
      </w:r>
      <w:r w:rsidR="00CC5549">
        <w:t>taxa</w:t>
      </w:r>
      <w:r w:rsidR="008C29DF">
        <w:t>, including</w:t>
      </w:r>
      <w:r>
        <w:t xml:space="preserve"> </w:t>
      </w:r>
      <w:proofErr w:type="spellStart"/>
      <w:r w:rsidRPr="00C60627">
        <w:rPr>
          <w:i/>
        </w:rPr>
        <w:t>Tenericutes</w:t>
      </w:r>
      <w:proofErr w:type="spellEnd"/>
      <w:r w:rsidRPr="00C60627">
        <w:rPr>
          <w:i/>
        </w:rPr>
        <w:t xml:space="preserve">, </w:t>
      </w:r>
      <w:proofErr w:type="spellStart"/>
      <w:r w:rsidRPr="00C60627">
        <w:rPr>
          <w:i/>
        </w:rPr>
        <w:t>Ignavibacteria</w:t>
      </w:r>
      <w:proofErr w:type="spellEnd"/>
      <w:r w:rsidRPr="00C60627">
        <w:rPr>
          <w:i/>
        </w:rPr>
        <w:t xml:space="preserve">, </w:t>
      </w:r>
      <w:proofErr w:type="spellStart"/>
      <w:r w:rsidR="00CC5549" w:rsidRPr="00C60627">
        <w:rPr>
          <w:i/>
        </w:rPr>
        <w:t>Epsilonproteobacteria</w:t>
      </w:r>
      <w:proofErr w:type="spellEnd"/>
      <w:r w:rsidR="00CC5549">
        <w:t xml:space="preserve">, </w:t>
      </w:r>
      <w:r>
        <w:t xml:space="preserve">and </w:t>
      </w:r>
      <w:proofErr w:type="spellStart"/>
      <w:r w:rsidRPr="00C60627">
        <w:rPr>
          <w:i/>
        </w:rPr>
        <w:t>Chlamydiae</w:t>
      </w:r>
      <w:proofErr w:type="spellEnd"/>
      <w:r w:rsidR="008C29DF">
        <w:t>,</w:t>
      </w:r>
      <w:r>
        <w:t xml:space="preserve"> were represented by MAGs but</w:t>
      </w:r>
      <w:r w:rsidR="008C29DF">
        <w:t xml:space="preserve"> not identified in the 16S gene amplicon datasets</w:t>
      </w:r>
      <w:r>
        <w:t xml:space="preserve">. </w:t>
      </w:r>
      <w:proofErr w:type="spellStart"/>
      <w:r w:rsidRPr="00C60627">
        <w:rPr>
          <w:i/>
        </w:rPr>
        <w:t>Chlorobi</w:t>
      </w:r>
      <w:proofErr w:type="spellEnd"/>
      <w:r>
        <w:t xml:space="preserve"> </w:t>
      </w:r>
      <w:r w:rsidR="008C29DF">
        <w:t>was</w:t>
      </w:r>
      <w:r>
        <w:t xml:space="preserve"> overrepresented by MAG coverage compared to 16S rRNA gene counts, while </w:t>
      </w:r>
      <w:r w:rsidRPr="00C60627">
        <w:rPr>
          <w:i/>
        </w:rPr>
        <w:t>Proteobacteri</w:t>
      </w:r>
      <w:r w:rsidR="008C29DF" w:rsidRPr="00C60627">
        <w:rPr>
          <w:i/>
        </w:rPr>
        <w:t>a</w:t>
      </w:r>
      <w:r w:rsidR="008C29DF">
        <w:t xml:space="preserve">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 xml:space="preserve">(Hall et al., 2017; Linz </w:t>
      </w:r>
      <w:r w:rsidRPr="005F572D">
        <w:rPr>
          <w:noProof/>
        </w:rPr>
        <w:lastRenderedPageBreak/>
        <w:t>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1" w:name="_se2pvlkacpgg" w:colFirst="0" w:colLast="0"/>
      <w:bookmarkEnd w:id="1"/>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 along with phylogenetic difference</w:t>
      </w:r>
      <w:r w:rsidR="00C60627">
        <w:t>s</w:t>
      </w:r>
      <w:r w:rsidR="00933DA9">
        <w:t xml:space="preserv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C60627">
        <w:t xml:space="preserve"> (Figure 1, Table S</w:t>
      </w:r>
      <w:r w:rsidR="0002485C">
        <w:t>3</w:t>
      </w:r>
      <w:r w:rsidR="00C60627">
        <w:t>)</w:t>
      </w:r>
      <w:r w:rsidR="00046BFF">
        <w:t xml:space="preserve">. </w:t>
      </w:r>
      <w:r>
        <w:t>T</w:t>
      </w:r>
      <w:r w:rsidR="00046BFF">
        <w:t xml:space="preserve">he nitrogenase enzyme is inhibited by oxygen, </w:t>
      </w:r>
      <w:r>
        <w:t xml:space="preserve">which could explain the higher abundance of </w:t>
      </w:r>
      <w:r w:rsidR="00046BFF">
        <w:t>nitrogen</w:t>
      </w:r>
      <w:r>
        <w:t>ase</w:t>
      </w:r>
      <w:r w:rsidR="00C60627">
        <w:t xml:space="preserve"> in Trout Bog’s</w:t>
      </w:r>
      <w:r>
        <w:t xml:space="preserve"> </w:t>
      </w:r>
      <w:r w:rsidR="00046BFF">
        <w:t xml:space="preserve">anoxic </w:t>
      </w:r>
      <w:r>
        <w:t>hypolimnion</w:t>
      </w:r>
      <w:r w:rsidR="00046BFF">
        <w:t xml:space="preserve">. </w:t>
      </w:r>
      <w:r>
        <w:t xml:space="preserve">We further analyzed MAGs </w:t>
      </w:r>
      <w:r w:rsidR="00C60627">
        <w:t xml:space="preserve">predicted to fix nitrogen </w:t>
      </w:r>
      <w:r>
        <w:t>and found</w:t>
      </w:r>
      <w:r w:rsidR="00046BFF">
        <w:t xml:space="preserve"> differences in the taxonomy of putative diazotrophs between the two ecosystems (</w:t>
      </w:r>
      <w:r w:rsidR="00251DEA">
        <w:t>Figure 2</w:t>
      </w:r>
      <w:r w:rsidR="005F572D">
        <w:t xml:space="preserve">,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w:t>
      </w:r>
      <w:r w:rsidRPr="00C60627">
        <w:rPr>
          <w:i/>
        </w:rPr>
        <w:t>Cyanobacteria</w:t>
      </w:r>
      <w:r w:rsidR="00046BFF" w:rsidRPr="00C60627">
        <w:rPr>
          <w:i/>
        </w:rPr>
        <w:t>,</w:t>
      </w:r>
      <w:r w:rsidR="00046BFF">
        <w:t xml:space="preserve"> </w:t>
      </w:r>
      <w:r w:rsidR="00936094">
        <w:t>while the other third was</w:t>
      </w:r>
      <w:r w:rsidR="00046BFF">
        <w:t xml:space="preserve"> assigned to </w:t>
      </w:r>
      <w:proofErr w:type="spellStart"/>
      <w:r w:rsidR="00046BFF" w:rsidRPr="00C60627">
        <w:rPr>
          <w:i/>
        </w:rPr>
        <w:t>Betaproteobacteria</w:t>
      </w:r>
      <w:proofErr w:type="spellEnd"/>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p</w:t>
      </w:r>
      <w:r w:rsidR="00936094">
        <w:t xml:space="preserve">revious measurements of nitrogen fixation in Lake Mendota found a strong correlation between this pathway and the </w:t>
      </w:r>
      <w:r w:rsidR="00936094" w:rsidRPr="00C60627">
        <w:rPr>
          <w:i/>
        </w:rPr>
        <w:t>Cyanobacteria</w:t>
      </w:r>
      <w:r w:rsidR="00936094">
        <w:t xml:space="preserve">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proofErr w:type="spellStart"/>
      <w:r w:rsidR="00046BFF" w:rsidRPr="00C60627">
        <w:rPr>
          <w:i/>
        </w:rPr>
        <w:t>Deltaproteobacteria</w:t>
      </w:r>
      <w:proofErr w:type="spellEnd"/>
      <w:r w:rsidR="00046BFF" w:rsidRPr="00C60627">
        <w:rPr>
          <w:i/>
        </w:rPr>
        <w:t xml:space="preserve">,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proofErr w:type="spellStart"/>
      <w:r w:rsidR="00046BFF" w:rsidRPr="00C60627">
        <w:rPr>
          <w:i/>
        </w:rPr>
        <w:t>Bacteroidetes</w:t>
      </w:r>
      <w:proofErr w:type="spellEnd"/>
      <w:r w:rsidR="00046BFF" w:rsidRPr="00C60627">
        <w:rPr>
          <w:i/>
        </w:rPr>
        <w:t>.</w:t>
      </w:r>
      <w:r w:rsidR="00046BFF">
        <w:t xml:space="preserve"> </w:t>
      </w:r>
      <w:r w:rsidR="008F3E06">
        <w:t xml:space="preserve">The increased diversity of diazotrophs in Trout </w:t>
      </w:r>
      <w:r w:rsidR="008F3E06">
        <w:lastRenderedPageBreak/>
        <w:t>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r w:rsidR="00297B75">
        <w:t>with the exception of</w:t>
      </w:r>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observed at similar frequencies in p</w:t>
      </w:r>
      <w:r w:rsidR="00251DEA">
        <w:t>opulation genomes from all envir</w:t>
      </w:r>
      <w:r w:rsidR="00297B75">
        <w:t>onments</w:t>
      </w:r>
      <w:r w:rsidR="00046BFF">
        <w:t xml:space="preserve"> (Fig</w:t>
      </w:r>
      <w:r w:rsidR="005F572D">
        <w:t>ure</w:t>
      </w:r>
      <w:r w:rsidR="00251DEA">
        <w:t xml:space="preserve"> 2</w:t>
      </w:r>
      <w:r w:rsidR="00046BFF">
        <w:t xml:space="preserve">).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w:t>
      </w:r>
      <w:r w:rsidR="00046BFF" w:rsidRPr="00C60627">
        <w:rPr>
          <w:i/>
        </w:rPr>
        <w:t>Actinobacteria</w:t>
      </w:r>
      <w:r w:rsidR="00046BFF">
        <w:t xml:space="preserve">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w:t>
      </w:r>
      <w:r w:rsidR="00C72B55">
        <w:t>hi</w:t>
      </w:r>
      <w:r w:rsidR="00F9672B">
        <w:t>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326033">
        <w:t>(Data S4</w:t>
      </w:r>
      <w:r w:rsidR="00873AF2">
        <w:t xml:space="preserve">)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C60627">
        <w:t xml:space="preserve">that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2" w:name="_3syggjfxgu8a" w:colFirst="0" w:colLast="0"/>
      <w:bookmarkEnd w:id="2"/>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r>
        <w:t>sulfide:quinone</w:t>
      </w:r>
      <w:proofErr w:type="spell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w:t>
      </w:r>
      <w:r w:rsidR="0002485C">
        <w:t>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251DEA">
        <w:t xml:space="preserve"> (Figure 2</w:t>
      </w:r>
      <w:r w:rsidR="00873AF2">
        <w:t>)</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reduction</w:t>
      </w:r>
      <w:r>
        <w:t>, suggesting</w:t>
      </w:r>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w:t>
      </w:r>
      <w:r w:rsidR="00046BFF" w:rsidRPr="0002485C">
        <w:rPr>
          <w:i/>
        </w:rPr>
        <w:t>Betaproteobacteria</w:t>
      </w:r>
      <w:r w:rsidR="00046BFF">
        <w:t xml:space="preserve"> from both lakes and </w:t>
      </w:r>
      <w:proofErr w:type="spellStart"/>
      <w:r w:rsidR="00046BFF" w:rsidRPr="0002485C">
        <w:rPr>
          <w:i/>
        </w:rPr>
        <w:t>Epsilon</w:t>
      </w:r>
      <w:r w:rsidR="00564BB8" w:rsidRPr="0002485C">
        <w:rPr>
          <w:i/>
        </w:rPr>
        <w:t>proteo</w:t>
      </w:r>
      <w:r w:rsidR="00046BFF" w:rsidRPr="0002485C">
        <w:rPr>
          <w:i/>
        </w:rPr>
        <w:t>bacteria</w:t>
      </w:r>
      <w:proofErr w:type="spellEnd"/>
      <w:r w:rsidR="00046BFF">
        <w:t xml:space="preserve"> in Trout Bog</w:t>
      </w:r>
      <w:r w:rsidR="0002485C">
        <w:t>’s</w:t>
      </w:r>
      <w:r w:rsidR="00046BFF">
        <w:t xml:space="preserve"> </w:t>
      </w:r>
      <w:r w:rsidR="0002485C">
        <w:t>h</w:t>
      </w:r>
      <w:r w:rsidR="00046BFF">
        <w:t>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epilimnion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rsidRPr="0002485C">
        <w:rPr>
          <w:i/>
        </w:rPr>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rsidRPr="0002485C">
        <w:rPr>
          <w:i/>
        </w:rPr>
        <w:t>Chlorobiales</w:t>
      </w:r>
      <w:proofErr w:type="spellEnd"/>
      <w:r w:rsidRPr="0002485C">
        <w:rPr>
          <w:i/>
        </w:rP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rsidRPr="0002485C">
        <w:rPr>
          <w:i/>
        </w:rPr>
        <w:t>Chlorobiales</w:t>
      </w:r>
      <w:proofErr w:type="spellEnd"/>
      <w:r w:rsidR="00280E6F" w:rsidRPr="0002485C">
        <w:rPr>
          <w:i/>
        </w:rPr>
        <w:t xml:space="preserve"> </w:t>
      </w:r>
      <w:r w:rsidR="00280E6F">
        <w:t xml:space="preserve">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rsidRPr="0002485C">
        <w:rPr>
          <w:i/>
        </w:rP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rsidRPr="0002485C">
        <w:rPr>
          <w:i/>
        </w:rPr>
        <w:t>Chlorobiales</w:t>
      </w:r>
      <w:proofErr w:type="spellEnd"/>
      <w:r w:rsidRPr="0002485C">
        <w:rPr>
          <w:i/>
        </w:rPr>
        <w:t xml:space="preserve"> </w:t>
      </w:r>
      <w:r>
        <w:t xml:space="preserve">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w:t>
      </w:r>
      <w:proofErr w:type="spellStart"/>
      <w:r w:rsidRPr="0002485C">
        <w:rPr>
          <w:i/>
        </w:rPr>
        <w:t>Betaproteobacteria</w:t>
      </w:r>
      <w:proofErr w:type="spellEnd"/>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t>, most often contained these genes, although they were not broadly shared across the phylum</w:t>
      </w:r>
      <w:r w:rsidR="00251DEA">
        <w:t xml:space="preserve"> (Figure 2</w:t>
      </w:r>
      <w:r w:rsidR="004339D2">
        <w:t>)</w:t>
      </w:r>
      <w:r>
        <w:t xml:space="preserve">. </w:t>
      </w:r>
      <w:r w:rsidR="00251DEA">
        <w:t>As</w:t>
      </w:r>
      <w:r w:rsidR="00495B23">
        <w:t xml:space="preserve"> a</w:t>
      </w:r>
      <w:r w:rsidR="00C160CB">
        <w:t xml:space="preserve">erobic </w:t>
      </w:r>
      <w:proofErr w:type="spellStart"/>
      <w:r w:rsidR="00C160CB">
        <w:t>anoxygenic</w:t>
      </w:r>
      <w:proofErr w:type="spellEnd"/>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aerobic </w:t>
      </w:r>
      <w:proofErr w:type="spellStart"/>
      <w:r w:rsidR="00C160CB">
        <w:t>anoxygenic</w:t>
      </w:r>
      <w:proofErr w:type="spellEnd"/>
      <w:r w:rsidR="00C160CB">
        <w:t xml:space="preserve">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251DEA">
        <w:t>fewer, less diverse</w:t>
      </w:r>
      <w:r>
        <w:t xml:space="preserve"> MAGs encoding </w:t>
      </w:r>
      <w:proofErr w:type="spellStart"/>
      <w:r>
        <w:t>rhodopsins</w:t>
      </w:r>
      <w:proofErr w:type="spellEnd"/>
      <w:r>
        <w:t xml:space="preserve"> than those from Lake Mendota.</w:t>
      </w:r>
    </w:p>
    <w:p w:rsidR="008853A5" w:rsidRDefault="00046BFF" w:rsidP="00DC3B2C">
      <w:pPr>
        <w:pStyle w:val="Heading2"/>
      </w:pPr>
      <w:bookmarkStart w:id="3" w:name="_p43k2jqbpxeg" w:colFirst="0" w:colLast="0"/>
      <w:bookmarkEnd w:id="3"/>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w:t>
      </w:r>
      <w:proofErr w:type="spellStart"/>
      <w:r w:rsidRPr="00C70A26">
        <w:rPr>
          <w:i/>
        </w:rPr>
        <w:t>Bacteroidetes</w:t>
      </w:r>
      <w:proofErr w:type="spellEnd"/>
      <w:r w:rsidRPr="00C70A26">
        <w:rPr>
          <w:i/>
        </w:rPr>
        <w:t xml:space="preserve">), </w:t>
      </w:r>
      <w:proofErr w:type="spellStart"/>
      <w:r w:rsidRPr="00C70A26">
        <w:rPr>
          <w:i/>
        </w:rPr>
        <w:t>Planctomycetales</w:t>
      </w:r>
      <w:proofErr w:type="spellEnd"/>
      <w:r w:rsidRPr="00C70A26">
        <w:rPr>
          <w:i/>
        </w:rPr>
        <w:t xml:space="preserve"> (</w:t>
      </w:r>
      <w:proofErr w:type="spellStart"/>
      <w:r w:rsidRPr="00C70A26">
        <w:rPr>
          <w:i/>
        </w:rPr>
        <w:t>Planctomycetes</w:t>
      </w:r>
      <w:proofErr w:type="spellEnd"/>
      <w:r w:rsidRPr="00C70A26">
        <w:rPr>
          <w:i/>
        </w:rPr>
        <w:t>)</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w:t>
      </w:r>
      <w:r w:rsidR="00C70A26">
        <w:t xml:space="preserve">has found that the abundance of genes annotated as GH109 by </w:t>
      </w:r>
      <w:proofErr w:type="spellStart"/>
      <w:r w:rsidR="00C70A26">
        <w:t>dbCAN</w:t>
      </w:r>
      <w:proofErr w:type="spellEnd"/>
      <w:r w:rsidR="00C70A26">
        <w:t xml:space="preserve"> may be an overestimate of this gene family</w:t>
      </w:r>
      <w:r w:rsidR="004C3850">
        <w:t xml:space="preserve">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rsidRPr="00C70A26">
        <w:rPr>
          <w:i/>
        </w:rPr>
        <w:t>Alphaproteobacteria</w:t>
      </w:r>
      <w:proofErr w:type="spellEnd"/>
      <w:r>
        <w:t xml:space="preserve"> and </w:t>
      </w:r>
      <w:proofErr w:type="spellStart"/>
      <w:r w:rsidRPr="00C70A26">
        <w:rPr>
          <w:i/>
        </w:rPr>
        <w:t>Chlamydiae</w:t>
      </w:r>
      <w:proofErr w:type="spellEnd"/>
      <w:r>
        <w:t xml:space="preserve"> in Lake Mendota and </w:t>
      </w:r>
      <w:proofErr w:type="spellStart"/>
      <w:r w:rsidRPr="00C70A26">
        <w:rPr>
          <w:i/>
        </w:rPr>
        <w:t>Acidobacteria</w:t>
      </w:r>
      <w:proofErr w:type="spellEnd"/>
      <w:r>
        <w:t xml:space="preserve"> and </w:t>
      </w:r>
      <w:proofErr w:type="spellStart"/>
      <w:r w:rsidRPr="00C70A26">
        <w:rPr>
          <w:i/>
        </w:rPr>
        <w:t>Betaproteobacteria</w:t>
      </w:r>
      <w:proofErr w:type="spellEnd"/>
      <w:r>
        <w:t xml:space="preserve">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w:t>
      </w:r>
      <w:r w:rsidRPr="00C70A26">
        <w:rPr>
          <w:i/>
        </w:rPr>
        <w:t>Bacteroidetes</w:t>
      </w:r>
      <w:r>
        <w:t xml:space="preserve"> and </w:t>
      </w:r>
      <w:r w:rsidRPr="00C70A26">
        <w:rPr>
          <w:i/>
        </w:rPr>
        <w:t>Betaproteobacteria</w:t>
      </w:r>
      <w:r>
        <w:t xml:space="preserve"> </w:t>
      </w:r>
      <w:r w:rsidR="00DE2F1A">
        <w:t>from</w:t>
      </w:r>
      <w:r>
        <w:t xml:space="preserve"> Trout Bog</w:t>
      </w:r>
      <w:r w:rsidR="00DE2F1A">
        <w:t>’s</w:t>
      </w:r>
      <w:r>
        <w:t xml:space="preserve"> epilimnion. Cytochrome o </w:t>
      </w:r>
      <w:r w:rsidR="004C3850">
        <w:t xml:space="preserve">oxidase </w:t>
      </w:r>
      <w:r>
        <w:t xml:space="preserve">was observed only in a </w:t>
      </w:r>
      <w:r w:rsidRPr="00C70A26">
        <w:rPr>
          <w:i/>
        </w:rPr>
        <w:t>Chlamydia</w:t>
      </w:r>
      <w:r>
        <w:t xml:space="preserve"> MAG from Lake Mendota. Alternative complex III was identified in MAGs of </w:t>
      </w:r>
      <w:proofErr w:type="spellStart"/>
      <w:r w:rsidRPr="00C70A26">
        <w:rPr>
          <w:i/>
        </w:rPr>
        <w:t>Verrucomicrobia</w:t>
      </w:r>
      <w:proofErr w:type="spellEnd"/>
      <w:r>
        <w:t xml:space="preserve"> </w:t>
      </w:r>
      <w:r w:rsidR="00DE2F1A">
        <w:t>in all sites</w:t>
      </w:r>
      <w:r>
        <w:t xml:space="preserve">, in </w:t>
      </w:r>
      <w:proofErr w:type="spellStart"/>
      <w:r w:rsidRPr="00C70A26">
        <w:rPr>
          <w:i/>
        </w:rPr>
        <w:t>Acidobacteria</w:t>
      </w:r>
      <w:proofErr w:type="spellEnd"/>
      <w:r>
        <w:t xml:space="preserve"> </w:t>
      </w:r>
      <w:r w:rsidR="00DE2F1A">
        <w:t>from</w:t>
      </w:r>
      <w:r>
        <w:t xml:space="preserve"> Trout Bog (both layers), and in </w:t>
      </w:r>
      <w:r w:rsidRPr="00C70A26">
        <w:rPr>
          <w:i/>
        </w:rPr>
        <w:t>Bacteroidetes</w:t>
      </w:r>
      <w:r>
        <w:t xml:space="preserve"> and </w:t>
      </w:r>
      <w:r w:rsidRPr="00C70A26">
        <w:rPr>
          <w:i/>
        </w:rPr>
        <w:t>Planctomycetes</w:t>
      </w:r>
      <w:r>
        <w:t xml:space="preserve">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rsidRPr="00BF2DF6">
        <w:rPr>
          <w:i/>
        </w:rP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w:t>
      </w:r>
      <w:proofErr w:type="spellStart"/>
      <w:r w:rsidRPr="00BF2DF6">
        <w:rPr>
          <w:i/>
        </w:rPr>
        <w:t>Planctomycetes</w:t>
      </w:r>
      <w:proofErr w:type="spellEnd"/>
      <w:r>
        <w:t xml:space="preserve"> and </w:t>
      </w:r>
      <w:proofErr w:type="spellStart"/>
      <w:r w:rsidRPr="00BF2DF6">
        <w:rPr>
          <w:i/>
        </w:rPr>
        <w:t>Verrucomicrobia</w:t>
      </w:r>
      <w:proofErr w:type="spellEnd"/>
      <w:r>
        <w:t xml:space="preserve"> </w:t>
      </w:r>
      <w:r w:rsidR="00DE2F1A">
        <w:t>from</w:t>
      </w:r>
      <w:r>
        <w:t xml:space="preserve"> Lake Mendota, and members of </w:t>
      </w:r>
      <w:proofErr w:type="spellStart"/>
      <w:r w:rsidRPr="00BF2DF6">
        <w:rPr>
          <w:i/>
        </w:rPr>
        <w:t>Bacteroidetes</w:t>
      </w:r>
      <w:proofErr w:type="spellEnd"/>
      <w:r w:rsidRPr="00BF2DF6">
        <w:rPr>
          <w:i/>
        </w:rPr>
        <w:t xml:space="preserve">,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w:t>
      </w:r>
      <w:proofErr w:type="spellStart"/>
      <w:r w:rsidRPr="00BF2DF6">
        <w:rPr>
          <w:i/>
        </w:rPr>
        <w:t>Bacteroidetes</w:t>
      </w:r>
      <w:proofErr w:type="spellEnd"/>
      <w:r w:rsidRPr="00BF2DF6">
        <w:rPr>
          <w:i/>
        </w:rPr>
        <w:t xml:space="preserve">, </w:t>
      </w:r>
      <w:proofErr w:type="spellStart"/>
      <w:r w:rsidRPr="00BF2DF6">
        <w:rPr>
          <w:i/>
        </w:rPr>
        <w:t>Planctomycetes</w:t>
      </w:r>
      <w:proofErr w:type="spellEnd"/>
      <w:r>
        <w:t xml:space="preserve">, and </w:t>
      </w:r>
      <w:proofErr w:type="spellStart"/>
      <w:r w:rsidRPr="00BF2DF6">
        <w:rPr>
          <w:i/>
        </w:rPr>
        <w:t>Verrucomicrobia</w:t>
      </w:r>
      <w:proofErr w:type="spellEnd"/>
      <w:r>
        <w:t xml:space="preserve"> </w:t>
      </w:r>
      <w:r w:rsidR="00DE2F1A">
        <w:t>from</w:t>
      </w:r>
      <w:r>
        <w:t xml:space="preserve"> Lake Mendota and </w:t>
      </w:r>
      <w:proofErr w:type="spellStart"/>
      <w:r w:rsidRPr="00BF2DF6">
        <w:rPr>
          <w:i/>
        </w:rPr>
        <w:t>Bacteroidetes</w:t>
      </w:r>
      <w:proofErr w:type="spellEnd"/>
      <w:r>
        <w:t xml:space="preserve"> and </w:t>
      </w:r>
      <w:proofErr w:type="spellStart"/>
      <w:r w:rsidRPr="00BF2DF6">
        <w:rPr>
          <w:i/>
        </w:rP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w:t>
      </w:r>
      <w:r>
        <w:lastRenderedPageBreak/>
        <w:t xml:space="preserve">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pathways for methanol degradation 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rsidRPr="00C70A26">
        <w:rPr>
          <w:i/>
        </w:rPr>
        <w:t>Methylotenera</w:t>
      </w:r>
      <w:proofErr w:type="spellEnd"/>
      <w:r>
        <w:t>, 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Pr="00C70A26">
        <w:rPr>
          <w:i/>
        </w:rP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rsidRPr="00C70A26">
        <w:rPr>
          <w:i/>
        </w:rP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4" w:name="_i04nm0pk38zw" w:colFirst="0" w:colLast="0"/>
      <w:bookmarkEnd w:id="4"/>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 xml:space="preserve">data for </w:t>
      </w:r>
      <w:r w:rsidRPr="00C70A26">
        <w:rPr>
          <w:i/>
        </w:rPr>
        <w:t>Cyanobacteria</w:t>
      </w:r>
      <w:r>
        <w:t>, known to be highly variable over time in Lake Mendota</w:t>
      </w:r>
      <w:r w:rsidR="00CE56F8">
        <w:t xml:space="preserve"> (Figure 4</w:t>
      </w:r>
      <w:r w:rsidR="008E64BD">
        <w:t>, A-E)</w:t>
      </w:r>
      <w:r>
        <w:t xml:space="preserve">. We found that one </w:t>
      </w:r>
      <w:r w:rsidRPr="00C70A26">
        <w:rPr>
          <w:i/>
        </w:rPr>
        <w:t>Cyanobacteria</w:t>
      </w:r>
      <w:r>
        <w:t xml:space="preserve"> MAG in each year was substantially more abundant than the rest; this </w:t>
      </w:r>
      <w:r w:rsidR="000640AD">
        <w:t xml:space="preserve">single </w:t>
      </w:r>
      <w:r>
        <w:t xml:space="preserve">MAG only is plotted for each year. Since our analysis of the diversity of MAGs </w:t>
      </w:r>
      <w:r>
        <w:lastRenderedPageBreak/>
        <w:t xml:space="preserve">containing nitrogenases showed a strong association between nitrogen fixation and </w:t>
      </w:r>
      <w:r w:rsidRPr="00C70A26">
        <w:rPr>
          <w:i/>
        </w:rPr>
        <w:t>Cyanobacteria</w:t>
      </w:r>
      <w:r>
        <w:t xml:space="preserve">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w:t>
      </w:r>
      <w:r w:rsidRPr="00C70A26">
        <w:rPr>
          <w:i/>
        </w:rPr>
        <w:t>Cyanobacteria</w:t>
      </w:r>
      <w:r>
        <w:t xml:space="preserve"> </w:t>
      </w:r>
      <w:r w:rsidR="0074129B">
        <w:t>MAG</w:t>
      </w:r>
      <w:r>
        <w:t xml:space="preserve"> in each year (</w:t>
      </w:r>
      <w:r w:rsidR="00CE56F8">
        <w:t>Figure 4</w:t>
      </w:r>
      <w:r w:rsidR="008E64BD">
        <w:t>,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rsidRPr="00C70A26">
        <w:rPr>
          <w:i/>
        </w:rPr>
        <w:t>Cyanobacteria</w:t>
      </w:r>
      <w:r>
        <w:t xml:space="preserve">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common among different types of nitrogenases)</w:t>
      </w:r>
      <w:r>
        <w:t xml:space="preserve">. Significant correlations (p &lt; 0.05) were only detected in 2008, 2011, and 2012. The strength of these correlations suggests that in three out of the five years in our Lake Mendota time series, a single </w:t>
      </w:r>
      <w:r w:rsidRPr="00C70A26">
        <w:rPr>
          <w:i/>
        </w:rPr>
        <w:t>Cyanobacteria</w:t>
      </w:r>
      <w:r>
        <w:t xml:space="preserve">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xml:space="preserve">. These two years were also unusual in our time series - in 2008, extreme flooding events led to large </w:t>
      </w:r>
      <w:r w:rsidRPr="00C70A26">
        <w:rPr>
          <w:i/>
        </w:rPr>
        <w:t>Cyanobacteria</w:t>
      </w:r>
      <w:r>
        <w:t xml:space="preserve">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5" w:name="_gjdgxs" w:colFirst="0" w:colLast="0"/>
      <w:bookmarkEnd w:id="5"/>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found that </w:t>
      </w:r>
      <w:proofErr w:type="spellStart"/>
      <w:r>
        <w:t>phototrophy</w:t>
      </w:r>
      <w:proofErr w:type="spellEnd"/>
      <w:r>
        <w:t xml:space="preserve">, carbon fixation, and nitrogen fixation </w:t>
      </w:r>
      <w:r w:rsidR="0074129B">
        <w:t>co-occurred within</w:t>
      </w:r>
      <w:r>
        <w:t xml:space="preserve"> the abundant </w:t>
      </w:r>
      <w:r>
        <w:lastRenderedPageBreak/>
        <w:t xml:space="preserve">phototrophs </w:t>
      </w:r>
      <w:r w:rsidRPr="00C70A26">
        <w:rPr>
          <w:i/>
        </w:rPr>
        <w:t>Cyanobacteria</w:t>
      </w:r>
      <w:r>
        <w:t xml:space="preserve"> in Lake Mendota and </w:t>
      </w:r>
      <w:proofErr w:type="spellStart"/>
      <w:r w:rsidRPr="00C70A26">
        <w:rPr>
          <w:i/>
        </w:rPr>
        <w:t>Chlorobiales</w:t>
      </w:r>
      <w:proofErr w:type="spellEnd"/>
      <w:r>
        <w:t xml:space="preserve"> in Trout Bog. In Lake Mendota, nitrogen fixation was </w:t>
      </w:r>
      <w:r w:rsidR="0074129B">
        <w:t xml:space="preserve">predominantly </w:t>
      </w:r>
      <w:r>
        <w:t>associated with</w:t>
      </w:r>
      <w:r w:rsidRPr="00C70A26">
        <w:rPr>
          <w:i/>
        </w:rPr>
        <w:t xml:space="preserve"> Cyanobacteria</w:t>
      </w:r>
      <w:r>
        <w:t xml:space="preserve">, </w:t>
      </w:r>
      <w:r w:rsidR="00C70A26">
        <w:t xml:space="preserve">but </w:t>
      </w:r>
      <w:r w:rsidR="0074129B">
        <w:t>it was not associated with any particular taxon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6" w:name="_m6606topfmb" w:colFirst="0" w:colLast="0"/>
      <w:bookmarkEnd w:id="6"/>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Science User Facility, is supported by the Office of Science of the U.S. Department of Energy </w:t>
      </w:r>
      <w:r w:rsidR="0069102D">
        <w:lastRenderedPageBreak/>
        <w:t xml:space="preserve">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r w:rsidR="00204AC0">
        <w:t>This material is also based upon work that supported by the National Institute of Food and Agriculture, U.S. Department of Agriculture (Hatch Project 1002996).</w:t>
      </w:r>
    </w:p>
    <w:p w:rsidR="008853A5" w:rsidRDefault="00046BFF" w:rsidP="00B44E2D">
      <w:pPr>
        <w:pStyle w:val="Heading1"/>
      </w:pPr>
      <w:bookmarkStart w:id="7" w:name="_10g0eg7e0hhu" w:colFirst="0" w:colLast="0"/>
      <w:bookmarkEnd w:id="7"/>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Water from Lake Mendota and Trout Bog was sampled weekly during the ice-free periods using an integrated water column sampler and filtered for DNA using a 0.22 micron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5F1EC7" w:rsidRPr="00087FC0" w:rsidRDefault="00087FC0" w:rsidP="00087FC0">
      <w:pPr>
        <w:pStyle w:val="NormalWeb"/>
        <w:spacing w:before="240" w:beforeAutospacing="0" w:after="0" w:afterAutospacing="0"/>
        <w:rPr>
          <w:b/>
          <w:bCs/>
          <w:color w:val="000000"/>
        </w:rPr>
      </w:pPr>
      <w:r>
        <w:rPr>
          <w:b/>
          <w:bCs/>
          <w:color w:val="000000"/>
        </w:rPr>
        <w:t>Figure 2. Metabolisms in Lake Mendota and</w:t>
      </w:r>
      <w:r w:rsidR="005F1EC7">
        <w:rPr>
          <w:b/>
          <w:bCs/>
          <w:color w:val="000000"/>
        </w:rPr>
        <w:t xml:space="preserve"> Trout Bog. </w:t>
      </w:r>
      <w:r w:rsidR="005F1EC7">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w:t>
      </w:r>
      <w:r w:rsidR="00CC5549" w:rsidRPr="00C72B55">
        <w:rPr>
          <w:i/>
          <w:color w:val="000000"/>
        </w:rPr>
        <w:t>Proteobacteria</w:t>
      </w:r>
      <w:r w:rsidR="00CC5549">
        <w:rPr>
          <w:color w:val="000000"/>
        </w:rPr>
        <w:t xml:space="preserve"> was split into classes due to the high diversity of this phylum.</w:t>
      </w:r>
    </w:p>
    <w:p w:rsidR="005F1EC7" w:rsidRDefault="005F1EC7" w:rsidP="00087FC0">
      <w:pPr>
        <w:pStyle w:val="NormalWeb"/>
        <w:spacing w:before="240" w:beforeAutospacing="0" w:after="160" w:afterAutospacing="0"/>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770B63" w:rsidRDefault="00087FC0" w:rsidP="00B44E2D">
      <w:pPr>
        <w:spacing w:line="240" w:lineRule="auto"/>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F1EC7">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w:t>
      </w:r>
      <w:r w:rsidR="005F1EC7" w:rsidRPr="00C72B55">
        <w:rPr>
          <w:i/>
          <w:color w:val="000000"/>
        </w:rPr>
        <w:t>Cyanobacteria</w:t>
      </w:r>
      <w:r w:rsidR="005F1EC7">
        <w:rPr>
          <w:color w:val="000000"/>
        </w:rPr>
        <w:t xml:space="preserve">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years, and is consistent with our result indicating that genes encoding nitrogen fixation were found in these MAGs. The lack of significant 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lastRenderedPageBreak/>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876143" w:rsidRDefault="005F1EC7" w:rsidP="00B44E2D">
      <w:pPr>
        <w:spacing w:line="240" w:lineRule="auto"/>
      </w:pPr>
      <w:r w:rsidRPr="005F1EC7">
        <w:rPr>
          <w:b/>
          <w:color w:val="000000"/>
        </w:rPr>
        <w:t>Data S2. Functional marker genes</w:t>
      </w:r>
      <w:r w:rsidR="00876143">
        <w:rPr>
          <w:b/>
          <w:color w:val="000000"/>
        </w:rPr>
        <w:t xml:space="preserve"> used in this study</w:t>
      </w:r>
      <w:r w:rsidRPr="005F1EC7">
        <w:rPr>
          <w:b/>
          <w:color w:val="000000"/>
        </w:rPr>
        <w:t>.</w:t>
      </w:r>
      <w:r>
        <w:rPr>
          <w:color w:val="000000"/>
        </w:rPr>
        <w:t xml:space="preserve"> </w:t>
      </w:r>
      <w:r w:rsidR="00876143">
        <w:t xml:space="preserve">This dataset lists the TIGRFAM, COG, or PFAM IDs of sequences used as functional marker genes to analyze how gene content differs by site. </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r w:rsidR="005F1EC7">
        <w:rPr>
          <w:color w:val="000000"/>
        </w:rPr>
        <w:t>medium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 xml:space="preserve">Data S4. </w:t>
      </w:r>
      <w:r w:rsidR="00326033" w:rsidRPr="00AC3224">
        <w:rPr>
          <w:b/>
        </w:rPr>
        <w:t>MAG metadata.</w:t>
      </w:r>
      <w:r w:rsidR="00326033">
        <w:t xml:space="preserve"> Information about the completeness, size, and taxonomy of our MAGs, as well as their IMG OIDs, are presented here. Amino acid use was calculated based on the average number of nitrogen atoms translated gene sequences.</w:t>
      </w:r>
    </w:p>
    <w:p w:rsidR="00326033" w:rsidRDefault="00AC3224" w:rsidP="00B44E2D">
      <w:pPr>
        <w:spacing w:line="240" w:lineRule="auto"/>
      </w:pPr>
      <w:r w:rsidRPr="00AC3224">
        <w:rPr>
          <w:b/>
        </w:rPr>
        <w:t xml:space="preserve">Data S5. </w:t>
      </w:r>
      <w:r w:rsidR="00326033" w:rsidRPr="00AC3224">
        <w:rPr>
          <w:b/>
        </w:rPr>
        <w:t>16S rRNA amplicon sequencing of our samples.</w:t>
      </w:r>
      <w:r w:rsidR="00326033">
        <w:t xml:space="preserve"> 16S sequencing was performed over the time series to assess community composition in our study sites. The resulting OTU tables and taxonomic classifications are presented here.</w:t>
      </w:r>
    </w:p>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326033" w:rsidRDefault="00326033" w:rsidP="00B44E2D">
      <w:pPr>
        <w:spacing w:line="240" w:lineRule="auto"/>
      </w:pPr>
      <w:r w:rsidRPr="00326033">
        <w:rPr>
          <w:b/>
        </w:rPr>
        <w:t>Figure S2.</w:t>
      </w:r>
      <w:r>
        <w:t xml:space="preserve"> </w:t>
      </w:r>
      <w:r>
        <w:rPr>
          <w:b/>
          <w:bCs/>
          <w:color w:val="000000"/>
        </w:rPr>
        <w:t xml:space="preserve">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Numbers above bars indicating abundances greater than the limit of the y-axis. </w:t>
      </w:r>
      <w:r>
        <w:t xml:space="preserve">The 16S V6-V8 region was targeted in Trout Bog, while the V4 region was targeted in Lake Mendota. </w:t>
      </w:r>
      <w:r w:rsidRPr="00C72B55">
        <w:rPr>
          <w:i/>
          <w:color w:val="000000"/>
        </w:rPr>
        <w:t>Proteobacteria</w:t>
      </w:r>
      <w:r>
        <w:rPr>
          <w:color w:val="000000"/>
        </w:rPr>
        <w:t xml:space="preserve"> was split into classes due to the high diversity of this phylum. Although proportions vary, similar taxonomic groups are observed using both approaches. Differences are likely due to a combination of primer and assembly biases. However, similar phyla were detected using both methods, suggesting that our MAG datasets are representative of their communities.</w:t>
      </w:r>
    </w:p>
    <w:p w:rsidR="00AC3224" w:rsidRDefault="00326033">
      <w:pPr>
        <w:spacing w:line="240" w:lineRule="auto"/>
      </w:pPr>
      <w:r w:rsidRPr="00AC3224">
        <w:rPr>
          <w:b/>
        </w:rPr>
        <w:t xml:space="preserve"> </w:t>
      </w:r>
      <w:r w:rsidR="00AC3224" w:rsidRPr="00AC3224">
        <w:rPr>
          <w:b/>
        </w:rPr>
        <w:t>Data S6. Average nucleotide identity between MAGs.</w:t>
      </w:r>
      <w:r w:rsidR="00AC3224">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bookmarkStart w:id="8" w:name="_GoBack"/>
      <w:bookmarkEnd w:id="8"/>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w:t>
      </w:r>
      <w:r w:rsidR="00DC5F61">
        <w:rPr>
          <w:noProof/>
        </w:rPr>
        <w:t>M</w:t>
      </w:r>
      <w:r w:rsidRPr="0074129B">
        <w:rPr>
          <w:noProof/>
        </w:rPr>
        <w:t xml:space="preserve">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w:t>
      </w:r>
      <w:r w:rsidR="00DC5F61">
        <w:rPr>
          <w:noProof/>
        </w:rPr>
        <w:t>C</w:t>
      </w:r>
      <w:r w:rsidRPr="0074129B">
        <w:rPr>
          <w:noProof/>
        </w:rPr>
        <w:t xml:space="preserve">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w:t>
      </w:r>
      <w:r w:rsidR="00DC5F61">
        <w:rPr>
          <w:noProof/>
        </w:rPr>
        <w:t>I</w:t>
      </w:r>
      <w:r w:rsidRPr="0074129B">
        <w:rPr>
          <w:noProof/>
        </w:rPr>
        <w:t xml:space="preserve">ntegrated </w:t>
      </w:r>
      <w:r w:rsidR="00DC5F61">
        <w:rPr>
          <w:noProof/>
        </w:rPr>
        <w:t>M</w:t>
      </w:r>
      <w:r w:rsidRPr="0074129B">
        <w:rPr>
          <w:noProof/>
        </w:rPr>
        <w:t xml:space="preserve">icrobial </w:t>
      </w:r>
      <w:r w:rsidR="00DC5F61">
        <w:rPr>
          <w:noProof/>
        </w:rPr>
        <w:t>G</w:t>
      </w:r>
      <w:r w:rsidRPr="0074129B">
        <w:rPr>
          <w:noProof/>
        </w:rPr>
        <w:t xml:space="preserve">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Rohwer RR., Hamilton JJ., Newton RJ., Mcmahon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8FD" w:rsidRDefault="00DF28FD" w:rsidP="00426301">
      <w:pPr>
        <w:spacing w:after="0" w:line="240" w:lineRule="auto"/>
      </w:pPr>
      <w:r>
        <w:separator/>
      </w:r>
    </w:p>
  </w:endnote>
  <w:endnote w:type="continuationSeparator" w:id="0">
    <w:p w:rsidR="00DF28FD" w:rsidRDefault="00DF28FD"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063090"/>
      <w:docPartObj>
        <w:docPartGallery w:val="Page Numbers (Bottom of Page)"/>
        <w:docPartUnique/>
      </w:docPartObj>
    </w:sdtPr>
    <w:sdtEndPr>
      <w:rPr>
        <w:noProof/>
      </w:rPr>
    </w:sdtEndPr>
    <w:sdtContent>
      <w:p w:rsidR="00C60627" w:rsidRDefault="00C60627">
        <w:pPr>
          <w:pStyle w:val="Footer"/>
          <w:jc w:val="right"/>
        </w:pPr>
        <w:r>
          <w:fldChar w:fldCharType="begin"/>
        </w:r>
        <w:r>
          <w:instrText xml:space="preserve"> PAGE   \* MERGEFORMAT </w:instrText>
        </w:r>
        <w:r>
          <w:fldChar w:fldCharType="separate"/>
        </w:r>
        <w:r w:rsidR="00AD71F6">
          <w:rPr>
            <w:noProof/>
          </w:rPr>
          <w:t>33</w:t>
        </w:r>
        <w:r>
          <w:rPr>
            <w:noProof/>
          </w:rPr>
          <w:fldChar w:fldCharType="end"/>
        </w:r>
      </w:p>
    </w:sdtContent>
  </w:sdt>
  <w:p w:rsidR="00C60627" w:rsidRDefault="00C60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8FD" w:rsidRDefault="00DF28FD" w:rsidP="00426301">
      <w:pPr>
        <w:spacing w:after="0" w:line="240" w:lineRule="auto"/>
      </w:pPr>
      <w:r>
        <w:separator/>
      </w:r>
    </w:p>
  </w:footnote>
  <w:footnote w:type="continuationSeparator" w:id="0">
    <w:p w:rsidR="00DF28FD" w:rsidRDefault="00DF28FD" w:rsidP="00426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A5"/>
    <w:rsid w:val="00021D94"/>
    <w:rsid w:val="0002485C"/>
    <w:rsid w:val="00046BFF"/>
    <w:rsid w:val="000640AD"/>
    <w:rsid w:val="000818CE"/>
    <w:rsid w:val="0008274E"/>
    <w:rsid w:val="00087969"/>
    <w:rsid w:val="00087FC0"/>
    <w:rsid w:val="000F405C"/>
    <w:rsid w:val="001359E8"/>
    <w:rsid w:val="00142B1E"/>
    <w:rsid w:val="00166966"/>
    <w:rsid w:val="00180B02"/>
    <w:rsid w:val="001D1459"/>
    <w:rsid w:val="001D2345"/>
    <w:rsid w:val="00204AC0"/>
    <w:rsid w:val="00251DEA"/>
    <w:rsid w:val="00280E6F"/>
    <w:rsid w:val="00295464"/>
    <w:rsid w:val="00297B75"/>
    <w:rsid w:val="002C4D58"/>
    <w:rsid w:val="002E05D5"/>
    <w:rsid w:val="00326033"/>
    <w:rsid w:val="003A1F5F"/>
    <w:rsid w:val="003D102A"/>
    <w:rsid w:val="003D1D4E"/>
    <w:rsid w:val="003F0487"/>
    <w:rsid w:val="00412BD0"/>
    <w:rsid w:val="00426301"/>
    <w:rsid w:val="004339D2"/>
    <w:rsid w:val="00443746"/>
    <w:rsid w:val="0047621E"/>
    <w:rsid w:val="004929C6"/>
    <w:rsid w:val="00495B23"/>
    <w:rsid w:val="004B181C"/>
    <w:rsid w:val="004C3850"/>
    <w:rsid w:val="004D4F24"/>
    <w:rsid w:val="004F4FB8"/>
    <w:rsid w:val="005555E0"/>
    <w:rsid w:val="00564BB8"/>
    <w:rsid w:val="005B0399"/>
    <w:rsid w:val="005F1EC7"/>
    <w:rsid w:val="005F572D"/>
    <w:rsid w:val="00613B0C"/>
    <w:rsid w:val="00622EC1"/>
    <w:rsid w:val="00647D2F"/>
    <w:rsid w:val="006618AC"/>
    <w:rsid w:val="00670A2E"/>
    <w:rsid w:val="0069102D"/>
    <w:rsid w:val="006E2BB8"/>
    <w:rsid w:val="00702D24"/>
    <w:rsid w:val="00715556"/>
    <w:rsid w:val="00731EB3"/>
    <w:rsid w:val="00735D96"/>
    <w:rsid w:val="0074129B"/>
    <w:rsid w:val="00751BEC"/>
    <w:rsid w:val="00762C09"/>
    <w:rsid w:val="00770B63"/>
    <w:rsid w:val="007B251F"/>
    <w:rsid w:val="007B75B0"/>
    <w:rsid w:val="008002E4"/>
    <w:rsid w:val="00832F7B"/>
    <w:rsid w:val="00873AF2"/>
    <w:rsid w:val="00876143"/>
    <w:rsid w:val="008853A5"/>
    <w:rsid w:val="00893C86"/>
    <w:rsid w:val="008C1648"/>
    <w:rsid w:val="008C29DF"/>
    <w:rsid w:val="008E64BD"/>
    <w:rsid w:val="008F3E06"/>
    <w:rsid w:val="009115A6"/>
    <w:rsid w:val="00931E14"/>
    <w:rsid w:val="00933DA9"/>
    <w:rsid w:val="00936094"/>
    <w:rsid w:val="00972BFC"/>
    <w:rsid w:val="009770A7"/>
    <w:rsid w:val="00992786"/>
    <w:rsid w:val="009E1F39"/>
    <w:rsid w:val="009E6A17"/>
    <w:rsid w:val="00A15AC4"/>
    <w:rsid w:val="00A33EF6"/>
    <w:rsid w:val="00A87224"/>
    <w:rsid w:val="00A917DD"/>
    <w:rsid w:val="00AA5B67"/>
    <w:rsid w:val="00AC3224"/>
    <w:rsid w:val="00AD71F6"/>
    <w:rsid w:val="00AD7709"/>
    <w:rsid w:val="00B32BF2"/>
    <w:rsid w:val="00B353E1"/>
    <w:rsid w:val="00B44E2D"/>
    <w:rsid w:val="00B47A76"/>
    <w:rsid w:val="00B5094B"/>
    <w:rsid w:val="00B844B8"/>
    <w:rsid w:val="00B849E7"/>
    <w:rsid w:val="00B913AB"/>
    <w:rsid w:val="00BA4CB8"/>
    <w:rsid w:val="00BF2DF6"/>
    <w:rsid w:val="00C136D4"/>
    <w:rsid w:val="00C14ABA"/>
    <w:rsid w:val="00C160CB"/>
    <w:rsid w:val="00C50BFC"/>
    <w:rsid w:val="00C60627"/>
    <w:rsid w:val="00C70A26"/>
    <w:rsid w:val="00C72B55"/>
    <w:rsid w:val="00CA5281"/>
    <w:rsid w:val="00CB4C7D"/>
    <w:rsid w:val="00CC48A4"/>
    <w:rsid w:val="00CC5549"/>
    <w:rsid w:val="00CE56F8"/>
    <w:rsid w:val="00D04A5D"/>
    <w:rsid w:val="00D05772"/>
    <w:rsid w:val="00D115FB"/>
    <w:rsid w:val="00D345B4"/>
    <w:rsid w:val="00D43F04"/>
    <w:rsid w:val="00D66DE0"/>
    <w:rsid w:val="00D81AA1"/>
    <w:rsid w:val="00DB387B"/>
    <w:rsid w:val="00DC3B2C"/>
    <w:rsid w:val="00DC5F61"/>
    <w:rsid w:val="00DE2F1A"/>
    <w:rsid w:val="00DF28FD"/>
    <w:rsid w:val="00E067DC"/>
    <w:rsid w:val="00E240CC"/>
    <w:rsid w:val="00E5221C"/>
    <w:rsid w:val="00E84246"/>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C7D65-706A-4D97-B0D4-E4BBC1E6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Pages>
  <Words>46069</Words>
  <Characters>262599</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27</cp:revision>
  <dcterms:created xsi:type="dcterms:W3CDTF">2018-06-05T18:39:00Z</dcterms:created>
  <dcterms:modified xsi:type="dcterms:W3CDTF">2018-07-03T13:13:00Z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